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Default="00F514FB" w:rsidP="004D1313">
      <w:pPr>
        <w:widowControl/>
        <w:tabs>
          <w:tab w:val="left" w:pos="-720"/>
        </w:tabs>
        <w:suppressAutoHyphens/>
        <w:rPr>
          <w:sz w:val="26"/>
          <w:szCs w:val="26"/>
        </w:rPr>
      </w:pPr>
    </w:p>
    <w:p w:rsidR="0005536A" w:rsidRDefault="0005536A" w:rsidP="004D1313">
      <w:pPr>
        <w:widowControl/>
        <w:tabs>
          <w:tab w:val="left" w:pos="-720"/>
        </w:tabs>
        <w:suppressAutoHyphens/>
        <w:rPr>
          <w:sz w:val="26"/>
          <w:szCs w:val="26"/>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410"/>
      </w:tblGrid>
      <w:tr w:rsidR="00F514FB" w:rsidRPr="000D0C85" w:rsidTr="00B10865">
        <w:tc>
          <w:tcPr>
            <w:tcW w:w="5508" w:type="dxa"/>
          </w:tcPr>
          <w:p w:rsidR="00F514FB" w:rsidRPr="00A8734C" w:rsidRDefault="00F514FB" w:rsidP="004D1313">
            <w:pPr>
              <w:widowControl/>
              <w:rPr>
                <w:sz w:val="26"/>
                <w:szCs w:val="26"/>
              </w:rPr>
            </w:pPr>
          </w:p>
        </w:tc>
        <w:tc>
          <w:tcPr>
            <w:tcW w:w="4410" w:type="dxa"/>
          </w:tcPr>
          <w:p w:rsidR="00F514FB" w:rsidRPr="000D0C85" w:rsidRDefault="00F514FB" w:rsidP="00B10865">
            <w:pPr>
              <w:rPr>
                <w:sz w:val="26"/>
                <w:szCs w:val="26"/>
              </w:rPr>
            </w:pPr>
          </w:p>
        </w:tc>
      </w:tr>
      <w:tr w:rsidR="00F514FB" w:rsidRPr="000D0C85" w:rsidTr="00B10865">
        <w:tc>
          <w:tcPr>
            <w:tcW w:w="5508" w:type="dxa"/>
          </w:tcPr>
          <w:p w:rsidR="0005536A" w:rsidRDefault="0005536A" w:rsidP="004D1313">
            <w:pPr>
              <w:widowControl/>
              <w:rPr>
                <w:sz w:val="26"/>
                <w:szCs w:val="26"/>
              </w:rPr>
            </w:pPr>
          </w:p>
          <w:p w:rsidR="0005536A" w:rsidRDefault="0005536A" w:rsidP="004D1313">
            <w:pPr>
              <w:widowControl/>
              <w:rPr>
                <w:sz w:val="26"/>
                <w:szCs w:val="26"/>
              </w:rPr>
            </w:pPr>
          </w:p>
          <w:p w:rsidR="00B10865" w:rsidRDefault="00F514FB" w:rsidP="00B10865">
            <w:pPr>
              <w:widowControl/>
              <w:rPr>
                <w:sz w:val="26"/>
                <w:szCs w:val="26"/>
              </w:rPr>
            </w:pPr>
            <w:r w:rsidRPr="000D0C85">
              <w:rPr>
                <w:sz w:val="26"/>
                <w:szCs w:val="26"/>
              </w:rPr>
              <w:t>Commissioners Present:</w:t>
            </w:r>
          </w:p>
          <w:p w:rsidR="00B10865" w:rsidRDefault="00B10865" w:rsidP="00B10865">
            <w:pPr>
              <w:widowControl/>
              <w:rPr>
                <w:sz w:val="26"/>
                <w:szCs w:val="26"/>
              </w:rPr>
            </w:pPr>
            <w:r>
              <w:rPr>
                <w:sz w:val="26"/>
                <w:szCs w:val="26"/>
              </w:rPr>
              <w:t xml:space="preserve">        </w:t>
            </w:r>
            <w:r w:rsidR="000D0C85" w:rsidRPr="000D0C85">
              <w:rPr>
                <w:sz w:val="26"/>
                <w:szCs w:val="26"/>
              </w:rPr>
              <w:t>Gladys M. Brown, Chairman</w:t>
            </w:r>
            <w:r>
              <w:rPr>
                <w:sz w:val="26"/>
                <w:szCs w:val="26"/>
              </w:rPr>
              <w:t>, Statement</w:t>
            </w:r>
          </w:p>
          <w:p w:rsidR="00B10865" w:rsidRDefault="00B10865" w:rsidP="00B10865">
            <w:pPr>
              <w:widowControl/>
              <w:rPr>
                <w:sz w:val="26"/>
                <w:szCs w:val="26"/>
              </w:rPr>
            </w:pPr>
            <w:r>
              <w:rPr>
                <w:sz w:val="26"/>
                <w:szCs w:val="26"/>
              </w:rPr>
              <w:t xml:space="preserve">        </w:t>
            </w:r>
            <w:r w:rsidR="000D0C85" w:rsidRPr="000D0C85">
              <w:rPr>
                <w:sz w:val="26"/>
                <w:szCs w:val="26"/>
              </w:rPr>
              <w:t>Andrew G. Place, Vice Chairman</w:t>
            </w:r>
            <w:r>
              <w:rPr>
                <w:sz w:val="26"/>
                <w:szCs w:val="26"/>
              </w:rPr>
              <w:t>, Dissenting</w:t>
            </w:r>
          </w:p>
          <w:p w:rsidR="00B10865" w:rsidRDefault="00B10865" w:rsidP="00B10865">
            <w:pPr>
              <w:widowControl/>
              <w:rPr>
                <w:sz w:val="26"/>
                <w:szCs w:val="26"/>
              </w:rPr>
            </w:pPr>
            <w:r>
              <w:rPr>
                <w:sz w:val="26"/>
                <w:szCs w:val="26"/>
              </w:rPr>
              <w:t xml:space="preserve">        </w:t>
            </w:r>
            <w:r w:rsidR="000D0C85" w:rsidRPr="000D0C85">
              <w:rPr>
                <w:sz w:val="26"/>
                <w:szCs w:val="26"/>
              </w:rPr>
              <w:t>John F. Coleman, Jr.</w:t>
            </w:r>
          </w:p>
          <w:p w:rsidR="00B10865" w:rsidRDefault="00B10865" w:rsidP="00B10865">
            <w:pPr>
              <w:widowControl/>
              <w:rPr>
                <w:sz w:val="26"/>
                <w:szCs w:val="26"/>
              </w:rPr>
            </w:pPr>
            <w:r>
              <w:rPr>
                <w:sz w:val="26"/>
                <w:szCs w:val="26"/>
              </w:rPr>
              <w:t xml:space="preserve">        </w:t>
            </w:r>
            <w:r w:rsidR="000D0C85" w:rsidRPr="000D0C85">
              <w:rPr>
                <w:sz w:val="26"/>
                <w:szCs w:val="26"/>
              </w:rPr>
              <w:t>Robert F. Powelson</w:t>
            </w:r>
          </w:p>
          <w:p w:rsidR="00F514FB" w:rsidRPr="000D0C85" w:rsidRDefault="00B10865" w:rsidP="00B10865">
            <w:pPr>
              <w:widowControl/>
              <w:rPr>
                <w:sz w:val="26"/>
                <w:szCs w:val="26"/>
              </w:rPr>
            </w:pPr>
            <w:r>
              <w:rPr>
                <w:sz w:val="26"/>
                <w:szCs w:val="26"/>
              </w:rPr>
              <w:t xml:space="preserve">        D</w:t>
            </w:r>
            <w:r w:rsidR="00571253">
              <w:rPr>
                <w:sz w:val="26"/>
                <w:szCs w:val="26"/>
              </w:rPr>
              <w:t>avid W. Sweet</w:t>
            </w:r>
          </w:p>
          <w:p w:rsidR="00F514FB" w:rsidRDefault="00F514FB" w:rsidP="004D1313">
            <w:pPr>
              <w:widowControl/>
              <w:rPr>
                <w:sz w:val="26"/>
                <w:szCs w:val="26"/>
              </w:rPr>
            </w:pPr>
          </w:p>
          <w:p w:rsidR="0005536A" w:rsidRDefault="0005536A" w:rsidP="004D1313">
            <w:pPr>
              <w:widowControl/>
              <w:rPr>
                <w:sz w:val="26"/>
                <w:szCs w:val="26"/>
              </w:rPr>
            </w:pPr>
          </w:p>
          <w:p w:rsidR="0005536A" w:rsidRPr="000D0C85" w:rsidRDefault="0005536A" w:rsidP="004D1313">
            <w:pPr>
              <w:widowControl/>
              <w:rPr>
                <w:sz w:val="26"/>
                <w:szCs w:val="26"/>
              </w:rPr>
            </w:pPr>
          </w:p>
        </w:tc>
        <w:tc>
          <w:tcPr>
            <w:tcW w:w="4410" w:type="dxa"/>
          </w:tcPr>
          <w:p w:rsidR="00B10865" w:rsidRPr="000D0C85" w:rsidRDefault="00B10865" w:rsidP="00B10865">
            <w:pPr>
              <w:rPr>
                <w:sz w:val="26"/>
                <w:szCs w:val="26"/>
              </w:rPr>
            </w:pPr>
            <w:r w:rsidRPr="000D0C85">
              <w:rPr>
                <w:sz w:val="26"/>
                <w:szCs w:val="26"/>
              </w:rPr>
              <w:t xml:space="preserve">Public Meeting held </w:t>
            </w:r>
            <w:r>
              <w:rPr>
                <w:sz w:val="26"/>
                <w:szCs w:val="26"/>
              </w:rPr>
              <w:t>September 1</w:t>
            </w:r>
            <w:r w:rsidRPr="000D0C85">
              <w:rPr>
                <w:sz w:val="26"/>
                <w:szCs w:val="26"/>
              </w:rPr>
              <w:t>, 2016</w:t>
            </w:r>
          </w:p>
          <w:p w:rsidR="00F514FB" w:rsidRPr="000D0C85" w:rsidRDefault="00F514FB" w:rsidP="00B10865">
            <w:pPr>
              <w:rPr>
                <w:sz w:val="26"/>
                <w:szCs w:val="26"/>
              </w:rPr>
            </w:pPr>
          </w:p>
          <w:p w:rsidR="00F514FB" w:rsidRPr="000D0C85" w:rsidRDefault="00F514FB" w:rsidP="004D1313">
            <w:pPr>
              <w:widowControl/>
              <w:jc w:val="right"/>
              <w:rPr>
                <w:sz w:val="26"/>
                <w:szCs w:val="26"/>
              </w:rPr>
            </w:pPr>
          </w:p>
        </w:tc>
      </w:tr>
      <w:tr w:rsidR="00F514FB" w:rsidRPr="000D0C85" w:rsidTr="00B10865">
        <w:tc>
          <w:tcPr>
            <w:tcW w:w="5508" w:type="dxa"/>
          </w:tcPr>
          <w:p w:rsidR="00F514FB" w:rsidRPr="000D0C85" w:rsidRDefault="000D0C85" w:rsidP="004D1313">
            <w:pPr>
              <w:widowControl/>
              <w:rPr>
                <w:sz w:val="26"/>
                <w:szCs w:val="26"/>
              </w:rPr>
            </w:pPr>
            <w:r w:rsidRPr="000D0C85">
              <w:rPr>
                <w:sz w:val="26"/>
                <w:szCs w:val="26"/>
              </w:rPr>
              <w:t>Beth Trivelpiece</w:t>
            </w:r>
          </w:p>
          <w:p w:rsidR="00F514FB" w:rsidRPr="000D0C85" w:rsidRDefault="00F514FB" w:rsidP="004D1313">
            <w:pPr>
              <w:widowControl/>
              <w:rPr>
                <w:sz w:val="26"/>
                <w:szCs w:val="26"/>
              </w:rPr>
            </w:pPr>
          </w:p>
        </w:tc>
        <w:tc>
          <w:tcPr>
            <w:tcW w:w="4410" w:type="dxa"/>
          </w:tcPr>
          <w:p w:rsidR="00F514FB" w:rsidRPr="000D0C85" w:rsidRDefault="000D0C85" w:rsidP="004D1313">
            <w:pPr>
              <w:widowControl/>
              <w:jc w:val="right"/>
              <w:rPr>
                <w:sz w:val="26"/>
                <w:szCs w:val="26"/>
              </w:rPr>
            </w:pPr>
            <w:r w:rsidRPr="000D0C85">
              <w:rPr>
                <w:sz w:val="26"/>
                <w:szCs w:val="26"/>
              </w:rPr>
              <w:t>C-2015-2462644</w:t>
            </w:r>
          </w:p>
        </w:tc>
      </w:tr>
      <w:tr w:rsidR="00F514FB" w:rsidRPr="000D0C85" w:rsidTr="00B10865">
        <w:tc>
          <w:tcPr>
            <w:tcW w:w="5508" w:type="dxa"/>
          </w:tcPr>
          <w:p w:rsidR="00F514FB" w:rsidRPr="000D0C85" w:rsidRDefault="00F514FB" w:rsidP="004D1313">
            <w:pPr>
              <w:widowControl/>
              <w:ind w:firstLine="900"/>
              <w:rPr>
                <w:sz w:val="26"/>
                <w:szCs w:val="26"/>
              </w:rPr>
            </w:pPr>
            <w:r w:rsidRPr="000D0C85">
              <w:rPr>
                <w:sz w:val="26"/>
                <w:szCs w:val="26"/>
              </w:rPr>
              <w:t>v.</w:t>
            </w:r>
          </w:p>
          <w:p w:rsidR="00F514FB" w:rsidRPr="000D0C85" w:rsidRDefault="00F514FB" w:rsidP="004D1313">
            <w:pPr>
              <w:widowControl/>
              <w:ind w:firstLine="1440"/>
              <w:rPr>
                <w:sz w:val="26"/>
                <w:szCs w:val="26"/>
              </w:rPr>
            </w:pPr>
          </w:p>
        </w:tc>
        <w:tc>
          <w:tcPr>
            <w:tcW w:w="4410" w:type="dxa"/>
          </w:tcPr>
          <w:p w:rsidR="00F514FB" w:rsidRPr="000D0C85" w:rsidRDefault="00F514FB" w:rsidP="004D1313">
            <w:pPr>
              <w:widowControl/>
              <w:rPr>
                <w:sz w:val="26"/>
                <w:szCs w:val="26"/>
              </w:rPr>
            </w:pPr>
          </w:p>
        </w:tc>
      </w:tr>
      <w:tr w:rsidR="00F514FB" w:rsidRPr="000D0C85" w:rsidTr="00B10865">
        <w:tc>
          <w:tcPr>
            <w:tcW w:w="5508" w:type="dxa"/>
          </w:tcPr>
          <w:p w:rsidR="00F514FB" w:rsidRPr="000D0C85" w:rsidRDefault="000D0C85" w:rsidP="004D1313">
            <w:pPr>
              <w:widowControl/>
              <w:rPr>
                <w:sz w:val="26"/>
                <w:szCs w:val="26"/>
              </w:rPr>
            </w:pPr>
            <w:r w:rsidRPr="000D0C85">
              <w:rPr>
                <w:sz w:val="26"/>
                <w:szCs w:val="26"/>
              </w:rPr>
              <w:t>PECO Energy Company</w:t>
            </w:r>
          </w:p>
        </w:tc>
        <w:tc>
          <w:tcPr>
            <w:tcW w:w="4410" w:type="dxa"/>
          </w:tcPr>
          <w:p w:rsidR="00F514FB" w:rsidRPr="000D0C85" w:rsidRDefault="00F514FB" w:rsidP="004D1313">
            <w:pPr>
              <w:widowControl/>
              <w:rPr>
                <w:sz w:val="26"/>
                <w:szCs w:val="26"/>
              </w:rPr>
            </w:pPr>
          </w:p>
        </w:tc>
      </w:tr>
    </w:tbl>
    <w:p w:rsidR="00F514FB" w:rsidRDefault="00F514FB" w:rsidP="004D1313">
      <w:pPr>
        <w:widowControl/>
        <w:rPr>
          <w:sz w:val="26"/>
          <w:szCs w:val="26"/>
        </w:rPr>
      </w:pPr>
    </w:p>
    <w:p w:rsidR="0005536A" w:rsidRDefault="0005536A" w:rsidP="004D1313">
      <w:pPr>
        <w:widowControl/>
        <w:rPr>
          <w:sz w:val="26"/>
          <w:szCs w:val="26"/>
        </w:rPr>
      </w:pPr>
    </w:p>
    <w:p w:rsidR="00587681" w:rsidRDefault="00587681" w:rsidP="004D1313">
      <w:pPr>
        <w:widowControl/>
        <w:rPr>
          <w:sz w:val="26"/>
          <w:szCs w:val="26"/>
        </w:rPr>
      </w:pPr>
    </w:p>
    <w:p w:rsidR="0005536A" w:rsidRDefault="0005536A" w:rsidP="004D1313">
      <w:pPr>
        <w:widowControl/>
        <w:jc w:val="center"/>
        <w:rPr>
          <w:b/>
          <w:sz w:val="26"/>
          <w:szCs w:val="26"/>
        </w:rPr>
      </w:pPr>
    </w:p>
    <w:p w:rsidR="00F514FB" w:rsidRPr="000D0C85" w:rsidRDefault="00F514FB" w:rsidP="004D1313">
      <w:pPr>
        <w:widowControl/>
        <w:jc w:val="center"/>
        <w:rPr>
          <w:b/>
          <w:sz w:val="26"/>
          <w:szCs w:val="26"/>
        </w:rPr>
      </w:pPr>
      <w:r w:rsidRPr="000D0C85">
        <w:rPr>
          <w:b/>
          <w:sz w:val="26"/>
          <w:szCs w:val="26"/>
        </w:rPr>
        <w:t>OPINION AND ORDER</w:t>
      </w:r>
    </w:p>
    <w:p w:rsidR="00F514FB" w:rsidRDefault="00F514FB" w:rsidP="004D1313">
      <w:pPr>
        <w:widowControl/>
        <w:jc w:val="center"/>
        <w:rPr>
          <w:b/>
          <w:sz w:val="26"/>
          <w:szCs w:val="26"/>
        </w:rPr>
      </w:pPr>
    </w:p>
    <w:p w:rsidR="0005536A" w:rsidRDefault="0005536A" w:rsidP="004D1313">
      <w:pPr>
        <w:widowControl/>
        <w:jc w:val="center"/>
        <w:rPr>
          <w:b/>
          <w:sz w:val="26"/>
          <w:szCs w:val="26"/>
        </w:rPr>
      </w:pPr>
    </w:p>
    <w:p w:rsidR="00587681" w:rsidRDefault="00587681" w:rsidP="004D1313">
      <w:pPr>
        <w:widowControl/>
        <w:jc w:val="center"/>
        <w:rPr>
          <w:b/>
          <w:sz w:val="26"/>
          <w:szCs w:val="26"/>
        </w:rPr>
      </w:pPr>
    </w:p>
    <w:p w:rsidR="00F514FB" w:rsidRDefault="00F514FB" w:rsidP="0005536A">
      <w:pPr>
        <w:widowControl/>
        <w:spacing w:line="360" w:lineRule="auto"/>
        <w:rPr>
          <w:b/>
          <w:sz w:val="26"/>
          <w:szCs w:val="26"/>
        </w:rPr>
      </w:pPr>
      <w:r w:rsidRPr="000D0C85">
        <w:rPr>
          <w:b/>
          <w:sz w:val="26"/>
          <w:szCs w:val="26"/>
        </w:rPr>
        <w:t>BY THE COMMISSION:</w:t>
      </w:r>
    </w:p>
    <w:p w:rsidR="00F514FB" w:rsidRPr="000D0C85" w:rsidRDefault="00F514FB" w:rsidP="0005536A">
      <w:pPr>
        <w:widowControl/>
        <w:spacing w:line="360" w:lineRule="auto"/>
        <w:rPr>
          <w:sz w:val="26"/>
          <w:szCs w:val="26"/>
        </w:rPr>
      </w:pPr>
    </w:p>
    <w:p w:rsidR="00CA43A5" w:rsidRPr="002F1E53" w:rsidRDefault="00CA43A5" w:rsidP="0005536A">
      <w:pPr>
        <w:widowControl/>
        <w:spacing w:line="360" w:lineRule="auto"/>
        <w:ind w:firstLine="1440"/>
        <w:rPr>
          <w:sz w:val="26"/>
          <w:szCs w:val="26"/>
        </w:rPr>
      </w:pPr>
      <w:r w:rsidRPr="002F1E53">
        <w:rPr>
          <w:sz w:val="26"/>
          <w:szCs w:val="26"/>
        </w:rPr>
        <w:t xml:space="preserve">Before the Pennsylvania Public Utility Commission (Commission) for consideration and disposition </w:t>
      </w:r>
      <w:r w:rsidR="00671E4C" w:rsidRPr="002F1E53">
        <w:rPr>
          <w:color w:val="000000"/>
          <w:sz w:val="26"/>
        </w:rPr>
        <w:t xml:space="preserve">are the Exceptions </w:t>
      </w:r>
      <w:r w:rsidR="00A16587" w:rsidRPr="002F1E53">
        <w:rPr>
          <w:color w:val="000000"/>
          <w:sz w:val="26"/>
        </w:rPr>
        <w:t xml:space="preserve">of </w:t>
      </w:r>
      <w:r w:rsidR="002F1E53" w:rsidRPr="002F1E53">
        <w:rPr>
          <w:color w:val="000000"/>
          <w:sz w:val="26"/>
        </w:rPr>
        <w:t>PECO Energy Company</w:t>
      </w:r>
      <w:r w:rsidR="00A16587" w:rsidRPr="002F1E53">
        <w:rPr>
          <w:color w:val="000000"/>
          <w:sz w:val="26"/>
        </w:rPr>
        <w:t xml:space="preserve"> </w:t>
      </w:r>
      <w:r w:rsidR="00671E4C" w:rsidRPr="002F1E53">
        <w:rPr>
          <w:color w:val="000000"/>
          <w:sz w:val="26"/>
        </w:rPr>
        <w:t>(</w:t>
      </w:r>
      <w:r w:rsidR="002F1E53" w:rsidRPr="002F1E53">
        <w:rPr>
          <w:color w:val="000000"/>
          <w:sz w:val="26"/>
        </w:rPr>
        <w:t>PECO or the Company) filed on November 18</w:t>
      </w:r>
      <w:r w:rsidR="009E39E2" w:rsidRPr="002F1E53">
        <w:rPr>
          <w:color w:val="000000"/>
          <w:sz w:val="26"/>
        </w:rPr>
        <w:t>, 2015</w:t>
      </w:r>
      <w:r w:rsidR="00671E4C" w:rsidRPr="002F1E53">
        <w:rPr>
          <w:color w:val="000000"/>
          <w:sz w:val="26"/>
        </w:rPr>
        <w:t>,</w:t>
      </w:r>
      <w:r w:rsidR="007526AB" w:rsidRPr="002F1E53">
        <w:rPr>
          <w:color w:val="000000"/>
          <w:sz w:val="26"/>
        </w:rPr>
        <w:t xml:space="preserve"> to the Initial Decision</w:t>
      </w:r>
      <w:r w:rsidR="00993405" w:rsidRPr="002F1E53">
        <w:rPr>
          <w:color w:val="000000"/>
          <w:sz w:val="26"/>
        </w:rPr>
        <w:t xml:space="preserve"> (I.D.)</w:t>
      </w:r>
      <w:r w:rsidR="007526AB" w:rsidRPr="002F1E53">
        <w:rPr>
          <w:color w:val="000000"/>
          <w:sz w:val="26"/>
        </w:rPr>
        <w:t xml:space="preserve"> </w:t>
      </w:r>
      <w:r w:rsidR="0085046A" w:rsidRPr="002F1E53">
        <w:rPr>
          <w:color w:val="000000"/>
          <w:sz w:val="26"/>
        </w:rPr>
        <w:t>of Administrative Law J</w:t>
      </w:r>
      <w:r w:rsidR="002F1E53" w:rsidRPr="002F1E53">
        <w:rPr>
          <w:color w:val="000000"/>
          <w:sz w:val="26"/>
        </w:rPr>
        <w:t>udge (ALJ) Conrad A. Johnson</w:t>
      </w:r>
      <w:r w:rsidR="00F012B4">
        <w:rPr>
          <w:color w:val="000000"/>
          <w:sz w:val="26"/>
        </w:rPr>
        <w:t xml:space="preserve">, </w:t>
      </w:r>
      <w:r w:rsidR="00346C47" w:rsidRPr="002F1E53">
        <w:rPr>
          <w:color w:val="000000"/>
          <w:sz w:val="26"/>
        </w:rPr>
        <w:t xml:space="preserve">issued on </w:t>
      </w:r>
      <w:r w:rsidR="002F1E53" w:rsidRPr="002F1E53">
        <w:rPr>
          <w:color w:val="000000"/>
          <w:sz w:val="26"/>
        </w:rPr>
        <w:t>October 29</w:t>
      </w:r>
      <w:r w:rsidR="009E39E2" w:rsidRPr="002F1E53">
        <w:rPr>
          <w:color w:val="000000"/>
          <w:sz w:val="26"/>
        </w:rPr>
        <w:t>, 2015</w:t>
      </w:r>
      <w:r w:rsidR="00671E4C" w:rsidRPr="002F1E53">
        <w:rPr>
          <w:color w:val="000000"/>
          <w:sz w:val="26"/>
        </w:rPr>
        <w:t>, in</w:t>
      </w:r>
      <w:r w:rsidR="0035728C" w:rsidRPr="002F1E53">
        <w:rPr>
          <w:color w:val="000000"/>
          <w:sz w:val="26"/>
        </w:rPr>
        <w:t xml:space="preserve"> the above-captioned proceeding</w:t>
      </w:r>
      <w:r w:rsidR="00671E4C" w:rsidRPr="002F1E53">
        <w:rPr>
          <w:color w:val="000000"/>
          <w:sz w:val="26"/>
        </w:rPr>
        <w:t xml:space="preserve">.  </w:t>
      </w:r>
      <w:r w:rsidR="002F1E53" w:rsidRPr="002F1E53">
        <w:rPr>
          <w:color w:val="000000"/>
          <w:sz w:val="26"/>
        </w:rPr>
        <w:t xml:space="preserve">Replies to </w:t>
      </w:r>
      <w:r w:rsidR="002F1E53" w:rsidRPr="00F33762">
        <w:rPr>
          <w:color w:val="000000"/>
          <w:sz w:val="26"/>
        </w:rPr>
        <w:t>PECO’s</w:t>
      </w:r>
      <w:r w:rsidR="002C79B8" w:rsidRPr="00F33762">
        <w:rPr>
          <w:color w:val="000000"/>
          <w:sz w:val="26"/>
        </w:rPr>
        <w:t xml:space="preserve"> Exceptions</w:t>
      </w:r>
      <w:r w:rsidR="00271FC3" w:rsidRPr="00F33762">
        <w:rPr>
          <w:color w:val="000000"/>
          <w:sz w:val="26"/>
        </w:rPr>
        <w:t xml:space="preserve"> were</w:t>
      </w:r>
      <w:r w:rsidR="002F1E53" w:rsidRPr="00F33762">
        <w:rPr>
          <w:color w:val="000000"/>
          <w:sz w:val="26"/>
        </w:rPr>
        <w:t xml:space="preserve"> filed by Beth Trivelpiece (Complainant) on November 30</w:t>
      </w:r>
      <w:r w:rsidR="009E39E2" w:rsidRPr="00F33762">
        <w:rPr>
          <w:color w:val="000000"/>
          <w:sz w:val="26"/>
        </w:rPr>
        <w:t>, 2015</w:t>
      </w:r>
      <w:r w:rsidR="00271FC3" w:rsidRPr="00F33762">
        <w:rPr>
          <w:color w:val="000000"/>
          <w:sz w:val="26"/>
        </w:rPr>
        <w:t xml:space="preserve">.  </w:t>
      </w:r>
      <w:r w:rsidRPr="00F33762">
        <w:rPr>
          <w:sz w:val="26"/>
          <w:szCs w:val="26"/>
        </w:rPr>
        <w:t xml:space="preserve">For </w:t>
      </w:r>
      <w:r w:rsidRPr="002C71DF">
        <w:rPr>
          <w:sz w:val="26"/>
          <w:szCs w:val="26"/>
        </w:rPr>
        <w:t>the reason</w:t>
      </w:r>
      <w:r w:rsidR="002E5E87" w:rsidRPr="002C71DF">
        <w:rPr>
          <w:sz w:val="26"/>
          <w:szCs w:val="26"/>
        </w:rPr>
        <w:t xml:space="preserve">s stated below, we will </w:t>
      </w:r>
      <w:r w:rsidR="00F33762" w:rsidRPr="002C71DF">
        <w:rPr>
          <w:sz w:val="26"/>
          <w:szCs w:val="26"/>
        </w:rPr>
        <w:lastRenderedPageBreak/>
        <w:t xml:space="preserve">grant, in part, and deny, in part, PECO’s Exceptions, and </w:t>
      </w:r>
      <w:r w:rsidR="00B728B3">
        <w:rPr>
          <w:sz w:val="26"/>
          <w:szCs w:val="26"/>
        </w:rPr>
        <w:t xml:space="preserve">adopt the Initial Decision as modified by this Opinion and Order.  </w:t>
      </w:r>
    </w:p>
    <w:p w:rsidR="00CA43A5" w:rsidRPr="002F1E53" w:rsidRDefault="00CA43A5" w:rsidP="004D1313">
      <w:pPr>
        <w:widowControl/>
        <w:spacing w:line="360" w:lineRule="auto"/>
        <w:rPr>
          <w:sz w:val="26"/>
          <w:szCs w:val="26"/>
        </w:rPr>
      </w:pPr>
    </w:p>
    <w:p w:rsidR="00540755" w:rsidRPr="00540755" w:rsidRDefault="00540755" w:rsidP="00540755">
      <w:pPr>
        <w:keepNext/>
        <w:widowControl/>
        <w:spacing w:line="360" w:lineRule="auto"/>
        <w:jc w:val="center"/>
        <w:rPr>
          <w:b/>
          <w:sz w:val="26"/>
          <w:szCs w:val="26"/>
        </w:rPr>
      </w:pPr>
      <w:bookmarkStart w:id="0" w:name="OLE_LINK1"/>
      <w:bookmarkStart w:id="1" w:name="OLE_LINK2"/>
      <w:r w:rsidRPr="00540755">
        <w:rPr>
          <w:b/>
          <w:sz w:val="26"/>
          <w:szCs w:val="26"/>
        </w:rPr>
        <w:t>I.</w:t>
      </w:r>
      <w:r w:rsidRPr="00540755">
        <w:rPr>
          <w:b/>
          <w:sz w:val="26"/>
          <w:szCs w:val="26"/>
        </w:rPr>
        <w:tab/>
        <w:t>History of the Proceeding</w:t>
      </w:r>
    </w:p>
    <w:p w:rsidR="00540755" w:rsidRPr="00540755" w:rsidRDefault="00540755" w:rsidP="00540755">
      <w:pPr>
        <w:keepNext/>
        <w:widowControl/>
        <w:rPr>
          <w:b/>
          <w:sz w:val="26"/>
          <w:szCs w:val="26"/>
          <w:u w:val="single"/>
        </w:rPr>
      </w:pPr>
    </w:p>
    <w:p w:rsidR="00540755" w:rsidRPr="00540755" w:rsidRDefault="00540755" w:rsidP="00540755">
      <w:pPr>
        <w:widowControl/>
        <w:spacing w:line="360" w:lineRule="auto"/>
        <w:rPr>
          <w:sz w:val="26"/>
          <w:szCs w:val="26"/>
        </w:rPr>
      </w:pPr>
      <w:r w:rsidRPr="00540755">
        <w:rPr>
          <w:sz w:val="26"/>
          <w:szCs w:val="26"/>
        </w:rPr>
        <w:tab/>
      </w:r>
      <w:r w:rsidRPr="00540755">
        <w:rPr>
          <w:sz w:val="26"/>
          <w:szCs w:val="26"/>
        </w:rPr>
        <w:tab/>
        <w:t>On January 14, 2015, the Complainant filed a Formal Complaint (Complaint) against PECO</w:t>
      </w:r>
      <w:r w:rsidR="006427F9">
        <w:rPr>
          <w:sz w:val="26"/>
          <w:szCs w:val="26"/>
        </w:rPr>
        <w:t xml:space="preserve"> in </w:t>
      </w:r>
      <w:r w:rsidRPr="00540755">
        <w:rPr>
          <w:sz w:val="26"/>
          <w:szCs w:val="26"/>
        </w:rPr>
        <w:t xml:space="preserve">which </w:t>
      </w:r>
      <w:r w:rsidR="006427F9">
        <w:rPr>
          <w:sz w:val="26"/>
          <w:szCs w:val="26"/>
        </w:rPr>
        <w:t xml:space="preserve">she alleged </w:t>
      </w:r>
      <w:r w:rsidRPr="00540755">
        <w:rPr>
          <w:sz w:val="26"/>
          <w:szCs w:val="26"/>
        </w:rPr>
        <w:t xml:space="preserve">(1) that PECO was threatening to shut off, or had already shut off, her utility service; (2) that there were incorrect charges on her </w:t>
      </w:r>
      <w:r w:rsidR="0038652E">
        <w:rPr>
          <w:sz w:val="26"/>
          <w:szCs w:val="26"/>
        </w:rPr>
        <w:t>bill for utility service; and (3</w:t>
      </w:r>
      <w:r w:rsidRPr="00540755">
        <w:rPr>
          <w:sz w:val="26"/>
          <w:szCs w:val="26"/>
        </w:rPr>
        <w:t>) that she was experiencing a reliability, safety, or quality problem with her utility service.  The Complainant disputed an account balance of $15,988.35 and contended that PECO would not explain why her bill was</w:t>
      </w:r>
      <w:r w:rsidR="005D2C2D">
        <w:rPr>
          <w:sz w:val="26"/>
          <w:szCs w:val="26"/>
        </w:rPr>
        <w:t xml:space="preserve"> so high.  The Complainant </w:t>
      </w:r>
      <w:r w:rsidRPr="00540755">
        <w:rPr>
          <w:sz w:val="26"/>
          <w:szCs w:val="26"/>
        </w:rPr>
        <w:t>questioned what she believed to be late fees relating to service she received at a previous address and alleged that PECO would not provide her with a reasonable payment arrangement.  The Complainant asserted that she was very ill and needed electric service to power her medical equipment.  As relief, the Complainant requested that PECO be required to provide her with an explanation of her bill and a reasonable payment arrangement.</w:t>
      </w:r>
    </w:p>
    <w:p w:rsidR="00540755" w:rsidRPr="00540755" w:rsidRDefault="00540755" w:rsidP="00540755">
      <w:pPr>
        <w:widowControl/>
        <w:spacing w:line="360" w:lineRule="auto"/>
        <w:rPr>
          <w:sz w:val="26"/>
          <w:szCs w:val="26"/>
        </w:rPr>
      </w:pPr>
    </w:p>
    <w:p w:rsidR="00540755" w:rsidRPr="00540755" w:rsidRDefault="00540755" w:rsidP="00540755">
      <w:pPr>
        <w:widowControl/>
        <w:spacing w:line="360" w:lineRule="auto"/>
        <w:rPr>
          <w:sz w:val="26"/>
          <w:szCs w:val="26"/>
        </w:rPr>
      </w:pPr>
      <w:r w:rsidRPr="00540755">
        <w:rPr>
          <w:sz w:val="26"/>
          <w:szCs w:val="26"/>
        </w:rPr>
        <w:tab/>
      </w:r>
      <w:r w:rsidRPr="00540755">
        <w:rPr>
          <w:sz w:val="26"/>
          <w:szCs w:val="26"/>
        </w:rPr>
        <w:tab/>
        <w:t>On January 23, 2015, PECO filed an Answer to the Complaint, in which it denied the material allegations set forth therein.  PECO asserted that the Complainant’s account balance was $16,687.28, which included amounts that were properly transferred from accounts for service provided to the Complainant at previous addresses.  PECO also averred that $4,392.98 of the total balance was billed to the Complainant under PECO’s Customer Assistance Program (CAP), and thus, the Complainant was not entitled to a payment agreement on that amount, pursuant to 66 Pa. C.S. § 1405(c).</w:t>
      </w:r>
    </w:p>
    <w:p w:rsidR="00540755" w:rsidRPr="00540755" w:rsidRDefault="00540755" w:rsidP="00540755">
      <w:pPr>
        <w:widowControl/>
        <w:spacing w:line="360" w:lineRule="auto"/>
        <w:rPr>
          <w:sz w:val="26"/>
          <w:szCs w:val="26"/>
        </w:rPr>
      </w:pPr>
    </w:p>
    <w:p w:rsidR="00540755" w:rsidRPr="00540755" w:rsidRDefault="00540755" w:rsidP="0005536A">
      <w:pPr>
        <w:keepNext/>
        <w:keepLines/>
        <w:widowControl/>
        <w:spacing w:line="360" w:lineRule="auto"/>
        <w:rPr>
          <w:sz w:val="26"/>
          <w:szCs w:val="26"/>
        </w:rPr>
      </w:pPr>
      <w:r w:rsidRPr="00540755">
        <w:rPr>
          <w:sz w:val="26"/>
          <w:szCs w:val="26"/>
        </w:rPr>
        <w:lastRenderedPageBreak/>
        <w:tab/>
      </w:r>
      <w:r w:rsidRPr="00540755">
        <w:rPr>
          <w:sz w:val="26"/>
          <w:szCs w:val="26"/>
        </w:rPr>
        <w:tab/>
        <w:t>On June 2, 2015, a telephonic evidentiary hearing was convened before ALJ Johnson.  The Complainant was represented by counsel, testified on her own behalf, and introduced two exhibits, both of which were admitted into the record.  PECO was represented by counsel, presented the testimony of one witness, Renee Tarpley, and introduced ten exhibits, nine of which were admitted into the record.</w:t>
      </w:r>
      <w:r w:rsidR="00785AF4">
        <w:rPr>
          <w:rStyle w:val="FootnoteReference"/>
          <w:sz w:val="26"/>
          <w:szCs w:val="26"/>
        </w:rPr>
        <w:footnoteReference w:id="1"/>
      </w:r>
      <w:r w:rsidRPr="00540755">
        <w:rPr>
          <w:sz w:val="26"/>
          <w:szCs w:val="26"/>
        </w:rPr>
        <w:t xml:space="preserve">  The hearing generated a transcript of 152 pages.  </w:t>
      </w:r>
    </w:p>
    <w:p w:rsidR="00540755" w:rsidRPr="00540755" w:rsidRDefault="00540755" w:rsidP="00540755">
      <w:pPr>
        <w:widowControl/>
        <w:spacing w:line="360" w:lineRule="auto"/>
        <w:rPr>
          <w:sz w:val="26"/>
          <w:szCs w:val="26"/>
        </w:rPr>
      </w:pPr>
    </w:p>
    <w:p w:rsidR="00540755" w:rsidRPr="00540755" w:rsidRDefault="00540755" w:rsidP="00540755">
      <w:pPr>
        <w:widowControl/>
        <w:spacing w:line="360" w:lineRule="auto"/>
        <w:rPr>
          <w:sz w:val="26"/>
          <w:szCs w:val="26"/>
        </w:rPr>
      </w:pPr>
      <w:r w:rsidRPr="00540755">
        <w:rPr>
          <w:sz w:val="26"/>
          <w:szCs w:val="26"/>
        </w:rPr>
        <w:tab/>
      </w:r>
      <w:r w:rsidRPr="00540755">
        <w:rPr>
          <w:sz w:val="26"/>
          <w:szCs w:val="26"/>
        </w:rPr>
        <w:tab/>
        <w:t>During the hearing, ALJ Johnson directed the Complainant and PECO to file memorandums of law by July 10, 2014.</w:t>
      </w:r>
      <w:r w:rsidR="00661776">
        <w:rPr>
          <w:sz w:val="26"/>
          <w:szCs w:val="26"/>
        </w:rPr>
        <w:t xml:space="preserve">  Tr. at 41, 144, 147.</w:t>
      </w:r>
      <w:r w:rsidRPr="00540755">
        <w:rPr>
          <w:sz w:val="26"/>
          <w:szCs w:val="26"/>
        </w:rPr>
        <w:t xml:space="preserve">  By Interim Order issued June 30, 2015, the ALJ extended the date for the filing of memorandums of law to July</w:t>
      </w:r>
      <w:r w:rsidR="0005536A">
        <w:rPr>
          <w:sz w:val="26"/>
          <w:szCs w:val="26"/>
        </w:rPr>
        <w:t> </w:t>
      </w:r>
      <w:r w:rsidRPr="00540755">
        <w:rPr>
          <w:sz w:val="26"/>
          <w:szCs w:val="26"/>
        </w:rPr>
        <w:t>17, 2015.  On July 17, 2015, the</w:t>
      </w:r>
      <w:r w:rsidR="00935CB8">
        <w:rPr>
          <w:sz w:val="26"/>
          <w:szCs w:val="26"/>
        </w:rPr>
        <w:t xml:space="preserve"> Complainant filed a Main Brief</w:t>
      </w:r>
      <w:r w:rsidRPr="00540755">
        <w:rPr>
          <w:sz w:val="26"/>
          <w:szCs w:val="26"/>
        </w:rPr>
        <w:t xml:space="preserve"> and PECO filed a Memorandum of Law.  In accordance with the June 30, 2015 Interim Order, the record closed on July 17, 2015.</w:t>
      </w:r>
    </w:p>
    <w:p w:rsidR="00540755" w:rsidRPr="00540755" w:rsidRDefault="00540755" w:rsidP="00540755">
      <w:pPr>
        <w:widowControl/>
        <w:spacing w:line="360" w:lineRule="auto"/>
        <w:rPr>
          <w:sz w:val="26"/>
          <w:szCs w:val="26"/>
        </w:rPr>
      </w:pPr>
    </w:p>
    <w:p w:rsidR="00540755" w:rsidRPr="00540755" w:rsidRDefault="00540755" w:rsidP="00540755">
      <w:pPr>
        <w:widowControl/>
        <w:spacing w:line="360" w:lineRule="auto"/>
        <w:rPr>
          <w:color w:val="000000"/>
          <w:sz w:val="26"/>
        </w:rPr>
      </w:pPr>
      <w:r w:rsidRPr="00540755">
        <w:rPr>
          <w:sz w:val="26"/>
          <w:szCs w:val="26"/>
        </w:rPr>
        <w:tab/>
      </w:r>
      <w:r w:rsidRPr="00540755">
        <w:rPr>
          <w:sz w:val="26"/>
          <w:szCs w:val="26"/>
        </w:rPr>
        <w:tab/>
        <w:t xml:space="preserve">On </w:t>
      </w:r>
      <w:r w:rsidRPr="00540755">
        <w:rPr>
          <w:color w:val="000000"/>
          <w:sz w:val="26"/>
        </w:rPr>
        <w:t>October 29, 2015, the Commission issued the Initial Decision of ALJ Johnson, which sustained the Complaint with regard to the allegations that there were incorrect charges on the Complainant’s bill and quality problems with the Complainant’s utility service.  The Initial Decision also assessed a civil penalty of $6,000 on PECO for failure to provide reasonable service to the Complainant.  I.D. at 38-39.</w:t>
      </w:r>
    </w:p>
    <w:p w:rsidR="0091133D" w:rsidRDefault="0091133D">
      <w:pPr>
        <w:widowControl/>
        <w:spacing w:after="200" w:line="276" w:lineRule="auto"/>
        <w:rPr>
          <w:color w:val="000000"/>
          <w:sz w:val="26"/>
        </w:rPr>
      </w:pPr>
    </w:p>
    <w:p w:rsidR="00540755" w:rsidRPr="00540755" w:rsidRDefault="00540755" w:rsidP="00540755">
      <w:pPr>
        <w:widowControl/>
        <w:spacing w:line="360" w:lineRule="auto"/>
        <w:rPr>
          <w:color w:val="000000"/>
          <w:sz w:val="26"/>
        </w:rPr>
      </w:pPr>
      <w:r w:rsidRPr="00540755">
        <w:rPr>
          <w:color w:val="000000"/>
          <w:sz w:val="26"/>
        </w:rPr>
        <w:lastRenderedPageBreak/>
        <w:tab/>
      </w:r>
      <w:r w:rsidRPr="00540755">
        <w:rPr>
          <w:color w:val="000000"/>
          <w:sz w:val="26"/>
        </w:rPr>
        <w:tab/>
        <w:t>As previously noted, PECO filed Exceptions to the Initial Decision on November 18, 2015,</w:t>
      </w:r>
      <w:r w:rsidR="00D038C6" w:rsidRPr="00D038C6">
        <w:rPr>
          <w:rStyle w:val="FootnoteReference"/>
          <w:sz w:val="26"/>
          <w:szCs w:val="26"/>
        </w:rPr>
        <w:footnoteReference w:id="2"/>
      </w:r>
      <w:r w:rsidRPr="00D038C6">
        <w:rPr>
          <w:color w:val="000000"/>
          <w:sz w:val="26"/>
        </w:rPr>
        <w:t xml:space="preserve"> </w:t>
      </w:r>
      <w:r w:rsidRPr="00540755">
        <w:rPr>
          <w:color w:val="000000"/>
          <w:sz w:val="26"/>
        </w:rPr>
        <w:t>and the Complainant filed Replies to PECO’s Exceptions on November 30, 2015.</w:t>
      </w:r>
    </w:p>
    <w:p w:rsidR="00540755" w:rsidRPr="00540755" w:rsidRDefault="00540755" w:rsidP="00540755">
      <w:pPr>
        <w:widowControl/>
        <w:spacing w:line="360" w:lineRule="auto"/>
        <w:rPr>
          <w:color w:val="000000"/>
          <w:sz w:val="26"/>
        </w:rPr>
      </w:pPr>
    </w:p>
    <w:bookmarkEnd w:id="0"/>
    <w:bookmarkEnd w:id="1"/>
    <w:p w:rsidR="00540755" w:rsidRPr="00540755" w:rsidRDefault="00540755" w:rsidP="00540755">
      <w:pPr>
        <w:keepNext/>
        <w:widowControl/>
        <w:spacing w:line="360" w:lineRule="auto"/>
        <w:jc w:val="center"/>
        <w:rPr>
          <w:b/>
          <w:sz w:val="26"/>
          <w:szCs w:val="26"/>
        </w:rPr>
      </w:pPr>
      <w:r w:rsidRPr="00540755">
        <w:rPr>
          <w:b/>
          <w:sz w:val="26"/>
          <w:szCs w:val="26"/>
        </w:rPr>
        <w:t>II.</w:t>
      </w:r>
      <w:r w:rsidRPr="00540755">
        <w:rPr>
          <w:b/>
          <w:sz w:val="26"/>
          <w:szCs w:val="26"/>
        </w:rPr>
        <w:tab/>
        <w:t>Discussion</w:t>
      </w:r>
    </w:p>
    <w:p w:rsidR="00540755" w:rsidRPr="00540755" w:rsidRDefault="00540755" w:rsidP="00540755">
      <w:pPr>
        <w:keepNext/>
        <w:widowControl/>
        <w:spacing w:line="360" w:lineRule="auto"/>
        <w:rPr>
          <w:sz w:val="26"/>
          <w:szCs w:val="26"/>
        </w:rPr>
      </w:pPr>
    </w:p>
    <w:p w:rsidR="00540755" w:rsidRPr="00540755" w:rsidRDefault="00540755" w:rsidP="00540755">
      <w:pPr>
        <w:keepNext/>
        <w:widowControl/>
        <w:rPr>
          <w:b/>
          <w:sz w:val="26"/>
          <w:szCs w:val="26"/>
        </w:rPr>
      </w:pPr>
      <w:r w:rsidRPr="00540755">
        <w:rPr>
          <w:b/>
          <w:sz w:val="26"/>
          <w:szCs w:val="26"/>
        </w:rPr>
        <w:t>A.</w:t>
      </w:r>
      <w:r w:rsidRPr="00540755">
        <w:rPr>
          <w:b/>
          <w:sz w:val="26"/>
          <w:szCs w:val="26"/>
        </w:rPr>
        <w:tab/>
        <w:t>Legal Standards</w:t>
      </w:r>
    </w:p>
    <w:p w:rsidR="00540755" w:rsidRPr="00540755" w:rsidRDefault="00540755" w:rsidP="00540755">
      <w:pPr>
        <w:keepNext/>
        <w:widowControl/>
        <w:spacing w:line="360" w:lineRule="auto"/>
        <w:rPr>
          <w:sz w:val="26"/>
          <w:szCs w:val="26"/>
        </w:rPr>
      </w:pPr>
    </w:p>
    <w:p w:rsidR="00540755" w:rsidRPr="00540755" w:rsidRDefault="00540755" w:rsidP="00540755">
      <w:pPr>
        <w:widowControl/>
        <w:spacing w:line="360" w:lineRule="auto"/>
        <w:ind w:firstLine="1440"/>
        <w:rPr>
          <w:sz w:val="26"/>
          <w:szCs w:val="26"/>
        </w:rPr>
      </w:pPr>
      <w:r w:rsidRPr="00540755">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PECO is responsible or accountable for the problem described in the Complaint.  </w:t>
      </w:r>
      <w:r w:rsidRPr="00540755">
        <w:rPr>
          <w:i/>
          <w:sz w:val="26"/>
          <w:szCs w:val="26"/>
        </w:rPr>
        <w:t>Patterson v. The Bell Telephone Company of Pennsylvania</w:t>
      </w:r>
      <w:r w:rsidRPr="00540755">
        <w:rPr>
          <w:sz w:val="26"/>
          <w:szCs w:val="26"/>
        </w:rPr>
        <w:t xml:space="preserve">, 72 Pa. P.U.C. 196 (1990).  Such a showing must be by a preponderance of the evidence.  </w:t>
      </w:r>
      <w:r w:rsidRPr="00540755">
        <w:rPr>
          <w:i/>
          <w:iCs/>
          <w:sz w:val="26"/>
          <w:szCs w:val="26"/>
        </w:rPr>
        <w:t>Samuel J. Lansberry, Inc. v. Pa. PUC</w:t>
      </w:r>
      <w:r w:rsidRPr="00540755">
        <w:rPr>
          <w:sz w:val="26"/>
          <w:szCs w:val="26"/>
        </w:rPr>
        <w:t xml:space="preserve">, 578 A.2d 600 (Pa. Cmwlth. 1990), </w:t>
      </w:r>
      <w:r w:rsidRPr="00540755">
        <w:rPr>
          <w:i/>
          <w:sz w:val="26"/>
          <w:szCs w:val="26"/>
        </w:rPr>
        <w:t>alloc. denied,</w:t>
      </w:r>
      <w:r w:rsidRPr="00540755">
        <w:rPr>
          <w:sz w:val="26"/>
          <w:szCs w:val="26"/>
        </w:rPr>
        <w:t xml:space="preserve"> 529 Pa. 654, 602 A.2d 863 (1992).  That is, the Complainant’s evidence must be more convincing, by even the smallest amount, than that presented by PECO.  </w:t>
      </w:r>
      <w:r w:rsidRPr="00540755">
        <w:rPr>
          <w:i/>
          <w:sz w:val="26"/>
          <w:szCs w:val="26"/>
        </w:rPr>
        <w:t xml:space="preserve">Se-Ling Hosiery, </w:t>
      </w:r>
      <w:r w:rsidRPr="00540755">
        <w:rPr>
          <w:i/>
          <w:sz w:val="26"/>
          <w:szCs w:val="26"/>
        </w:rPr>
        <w:lastRenderedPageBreak/>
        <w:t>Inc. v. Margulies</w:t>
      </w:r>
      <w:r w:rsidRPr="0054075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540755">
        <w:rPr>
          <w:i/>
          <w:sz w:val="26"/>
          <w:szCs w:val="26"/>
        </w:rPr>
        <w:t xml:space="preserve">Norfolk &amp; Western Ry. Co. v. Pa. PUC, </w:t>
      </w:r>
      <w:r w:rsidRPr="00540755">
        <w:rPr>
          <w:sz w:val="26"/>
          <w:szCs w:val="26"/>
        </w:rPr>
        <w:t>489 Pa. 109, 413 A.2d 1037 (1980).</w:t>
      </w:r>
    </w:p>
    <w:p w:rsidR="00540755" w:rsidRPr="00540755" w:rsidRDefault="00540755" w:rsidP="00540755">
      <w:pPr>
        <w:widowControl/>
        <w:spacing w:line="360" w:lineRule="auto"/>
        <w:rPr>
          <w:sz w:val="26"/>
          <w:szCs w:val="26"/>
        </w:rPr>
      </w:pPr>
    </w:p>
    <w:p w:rsidR="00540755" w:rsidRPr="00540755" w:rsidRDefault="00540755" w:rsidP="00540755">
      <w:pPr>
        <w:widowControl/>
        <w:spacing w:line="360" w:lineRule="auto"/>
        <w:ind w:firstLine="1440"/>
        <w:rPr>
          <w:rFonts w:ascii="Times New (W1)" w:hAnsi="Times New (W1)"/>
          <w:iCs/>
          <w:sz w:val="26"/>
        </w:rPr>
      </w:pPr>
      <w:r w:rsidRPr="00540755">
        <w:rPr>
          <w:sz w:val="26"/>
        </w:rPr>
        <w:t>Upon the presentation by the Complainant of evidence sufficient to initially satisfy the burden of proof, the burden of going forward with the evidence to rebut the evidence of the Complainant shifts to PECO.  If the evidence presented by PECO is of co</w:t>
      </w:r>
      <w:r w:rsidRPr="00540755">
        <w:rPr>
          <w:sz w:val="26"/>
        </w:rPr>
        <w:noBreakHyphen/>
        <w:t xml:space="preserve">equal value or “weight,” the burden of proof has not been satisfied.  The Complainant now has to provide some additional evidence to rebut that of PECO. </w:t>
      </w:r>
      <w:r w:rsidRPr="00540755">
        <w:rPr>
          <w:iCs/>
          <w:sz w:val="26"/>
        </w:rPr>
        <w:t xml:space="preserve"> </w:t>
      </w:r>
      <w:hyperlink r:id="rId9" w:history="1">
        <w:r w:rsidRPr="00540755">
          <w:rPr>
            <w:rFonts w:ascii="Times New (W1)" w:hAnsi="Times New (W1)"/>
            <w:i/>
            <w:iCs/>
            <w:sz w:val="26"/>
          </w:rPr>
          <w:t>Burleson v. Pa. PUC,</w:t>
        </w:r>
        <w:r w:rsidRPr="00540755">
          <w:rPr>
            <w:rFonts w:ascii="Times New (W1)" w:hAnsi="Times New (W1)"/>
            <w:iCs/>
            <w:sz w:val="26"/>
          </w:rPr>
          <w:t xml:space="preserve"> 443 A.2d 1373 (Pa. Cmwlth. 1982), </w:t>
        </w:r>
        <w:r w:rsidRPr="00540755">
          <w:rPr>
            <w:rFonts w:ascii="Times New (W1)" w:hAnsi="Times New (W1)"/>
            <w:i/>
            <w:iCs/>
            <w:sz w:val="26"/>
          </w:rPr>
          <w:t>aff’d,</w:t>
        </w:r>
        <w:r w:rsidRPr="00540755">
          <w:rPr>
            <w:rFonts w:ascii="Times New (W1)" w:hAnsi="Times New (W1)"/>
            <w:iCs/>
            <w:sz w:val="26"/>
          </w:rPr>
          <w:t xml:space="preserve"> 501 Pa. 433, 461 A.2d 1234 (1983).</w:t>
        </w:r>
      </w:hyperlink>
    </w:p>
    <w:p w:rsidR="00540755" w:rsidRPr="00540755" w:rsidRDefault="00540755" w:rsidP="00540755">
      <w:pPr>
        <w:widowControl/>
        <w:spacing w:line="360" w:lineRule="auto"/>
        <w:rPr>
          <w:rFonts w:ascii="Times New (W1)" w:hAnsi="Times New (W1)"/>
          <w:sz w:val="26"/>
        </w:rPr>
      </w:pPr>
    </w:p>
    <w:p w:rsidR="00540755" w:rsidRDefault="00540755" w:rsidP="00540755">
      <w:pPr>
        <w:widowControl/>
        <w:spacing w:line="360" w:lineRule="auto"/>
        <w:ind w:firstLine="1440"/>
        <w:rPr>
          <w:sz w:val="26"/>
        </w:rPr>
      </w:pPr>
      <w:r w:rsidRPr="00540755">
        <w:rPr>
          <w:sz w:val="26"/>
        </w:rPr>
        <w:t xml:space="preserve">While the burden of going forward with the evidence may shift back and forth during a proceeding, the burden of proof never shifts.  The burden of proof always remains on the party seeking affirmative relief from the Commission.  </w:t>
      </w:r>
      <w:r w:rsidRPr="00540755">
        <w:rPr>
          <w:i/>
          <w:sz w:val="26"/>
        </w:rPr>
        <w:t xml:space="preserve">Milkie v. Pa. PUC, </w:t>
      </w:r>
      <w:r w:rsidRPr="00540755">
        <w:rPr>
          <w:sz w:val="26"/>
        </w:rPr>
        <w:t>768 A.2d 1217 (Pa. Cmwlth. 2001).</w:t>
      </w:r>
    </w:p>
    <w:p w:rsidR="0032413F" w:rsidRDefault="0032413F" w:rsidP="0032413F">
      <w:pPr>
        <w:widowControl/>
        <w:spacing w:line="360" w:lineRule="auto"/>
        <w:rPr>
          <w:sz w:val="26"/>
        </w:rPr>
      </w:pPr>
    </w:p>
    <w:p w:rsidR="0032413F" w:rsidRPr="00394793" w:rsidRDefault="0032413F" w:rsidP="0032413F">
      <w:pPr>
        <w:widowControl/>
        <w:spacing w:line="360" w:lineRule="auto"/>
        <w:ind w:firstLine="1440"/>
        <w:rPr>
          <w:sz w:val="26"/>
          <w:szCs w:val="26"/>
        </w:rPr>
      </w:pPr>
      <w:r w:rsidRPr="00394793">
        <w:rPr>
          <w:sz w:val="26"/>
          <w:szCs w:val="26"/>
        </w:rPr>
        <w:t xml:space="preserve">ALJ Johnson made sixty-nine Findings of Fact and reached ten Conclusions of Law.  I.D. at 4-16, 36-37.  The Findings of Fact and Conclusions of Law are incorporated herein by reference and are adopted without comment unless they are either expressly or by necessary implication rejected or modified by this Opinion and Order. </w:t>
      </w:r>
    </w:p>
    <w:p w:rsidR="00540755" w:rsidRPr="00540755" w:rsidRDefault="00540755" w:rsidP="00540755">
      <w:pPr>
        <w:widowControl/>
        <w:spacing w:line="360" w:lineRule="auto"/>
        <w:rPr>
          <w:sz w:val="26"/>
          <w:szCs w:val="26"/>
        </w:rPr>
      </w:pPr>
    </w:p>
    <w:p w:rsidR="00540755" w:rsidRDefault="00540755" w:rsidP="00540755">
      <w:pPr>
        <w:widowControl/>
        <w:spacing w:line="360" w:lineRule="auto"/>
        <w:ind w:firstLine="1440"/>
        <w:rPr>
          <w:sz w:val="26"/>
          <w:szCs w:val="26"/>
        </w:rPr>
      </w:pPr>
      <w:r w:rsidRPr="00540755">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0" w:history="1">
        <w:r w:rsidRPr="00540755">
          <w:rPr>
            <w:i/>
            <w:iCs/>
            <w:sz w:val="26"/>
            <w:szCs w:val="26"/>
          </w:rPr>
          <w:t>Consolidated Ra</w:t>
        </w:r>
        <w:r w:rsidRPr="00540755">
          <w:rPr>
            <w:i/>
            <w:iCs/>
            <w:color w:val="000000"/>
            <w:sz w:val="26"/>
            <w:szCs w:val="26"/>
          </w:rPr>
          <w:t xml:space="preserve">il Corp. v. Pa. PUC, </w:t>
        </w:r>
        <w:r w:rsidRPr="00540755">
          <w:rPr>
            <w:color w:val="000000"/>
            <w:sz w:val="26"/>
            <w:szCs w:val="26"/>
          </w:rPr>
          <w:t>625 A.2d 741 (Pa. Cmwlth. 1993);</w:t>
        </w:r>
      </w:hyperlink>
      <w:r w:rsidRPr="00540755">
        <w:rPr>
          <w:color w:val="000000"/>
          <w:sz w:val="26"/>
          <w:szCs w:val="26"/>
        </w:rPr>
        <w:t xml:space="preserve"> </w:t>
      </w:r>
      <w:r w:rsidRPr="00540755">
        <w:rPr>
          <w:i/>
          <w:color w:val="000000"/>
          <w:sz w:val="26"/>
          <w:szCs w:val="26"/>
        </w:rPr>
        <w:t xml:space="preserve">also </w:t>
      </w:r>
      <w:r w:rsidRPr="00540755">
        <w:rPr>
          <w:i/>
          <w:iCs/>
          <w:color w:val="000000"/>
          <w:sz w:val="26"/>
          <w:szCs w:val="26"/>
        </w:rPr>
        <w:t xml:space="preserve">see, generally, </w:t>
      </w:r>
      <w:hyperlink r:id="rId11" w:history="1">
        <w:r w:rsidRPr="00540755">
          <w:rPr>
            <w:i/>
            <w:iCs/>
            <w:color w:val="000000"/>
            <w:sz w:val="26"/>
            <w:szCs w:val="26"/>
          </w:rPr>
          <w:t>University of Pennsylvania v. Pa. PUC</w:t>
        </w:r>
        <w:r w:rsidRPr="00540755">
          <w:rPr>
            <w:color w:val="000000"/>
            <w:sz w:val="26"/>
            <w:szCs w:val="26"/>
          </w:rPr>
          <w:t>, 485 A.2d 1217 (Pa. Cmwlth. 1984).</w:t>
        </w:r>
      </w:hyperlink>
    </w:p>
    <w:p w:rsidR="00006F35" w:rsidRPr="00394793" w:rsidRDefault="002524EF" w:rsidP="002847E8">
      <w:pPr>
        <w:keepNext/>
        <w:keepLines/>
        <w:widowControl/>
        <w:spacing w:line="360" w:lineRule="auto"/>
        <w:rPr>
          <w:b/>
          <w:sz w:val="26"/>
          <w:szCs w:val="26"/>
        </w:rPr>
      </w:pPr>
      <w:r>
        <w:rPr>
          <w:b/>
          <w:sz w:val="26"/>
          <w:szCs w:val="26"/>
        </w:rPr>
        <w:lastRenderedPageBreak/>
        <w:t>B.</w:t>
      </w:r>
      <w:r>
        <w:rPr>
          <w:b/>
          <w:sz w:val="26"/>
          <w:szCs w:val="26"/>
        </w:rPr>
        <w:tab/>
      </w:r>
      <w:r w:rsidR="0032413F">
        <w:rPr>
          <w:b/>
          <w:sz w:val="26"/>
          <w:szCs w:val="26"/>
        </w:rPr>
        <w:t>Contested Issues</w:t>
      </w:r>
    </w:p>
    <w:p w:rsidR="001A512B" w:rsidRDefault="001A512B" w:rsidP="002847E8">
      <w:pPr>
        <w:keepNext/>
        <w:keepLines/>
        <w:widowControl/>
        <w:spacing w:line="360" w:lineRule="auto"/>
        <w:rPr>
          <w:sz w:val="26"/>
          <w:szCs w:val="26"/>
        </w:rPr>
      </w:pPr>
    </w:p>
    <w:p w:rsidR="002524EF" w:rsidRPr="002524EF" w:rsidRDefault="002524EF" w:rsidP="002847E8">
      <w:pPr>
        <w:keepNext/>
        <w:keepLines/>
        <w:widowControl/>
        <w:spacing w:line="360" w:lineRule="auto"/>
        <w:rPr>
          <w:b/>
          <w:sz w:val="26"/>
          <w:szCs w:val="26"/>
        </w:rPr>
      </w:pPr>
      <w:r>
        <w:rPr>
          <w:sz w:val="26"/>
          <w:szCs w:val="26"/>
        </w:rPr>
        <w:tab/>
      </w:r>
      <w:r w:rsidRPr="002524EF">
        <w:rPr>
          <w:b/>
          <w:sz w:val="26"/>
          <w:szCs w:val="26"/>
        </w:rPr>
        <w:t>1.</w:t>
      </w:r>
      <w:r w:rsidRPr="002524EF">
        <w:rPr>
          <w:b/>
          <w:sz w:val="26"/>
          <w:szCs w:val="26"/>
        </w:rPr>
        <w:tab/>
        <w:t>PECO</w:t>
      </w:r>
      <w:r w:rsidR="00483C23">
        <w:rPr>
          <w:b/>
          <w:sz w:val="26"/>
          <w:szCs w:val="26"/>
        </w:rPr>
        <w:t>’s</w:t>
      </w:r>
      <w:r w:rsidRPr="002524EF">
        <w:rPr>
          <w:b/>
          <w:sz w:val="26"/>
          <w:szCs w:val="26"/>
        </w:rPr>
        <w:t xml:space="preserve"> Oral Motion in Limine</w:t>
      </w:r>
    </w:p>
    <w:p w:rsidR="002524EF" w:rsidRPr="00394793" w:rsidRDefault="002524EF" w:rsidP="002847E8">
      <w:pPr>
        <w:keepNext/>
        <w:keepLines/>
        <w:widowControl/>
        <w:spacing w:line="360" w:lineRule="auto"/>
        <w:rPr>
          <w:sz w:val="26"/>
          <w:szCs w:val="26"/>
        </w:rPr>
      </w:pPr>
    </w:p>
    <w:p w:rsidR="001A512B" w:rsidRDefault="001A512B" w:rsidP="001A512B">
      <w:pPr>
        <w:widowControl/>
        <w:spacing w:line="360" w:lineRule="auto"/>
        <w:rPr>
          <w:sz w:val="26"/>
          <w:szCs w:val="26"/>
        </w:rPr>
      </w:pPr>
      <w:r w:rsidRPr="00394793">
        <w:rPr>
          <w:sz w:val="26"/>
          <w:szCs w:val="26"/>
        </w:rPr>
        <w:tab/>
      </w:r>
      <w:r w:rsidRPr="00394793">
        <w:rPr>
          <w:sz w:val="26"/>
          <w:szCs w:val="26"/>
        </w:rPr>
        <w:tab/>
      </w:r>
      <w:r w:rsidR="0032413F">
        <w:rPr>
          <w:sz w:val="26"/>
          <w:szCs w:val="26"/>
        </w:rPr>
        <w:t xml:space="preserve">Before addressing the specific contested issues in this proceeding, </w:t>
      </w:r>
      <w:r w:rsidR="000F59B1">
        <w:rPr>
          <w:sz w:val="26"/>
          <w:szCs w:val="26"/>
        </w:rPr>
        <w:t xml:space="preserve">we will first provide an account of </w:t>
      </w:r>
      <w:r w:rsidR="00A21A75">
        <w:rPr>
          <w:sz w:val="26"/>
          <w:szCs w:val="26"/>
        </w:rPr>
        <w:t>an oral motion in limine made by PECO’s counsel at the</w:t>
      </w:r>
      <w:r w:rsidR="004A3886">
        <w:rPr>
          <w:sz w:val="26"/>
          <w:szCs w:val="26"/>
        </w:rPr>
        <w:t xml:space="preserve"> beginning of the</w:t>
      </w:r>
      <w:r w:rsidR="00A21A75">
        <w:rPr>
          <w:sz w:val="26"/>
          <w:szCs w:val="26"/>
        </w:rPr>
        <w:t xml:space="preserve"> June 2, 2015 hearing.</w:t>
      </w:r>
      <w:r w:rsidR="004A3886">
        <w:rPr>
          <w:sz w:val="26"/>
          <w:szCs w:val="26"/>
        </w:rPr>
        <w:t xml:space="preserve">  By her</w:t>
      </w:r>
      <w:r w:rsidR="002D69E2">
        <w:rPr>
          <w:sz w:val="26"/>
          <w:szCs w:val="26"/>
        </w:rPr>
        <w:t xml:space="preserve"> motion</w:t>
      </w:r>
      <w:r w:rsidR="004A3886">
        <w:rPr>
          <w:sz w:val="26"/>
          <w:szCs w:val="26"/>
        </w:rPr>
        <w:t>, PECO’s counsel</w:t>
      </w:r>
      <w:r w:rsidR="002D69E2">
        <w:rPr>
          <w:sz w:val="26"/>
          <w:szCs w:val="26"/>
        </w:rPr>
        <w:t xml:space="preserve"> asked the ALJ to exclude</w:t>
      </w:r>
      <w:r w:rsidR="00186574">
        <w:rPr>
          <w:sz w:val="26"/>
          <w:szCs w:val="26"/>
        </w:rPr>
        <w:t xml:space="preserve"> the amount of </w:t>
      </w:r>
      <w:r w:rsidR="002D69E2">
        <w:rPr>
          <w:sz w:val="26"/>
          <w:szCs w:val="26"/>
        </w:rPr>
        <w:t xml:space="preserve">$1,435.69 </w:t>
      </w:r>
      <w:r w:rsidR="00186574">
        <w:rPr>
          <w:sz w:val="26"/>
          <w:szCs w:val="26"/>
        </w:rPr>
        <w:t>from that portion of the Complaint regarding the allegations of incorrect billing.  PECO</w:t>
      </w:r>
      <w:r w:rsidR="001E2972">
        <w:rPr>
          <w:sz w:val="26"/>
          <w:szCs w:val="26"/>
        </w:rPr>
        <w:t xml:space="preserve"> </w:t>
      </w:r>
      <w:r w:rsidR="00186574">
        <w:rPr>
          <w:sz w:val="26"/>
          <w:szCs w:val="26"/>
        </w:rPr>
        <w:t>asserted</w:t>
      </w:r>
      <w:r w:rsidR="00186574" w:rsidRPr="00186574">
        <w:rPr>
          <w:sz w:val="26"/>
          <w:szCs w:val="26"/>
        </w:rPr>
        <w:t xml:space="preserve"> that this amount</w:t>
      </w:r>
      <w:r w:rsidR="00186574">
        <w:rPr>
          <w:sz w:val="26"/>
          <w:szCs w:val="26"/>
        </w:rPr>
        <w:t xml:space="preserve"> was the outstanding balance on the Complainant’s account relating</w:t>
      </w:r>
      <w:r w:rsidR="00186574" w:rsidRPr="00186574">
        <w:rPr>
          <w:sz w:val="26"/>
          <w:szCs w:val="26"/>
        </w:rPr>
        <w:t xml:space="preserve"> to</w:t>
      </w:r>
      <w:r w:rsidR="00186574">
        <w:rPr>
          <w:sz w:val="26"/>
          <w:szCs w:val="26"/>
        </w:rPr>
        <w:t xml:space="preserve"> utility</w:t>
      </w:r>
      <w:r w:rsidR="00186574" w:rsidRPr="00186574">
        <w:rPr>
          <w:sz w:val="26"/>
          <w:szCs w:val="26"/>
        </w:rPr>
        <w:t xml:space="preserve"> ser</w:t>
      </w:r>
      <w:r w:rsidR="00186574">
        <w:rPr>
          <w:sz w:val="26"/>
          <w:szCs w:val="26"/>
        </w:rPr>
        <w:t>vice provided to her</w:t>
      </w:r>
      <w:r w:rsidR="00186574" w:rsidRPr="00186574">
        <w:rPr>
          <w:sz w:val="26"/>
          <w:szCs w:val="26"/>
        </w:rPr>
        <w:t xml:space="preserve"> at 373 Church Street</w:t>
      </w:r>
      <w:r w:rsidR="001E2972">
        <w:rPr>
          <w:sz w:val="26"/>
          <w:szCs w:val="26"/>
        </w:rPr>
        <w:t xml:space="preserve"> in Phoenixville, Pennsylvania,</w:t>
      </w:r>
      <w:r w:rsidR="00186574" w:rsidRPr="00186574">
        <w:rPr>
          <w:sz w:val="26"/>
          <w:szCs w:val="26"/>
        </w:rPr>
        <w:t xml:space="preserve"> from </w:t>
      </w:r>
      <w:r w:rsidR="00685202">
        <w:rPr>
          <w:sz w:val="26"/>
          <w:szCs w:val="26"/>
        </w:rPr>
        <w:t>June</w:t>
      </w:r>
      <w:r w:rsidR="00186574" w:rsidRPr="00186574">
        <w:rPr>
          <w:sz w:val="26"/>
          <w:szCs w:val="26"/>
        </w:rPr>
        <w:t xml:space="preserve"> 2003 to </w:t>
      </w:r>
      <w:r w:rsidR="00685202">
        <w:rPr>
          <w:sz w:val="26"/>
          <w:szCs w:val="26"/>
        </w:rPr>
        <w:t>June</w:t>
      </w:r>
      <w:r w:rsidR="00186574" w:rsidRPr="00186574">
        <w:rPr>
          <w:sz w:val="26"/>
          <w:szCs w:val="26"/>
        </w:rPr>
        <w:t xml:space="preserve"> 2004</w:t>
      </w:r>
      <w:r w:rsidR="00186574">
        <w:rPr>
          <w:sz w:val="26"/>
          <w:szCs w:val="26"/>
        </w:rPr>
        <w:t>.  According to PECO, the</w:t>
      </w:r>
      <w:r w:rsidR="001E2972">
        <w:rPr>
          <w:sz w:val="26"/>
          <w:szCs w:val="26"/>
        </w:rPr>
        <w:t xml:space="preserve"> Com</w:t>
      </w:r>
      <w:r w:rsidR="00403025">
        <w:rPr>
          <w:sz w:val="26"/>
          <w:szCs w:val="26"/>
        </w:rPr>
        <w:t>pany transferred that</w:t>
      </w:r>
      <w:r w:rsidR="001E2972">
        <w:rPr>
          <w:sz w:val="26"/>
          <w:szCs w:val="26"/>
        </w:rPr>
        <w:t xml:space="preserve"> balance</w:t>
      </w:r>
      <w:r w:rsidR="00186574">
        <w:rPr>
          <w:sz w:val="26"/>
          <w:szCs w:val="26"/>
        </w:rPr>
        <w:t xml:space="preserve"> to</w:t>
      </w:r>
      <w:r w:rsidR="001E2972">
        <w:rPr>
          <w:sz w:val="26"/>
          <w:szCs w:val="26"/>
        </w:rPr>
        <w:t xml:space="preserve"> </w:t>
      </w:r>
      <w:r w:rsidR="00BB5287">
        <w:rPr>
          <w:sz w:val="26"/>
          <w:szCs w:val="26"/>
        </w:rPr>
        <w:t>the Complainant’s new account when she moved to</w:t>
      </w:r>
      <w:r w:rsidR="001E2972">
        <w:rPr>
          <w:sz w:val="26"/>
          <w:szCs w:val="26"/>
        </w:rPr>
        <w:t xml:space="preserve"> 229 Church Street on June 15, 2006.  PECO averred that</w:t>
      </w:r>
      <w:r w:rsidR="001E2972" w:rsidRPr="001E2972">
        <w:rPr>
          <w:sz w:val="26"/>
          <w:szCs w:val="26"/>
        </w:rPr>
        <w:t xml:space="preserve"> </w:t>
      </w:r>
      <w:r w:rsidR="001E2972">
        <w:rPr>
          <w:sz w:val="26"/>
          <w:szCs w:val="26"/>
        </w:rPr>
        <w:t>on</w:t>
      </w:r>
      <w:r w:rsidR="001C26DD">
        <w:rPr>
          <w:sz w:val="26"/>
          <w:szCs w:val="26"/>
        </w:rPr>
        <w:t xml:space="preserve"> August 14, 2006</w:t>
      </w:r>
      <w:r w:rsidR="001E2972">
        <w:rPr>
          <w:sz w:val="26"/>
          <w:szCs w:val="26"/>
        </w:rPr>
        <w:t>, the</w:t>
      </w:r>
      <w:r w:rsidR="001C26DD">
        <w:rPr>
          <w:sz w:val="26"/>
          <w:szCs w:val="26"/>
        </w:rPr>
        <w:t xml:space="preserve"> Complainant filed an informal complaint with</w:t>
      </w:r>
      <w:r w:rsidR="001C26DD" w:rsidRPr="001C26DD">
        <w:rPr>
          <w:sz w:val="26"/>
          <w:szCs w:val="26"/>
        </w:rPr>
        <w:t xml:space="preserve"> </w:t>
      </w:r>
      <w:r w:rsidR="001C759D">
        <w:rPr>
          <w:sz w:val="26"/>
          <w:szCs w:val="26"/>
        </w:rPr>
        <w:t xml:space="preserve">the </w:t>
      </w:r>
      <w:r w:rsidR="001C26DD">
        <w:rPr>
          <w:sz w:val="26"/>
          <w:szCs w:val="26"/>
        </w:rPr>
        <w:t xml:space="preserve">Commission’s Bureau of Consumer Services (BCS) challenging the balance transfer, and that BCS dismissed the informal complaint </w:t>
      </w:r>
      <w:r w:rsidR="00403025">
        <w:rPr>
          <w:sz w:val="26"/>
          <w:szCs w:val="26"/>
        </w:rPr>
        <w:t>on January 4, 2007</w:t>
      </w:r>
      <w:r w:rsidR="001C26DD">
        <w:rPr>
          <w:sz w:val="26"/>
          <w:szCs w:val="26"/>
        </w:rPr>
        <w:t>.</w:t>
      </w:r>
      <w:r w:rsidR="00E232D0">
        <w:rPr>
          <w:sz w:val="26"/>
          <w:szCs w:val="26"/>
        </w:rPr>
        <w:t xml:space="preserve">  PECO argued that because </w:t>
      </w:r>
      <w:r w:rsidR="00403025">
        <w:rPr>
          <w:sz w:val="26"/>
          <w:szCs w:val="26"/>
        </w:rPr>
        <w:t>the Complainant did not appeal the BCS decision and did not file a formal complaint on the matter within three years from the date of the balance transfer, she is barred from raising the matter in the instant proceeding</w:t>
      </w:r>
      <w:r w:rsidR="00A96BBA">
        <w:rPr>
          <w:sz w:val="26"/>
          <w:szCs w:val="26"/>
        </w:rPr>
        <w:t>, pursuant to 66 Pa. C.S. § </w:t>
      </w:r>
      <w:r w:rsidR="00A96BBA" w:rsidRPr="00775DE1">
        <w:rPr>
          <w:sz w:val="26"/>
          <w:szCs w:val="26"/>
        </w:rPr>
        <w:t>3314(a).</w:t>
      </w:r>
      <w:r w:rsidR="000032F9" w:rsidRPr="00775DE1">
        <w:rPr>
          <w:sz w:val="26"/>
          <w:szCs w:val="26"/>
          <w:vertAlign w:val="superscript"/>
        </w:rPr>
        <w:footnoteReference w:id="3"/>
      </w:r>
      <w:r w:rsidR="00403025">
        <w:rPr>
          <w:sz w:val="26"/>
          <w:szCs w:val="26"/>
        </w:rPr>
        <w:t xml:space="preserve">  </w:t>
      </w:r>
      <w:r w:rsidR="000032F9">
        <w:rPr>
          <w:sz w:val="26"/>
          <w:szCs w:val="26"/>
        </w:rPr>
        <w:t>I.D. at 16-17; Tr. at 9-12.</w:t>
      </w:r>
    </w:p>
    <w:p w:rsidR="008129DB" w:rsidRDefault="008129DB" w:rsidP="001A512B">
      <w:pPr>
        <w:widowControl/>
        <w:spacing w:line="360" w:lineRule="auto"/>
        <w:rPr>
          <w:sz w:val="26"/>
          <w:szCs w:val="26"/>
        </w:rPr>
      </w:pPr>
    </w:p>
    <w:p w:rsidR="00A21A75" w:rsidRPr="00A21A75" w:rsidRDefault="008129DB" w:rsidP="00A21A75">
      <w:pPr>
        <w:widowControl/>
        <w:spacing w:line="360" w:lineRule="auto"/>
        <w:rPr>
          <w:sz w:val="26"/>
          <w:szCs w:val="26"/>
        </w:rPr>
      </w:pPr>
      <w:r>
        <w:rPr>
          <w:sz w:val="26"/>
          <w:szCs w:val="26"/>
        </w:rPr>
        <w:tab/>
      </w:r>
      <w:r>
        <w:rPr>
          <w:sz w:val="26"/>
          <w:szCs w:val="26"/>
        </w:rPr>
        <w:tab/>
      </w:r>
      <w:r w:rsidR="000F59B1">
        <w:rPr>
          <w:sz w:val="26"/>
          <w:szCs w:val="26"/>
        </w:rPr>
        <w:t>In his Initial Decision, t</w:t>
      </w:r>
      <w:r w:rsidRPr="009D6A1B">
        <w:rPr>
          <w:sz w:val="26"/>
          <w:szCs w:val="26"/>
        </w:rPr>
        <w:t>he ALJ</w:t>
      </w:r>
      <w:r w:rsidR="0060107B">
        <w:rPr>
          <w:sz w:val="26"/>
          <w:szCs w:val="26"/>
        </w:rPr>
        <w:t xml:space="preserve"> stated</w:t>
      </w:r>
      <w:r w:rsidR="009D6A1B" w:rsidRPr="009D6A1B">
        <w:rPr>
          <w:sz w:val="26"/>
          <w:szCs w:val="26"/>
        </w:rPr>
        <w:t xml:space="preserve"> that although he initially granted PECO’s motion in limine and ruled that no testimony be received on the $1,435.69 </w:t>
      </w:r>
      <w:r w:rsidR="009D6A1B" w:rsidRPr="0060107B">
        <w:rPr>
          <w:sz w:val="26"/>
          <w:szCs w:val="26"/>
        </w:rPr>
        <w:lastRenderedPageBreak/>
        <w:t>amount and transfer,</w:t>
      </w:r>
      <w:r w:rsidR="0060107B" w:rsidRPr="0060107B">
        <w:rPr>
          <w:sz w:val="26"/>
          <w:szCs w:val="26"/>
        </w:rPr>
        <w:t xml:space="preserve"> subsequent testimony by the Complainant led the ALJ to determine that “</w:t>
      </w:r>
      <w:r w:rsidR="00A21A75" w:rsidRPr="0060107B">
        <w:rPr>
          <w:sz w:val="26"/>
          <w:szCs w:val="26"/>
        </w:rPr>
        <w:t>multiple dates of service, billing amounts at various addresses, when usage accrued, and when transfers occurred were all at issue.</w:t>
      </w:r>
      <w:r w:rsidR="0060107B" w:rsidRPr="0060107B">
        <w:rPr>
          <w:sz w:val="26"/>
          <w:szCs w:val="26"/>
        </w:rPr>
        <w:t>”</w:t>
      </w:r>
      <w:r w:rsidR="00A21A75" w:rsidRPr="0060107B">
        <w:rPr>
          <w:sz w:val="26"/>
          <w:szCs w:val="26"/>
        </w:rPr>
        <w:t xml:space="preserve">  </w:t>
      </w:r>
      <w:r w:rsidR="0060107B" w:rsidRPr="0060107B">
        <w:rPr>
          <w:sz w:val="26"/>
          <w:szCs w:val="26"/>
        </w:rPr>
        <w:t xml:space="preserve">I.D. at 17.  Accordingly, the ALJ directed the parties </w:t>
      </w:r>
      <w:r w:rsidR="00A21A75" w:rsidRPr="0060107B">
        <w:rPr>
          <w:sz w:val="26"/>
          <w:szCs w:val="26"/>
        </w:rPr>
        <w:t xml:space="preserve">“to submit memorandums of law </w:t>
      </w:r>
      <w:r w:rsidR="00A21A75" w:rsidRPr="00EA4D9E">
        <w:rPr>
          <w:sz w:val="26"/>
          <w:szCs w:val="26"/>
        </w:rPr>
        <w:t>specifically outlining what the facts are, when the billings occurred and why either side believed that they should prevail in this matter.”</w:t>
      </w:r>
      <w:r w:rsidR="0060107B" w:rsidRPr="00EA4D9E">
        <w:rPr>
          <w:sz w:val="26"/>
          <w:szCs w:val="26"/>
        </w:rPr>
        <w:t xml:space="preserve">  </w:t>
      </w:r>
      <w:r w:rsidR="0060107B" w:rsidRPr="00EA4D9E">
        <w:rPr>
          <w:i/>
          <w:sz w:val="26"/>
          <w:szCs w:val="26"/>
        </w:rPr>
        <w:t>Id</w:t>
      </w:r>
      <w:r w:rsidR="0060107B" w:rsidRPr="00EA4D9E">
        <w:rPr>
          <w:sz w:val="26"/>
          <w:szCs w:val="26"/>
        </w:rPr>
        <w:t xml:space="preserve">. (citing </w:t>
      </w:r>
      <w:r w:rsidR="00A21A75" w:rsidRPr="00EA4D9E">
        <w:rPr>
          <w:sz w:val="26"/>
          <w:szCs w:val="26"/>
        </w:rPr>
        <w:t>Tr.</w:t>
      </w:r>
      <w:r w:rsidR="0060107B" w:rsidRPr="00EA4D9E">
        <w:rPr>
          <w:sz w:val="26"/>
          <w:szCs w:val="26"/>
        </w:rPr>
        <w:t xml:space="preserve"> at 41, 144</w:t>
      </w:r>
      <w:r w:rsidR="00A21A75" w:rsidRPr="00EA4D9E">
        <w:rPr>
          <w:sz w:val="26"/>
          <w:szCs w:val="26"/>
        </w:rPr>
        <w:t>)</w:t>
      </w:r>
      <w:r w:rsidR="0060107B" w:rsidRPr="00EA4D9E">
        <w:rPr>
          <w:sz w:val="26"/>
          <w:szCs w:val="26"/>
        </w:rPr>
        <w:t>.</w:t>
      </w:r>
      <w:r w:rsidR="00A21A75" w:rsidRPr="00EA4D9E">
        <w:rPr>
          <w:sz w:val="26"/>
          <w:szCs w:val="26"/>
        </w:rPr>
        <w:t xml:space="preserve">  </w:t>
      </w:r>
      <w:r w:rsidR="0060107B" w:rsidRPr="00EA4D9E">
        <w:rPr>
          <w:sz w:val="26"/>
          <w:szCs w:val="26"/>
        </w:rPr>
        <w:t xml:space="preserve">Thus, the ALJ noted that he </w:t>
      </w:r>
      <w:r w:rsidR="00A21A75" w:rsidRPr="00EA4D9E">
        <w:rPr>
          <w:sz w:val="26"/>
          <w:szCs w:val="26"/>
        </w:rPr>
        <w:t xml:space="preserve">effectively reversed </w:t>
      </w:r>
      <w:r w:rsidR="00EA4D9E" w:rsidRPr="00EA4D9E">
        <w:rPr>
          <w:sz w:val="26"/>
          <w:szCs w:val="26"/>
        </w:rPr>
        <w:t>h</w:t>
      </w:r>
      <w:r w:rsidR="0060107B" w:rsidRPr="00EA4D9E">
        <w:rPr>
          <w:sz w:val="26"/>
          <w:szCs w:val="26"/>
        </w:rPr>
        <w:t>is</w:t>
      </w:r>
      <w:r w:rsidR="000F59B1">
        <w:rPr>
          <w:sz w:val="26"/>
          <w:szCs w:val="26"/>
        </w:rPr>
        <w:t xml:space="preserve"> initial</w:t>
      </w:r>
      <w:r w:rsidR="00A21A75" w:rsidRPr="00EA4D9E">
        <w:rPr>
          <w:sz w:val="26"/>
          <w:szCs w:val="26"/>
        </w:rPr>
        <w:t xml:space="preserve"> ruling</w:t>
      </w:r>
      <w:r w:rsidR="0060107B" w:rsidRPr="00EA4D9E">
        <w:rPr>
          <w:sz w:val="26"/>
          <w:szCs w:val="26"/>
        </w:rPr>
        <w:t xml:space="preserve"> on PECO’s oral motion in limine, and </w:t>
      </w:r>
      <w:r w:rsidR="00EA4D9E" w:rsidRPr="00EA4D9E">
        <w:rPr>
          <w:sz w:val="26"/>
          <w:szCs w:val="26"/>
        </w:rPr>
        <w:t>PECO</w:t>
      </w:r>
      <w:r w:rsidR="00A21A75" w:rsidRPr="00EA4D9E">
        <w:rPr>
          <w:sz w:val="26"/>
          <w:szCs w:val="26"/>
        </w:rPr>
        <w:t xml:space="preserve"> later presented testimony on the $1,435.69 amount and</w:t>
      </w:r>
      <w:r w:rsidR="00E23802">
        <w:rPr>
          <w:sz w:val="26"/>
          <w:szCs w:val="26"/>
        </w:rPr>
        <w:t xml:space="preserve"> transfer to subsequent service</w:t>
      </w:r>
      <w:r w:rsidR="00A21A75" w:rsidRPr="00EA4D9E">
        <w:rPr>
          <w:sz w:val="26"/>
          <w:szCs w:val="26"/>
        </w:rPr>
        <w:t xml:space="preserve"> addresses.</w:t>
      </w:r>
      <w:r w:rsidR="00EA4D9E" w:rsidRPr="00EA4D9E">
        <w:rPr>
          <w:sz w:val="26"/>
          <w:szCs w:val="26"/>
        </w:rPr>
        <w:t xml:space="preserve">  I.D. at 17 (citing </w:t>
      </w:r>
      <w:r w:rsidR="00A21A75" w:rsidRPr="00EA4D9E">
        <w:rPr>
          <w:sz w:val="26"/>
          <w:szCs w:val="26"/>
        </w:rPr>
        <w:t>Tr.</w:t>
      </w:r>
      <w:r w:rsidR="00F74DAE">
        <w:rPr>
          <w:sz w:val="26"/>
          <w:szCs w:val="26"/>
        </w:rPr>
        <w:t> </w:t>
      </w:r>
      <w:r w:rsidR="00EA4D9E" w:rsidRPr="00EA4D9E">
        <w:rPr>
          <w:sz w:val="26"/>
          <w:szCs w:val="26"/>
        </w:rPr>
        <w:t>at</w:t>
      </w:r>
      <w:r w:rsidR="00A21A75" w:rsidRPr="00EA4D9E">
        <w:rPr>
          <w:sz w:val="26"/>
          <w:szCs w:val="26"/>
        </w:rPr>
        <w:t xml:space="preserve"> 67-71.)</w:t>
      </w:r>
      <w:r w:rsidR="00A21A75" w:rsidRPr="00A21A75">
        <w:rPr>
          <w:sz w:val="26"/>
          <w:szCs w:val="26"/>
        </w:rPr>
        <w:t xml:space="preserve"> </w:t>
      </w:r>
    </w:p>
    <w:p w:rsidR="00A21A75" w:rsidRDefault="00A21A75" w:rsidP="001A512B">
      <w:pPr>
        <w:widowControl/>
        <w:spacing w:line="360" w:lineRule="auto"/>
        <w:rPr>
          <w:sz w:val="26"/>
          <w:szCs w:val="26"/>
        </w:rPr>
      </w:pPr>
    </w:p>
    <w:p w:rsidR="002524EF" w:rsidRPr="002524EF" w:rsidRDefault="002524EF" w:rsidP="006830C1">
      <w:pPr>
        <w:keepNext/>
        <w:widowControl/>
        <w:spacing w:line="360" w:lineRule="auto"/>
        <w:rPr>
          <w:b/>
          <w:sz w:val="26"/>
          <w:szCs w:val="26"/>
        </w:rPr>
      </w:pPr>
      <w:r>
        <w:rPr>
          <w:sz w:val="26"/>
          <w:szCs w:val="26"/>
        </w:rPr>
        <w:tab/>
      </w:r>
      <w:r w:rsidRPr="002524EF">
        <w:rPr>
          <w:b/>
          <w:sz w:val="26"/>
          <w:szCs w:val="26"/>
        </w:rPr>
        <w:t>2.</w:t>
      </w:r>
      <w:r w:rsidRPr="002524EF">
        <w:rPr>
          <w:b/>
          <w:sz w:val="26"/>
          <w:szCs w:val="26"/>
        </w:rPr>
        <w:tab/>
        <w:t>PECO’s Processing of Complainant’s Application for Service</w:t>
      </w:r>
    </w:p>
    <w:p w:rsidR="002524EF" w:rsidRDefault="002524EF" w:rsidP="006830C1">
      <w:pPr>
        <w:keepNext/>
        <w:widowControl/>
        <w:spacing w:line="360" w:lineRule="auto"/>
        <w:rPr>
          <w:sz w:val="26"/>
          <w:szCs w:val="26"/>
        </w:rPr>
      </w:pPr>
    </w:p>
    <w:p w:rsidR="009C0B12" w:rsidRPr="00177202" w:rsidRDefault="009C0B12" w:rsidP="006830C1">
      <w:pPr>
        <w:keepNext/>
        <w:widowControl/>
        <w:spacing w:line="360" w:lineRule="auto"/>
        <w:rPr>
          <w:b/>
          <w:sz w:val="26"/>
          <w:szCs w:val="26"/>
        </w:rPr>
      </w:pPr>
      <w:r>
        <w:rPr>
          <w:sz w:val="26"/>
          <w:szCs w:val="26"/>
        </w:rPr>
        <w:tab/>
      </w:r>
      <w:r>
        <w:rPr>
          <w:sz w:val="26"/>
          <w:szCs w:val="26"/>
        </w:rPr>
        <w:tab/>
      </w:r>
      <w:r w:rsidRPr="00177202">
        <w:rPr>
          <w:b/>
          <w:sz w:val="26"/>
          <w:szCs w:val="26"/>
        </w:rPr>
        <w:t>a.</w:t>
      </w:r>
      <w:r w:rsidRPr="00177202">
        <w:rPr>
          <w:b/>
          <w:sz w:val="26"/>
          <w:szCs w:val="26"/>
        </w:rPr>
        <w:tab/>
        <w:t>ALJ’s Initial Decision</w:t>
      </w:r>
    </w:p>
    <w:p w:rsidR="009C0B12" w:rsidRDefault="009C0B12" w:rsidP="006830C1">
      <w:pPr>
        <w:keepNext/>
        <w:widowControl/>
        <w:spacing w:line="360" w:lineRule="auto"/>
        <w:rPr>
          <w:sz w:val="26"/>
          <w:szCs w:val="26"/>
        </w:rPr>
      </w:pPr>
    </w:p>
    <w:p w:rsidR="00C923F6" w:rsidRDefault="002524EF" w:rsidP="007A61B0">
      <w:pPr>
        <w:widowControl/>
        <w:spacing w:line="360" w:lineRule="auto"/>
        <w:rPr>
          <w:sz w:val="26"/>
          <w:szCs w:val="26"/>
        </w:rPr>
      </w:pPr>
      <w:r>
        <w:rPr>
          <w:sz w:val="26"/>
          <w:szCs w:val="26"/>
        </w:rPr>
        <w:tab/>
      </w:r>
      <w:r>
        <w:rPr>
          <w:sz w:val="26"/>
          <w:szCs w:val="26"/>
        </w:rPr>
        <w:tab/>
      </w:r>
      <w:r w:rsidR="003F59B0">
        <w:rPr>
          <w:sz w:val="26"/>
          <w:szCs w:val="26"/>
        </w:rPr>
        <w:t>T</w:t>
      </w:r>
      <w:r w:rsidR="00550B6E">
        <w:rPr>
          <w:sz w:val="26"/>
          <w:szCs w:val="26"/>
        </w:rPr>
        <w:t>he ALJ</w:t>
      </w:r>
      <w:r>
        <w:rPr>
          <w:sz w:val="26"/>
          <w:szCs w:val="26"/>
        </w:rPr>
        <w:t xml:space="preserve"> addressed </w:t>
      </w:r>
      <w:r w:rsidR="00370F10">
        <w:rPr>
          <w:sz w:val="26"/>
          <w:szCs w:val="26"/>
        </w:rPr>
        <w:t xml:space="preserve">the question of whether PECO </w:t>
      </w:r>
      <w:r w:rsidR="009378EB">
        <w:rPr>
          <w:sz w:val="26"/>
          <w:szCs w:val="26"/>
        </w:rPr>
        <w:t>processed</w:t>
      </w:r>
      <w:r w:rsidR="00370F10">
        <w:rPr>
          <w:sz w:val="26"/>
          <w:szCs w:val="26"/>
        </w:rPr>
        <w:t xml:space="preserve"> the Complainant’s applicat</w:t>
      </w:r>
      <w:r w:rsidR="009378EB">
        <w:rPr>
          <w:sz w:val="26"/>
          <w:szCs w:val="26"/>
        </w:rPr>
        <w:t>ion for service at</w:t>
      </w:r>
      <w:r w:rsidR="0040544F">
        <w:rPr>
          <w:sz w:val="26"/>
          <w:szCs w:val="26"/>
        </w:rPr>
        <w:t xml:space="preserve"> her current address at </w:t>
      </w:r>
      <w:r>
        <w:rPr>
          <w:sz w:val="26"/>
          <w:szCs w:val="26"/>
        </w:rPr>
        <w:t xml:space="preserve">852 Aspen Avenue, Spring City, Pennsylvania, </w:t>
      </w:r>
      <w:r w:rsidR="009378EB">
        <w:rPr>
          <w:sz w:val="26"/>
          <w:szCs w:val="26"/>
        </w:rPr>
        <w:t>in a timely fashion.</w:t>
      </w:r>
      <w:r w:rsidR="00A56D82">
        <w:rPr>
          <w:rStyle w:val="FootnoteReference"/>
          <w:sz w:val="26"/>
          <w:szCs w:val="26"/>
        </w:rPr>
        <w:footnoteReference w:id="4"/>
      </w:r>
      <w:r w:rsidR="00C923F6">
        <w:rPr>
          <w:sz w:val="26"/>
          <w:szCs w:val="26"/>
        </w:rPr>
        <w:t xml:space="preserve">  The ALJ summarized his understanding of the facts on this issue as follows:</w:t>
      </w:r>
    </w:p>
    <w:p w:rsidR="007A61B0" w:rsidRDefault="007A61B0" w:rsidP="007A61B0">
      <w:pPr>
        <w:widowControl/>
        <w:spacing w:line="360" w:lineRule="auto"/>
        <w:rPr>
          <w:sz w:val="26"/>
          <w:szCs w:val="26"/>
        </w:rPr>
      </w:pPr>
    </w:p>
    <w:p w:rsidR="00411541" w:rsidRDefault="00C923F6" w:rsidP="00411541">
      <w:pPr>
        <w:keepNext/>
        <w:keepLines/>
        <w:widowControl/>
        <w:ind w:left="1440" w:right="1440"/>
        <w:rPr>
          <w:sz w:val="26"/>
          <w:szCs w:val="26"/>
        </w:rPr>
      </w:pPr>
      <w:r w:rsidRPr="00C923F6">
        <w:rPr>
          <w:sz w:val="26"/>
          <w:szCs w:val="26"/>
        </w:rPr>
        <w:t xml:space="preserve">On October 10, 2013, Ms. Trivelpiece applied for service at Aspen Avenue.  (Tr. 70-71, 75.)  Nineteen days later, on </w:t>
      </w:r>
    </w:p>
    <w:p w:rsidR="00C923F6" w:rsidRDefault="00C923F6" w:rsidP="00C923F6">
      <w:pPr>
        <w:widowControl/>
        <w:ind w:left="1440" w:right="1440"/>
        <w:rPr>
          <w:sz w:val="26"/>
          <w:szCs w:val="26"/>
        </w:rPr>
      </w:pPr>
      <w:r w:rsidRPr="00C923F6">
        <w:rPr>
          <w:sz w:val="26"/>
          <w:szCs w:val="26"/>
        </w:rPr>
        <w:t>October 29, 2013, PECO mailed her a Service Denial Notice.  (Tr.</w:t>
      </w:r>
      <w:r w:rsidR="004E2289">
        <w:rPr>
          <w:sz w:val="26"/>
          <w:szCs w:val="26"/>
        </w:rPr>
        <w:t xml:space="preserve"> [at]</w:t>
      </w:r>
      <w:r w:rsidRPr="00C923F6">
        <w:rPr>
          <w:sz w:val="26"/>
          <w:szCs w:val="26"/>
        </w:rPr>
        <w:t xml:space="preserve"> 81; PECO’s Exhibit 7.)  The denial notice stated that a $12,121.35 balance at</w:t>
      </w:r>
      <w:r w:rsidR="002E66A1">
        <w:rPr>
          <w:sz w:val="26"/>
          <w:szCs w:val="26"/>
        </w:rPr>
        <w:t xml:space="preserve"> [the Complainant’s previous </w:t>
      </w:r>
      <w:r w:rsidR="002E66A1">
        <w:rPr>
          <w:sz w:val="26"/>
          <w:szCs w:val="26"/>
        </w:rPr>
        <w:lastRenderedPageBreak/>
        <w:t>residence at]</w:t>
      </w:r>
      <w:r w:rsidRPr="00C923F6">
        <w:rPr>
          <w:sz w:val="26"/>
          <w:szCs w:val="26"/>
        </w:rPr>
        <w:t xml:space="preserve"> 2</w:t>
      </w:r>
      <w:r w:rsidRPr="00C923F6">
        <w:rPr>
          <w:sz w:val="26"/>
          <w:szCs w:val="26"/>
          <w:vertAlign w:val="superscript"/>
        </w:rPr>
        <w:t>nd</w:t>
      </w:r>
      <w:r w:rsidRPr="00C923F6">
        <w:rPr>
          <w:sz w:val="26"/>
          <w:szCs w:val="26"/>
        </w:rPr>
        <w:t xml:space="preserve"> Avenue from December 2, 2008 to July 30, 2010 must be satisfied before PECO would start service in her name.  The denial notice further stated she qualified for payment terms and was required to provide certain documents to get service in her name.  The required documents included a completed lease or settlement statement and two forms of identification.  Ms. Trivelpiece sent the required documents to PECO on November 4, 2013.  Sixteen days later, on November 20, 2013, PECO initiated Ms. Trivelpiece’s service at Aspen Avenue.  </w:t>
      </w:r>
    </w:p>
    <w:p w:rsidR="00C923F6" w:rsidRDefault="00C923F6" w:rsidP="00C923F6">
      <w:pPr>
        <w:widowControl/>
        <w:rPr>
          <w:sz w:val="26"/>
          <w:szCs w:val="26"/>
        </w:rPr>
      </w:pPr>
    </w:p>
    <w:p w:rsidR="00C923F6" w:rsidRDefault="00C923F6" w:rsidP="00C923F6">
      <w:pPr>
        <w:widowControl/>
        <w:rPr>
          <w:sz w:val="26"/>
          <w:szCs w:val="26"/>
        </w:rPr>
      </w:pPr>
    </w:p>
    <w:p w:rsidR="00576443" w:rsidRDefault="00C923F6" w:rsidP="000F5867">
      <w:pPr>
        <w:widowControl/>
        <w:spacing w:line="360" w:lineRule="auto"/>
        <w:rPr>
          <w:sz w:val="26"/>
          <w:szCs w:val="26"/>
        </w:rPr>
      </w:pPr>
      <w:r>
        <w:rPr>
          <w:sz w:val="26"/>
          <w:szCs w:val="26"/>
        </w:rPr>
        <w:t xml:space="preserve">I.D. at 21.  </w:t>
      </w:r>
    </w:p>
    <w:p w:rsidR="00576443" w:rsidRDefault="00576443" w:rsidP="000F5867">
      <w:pPr>
        <w:widowControl/>
        <w:spacing w:line="360" w:lineRule="auto"/>
        <w:rPr>
          <w:sz w:val="26"/>
          <w:szCs w:val="26"/>
        </w:rPr>
      </w:pPr>
    </w:p>
    <w:p w:rsidR="00411541" w:rsidRDefault="00576443" w:rsidP="000F5867">
      <w:pPr>
        <w:widowControl/>
        <w:spacing w:line="360" w:lineRule="auto"/>
        <w:rPr>
          <w:sz w:val="26"/>
          <w:szCs w:val="26"/>
        </w:rPr>
      </w:pPr>
      <w:r>
        <w:rPr>
          <w:sz w:val="26"/>
          <w:szCs w:val="26"/>
        </w:rPr>
        <w:tab/>
      </w:r>
      <w:r>
        <w:rPr>
          <w:sz w:val="26"/>
          <w:szCs w:val="26"/>
        </w:rPr>
        <w:tab/>
      </w:r>
      <w:r w:rsidR="00C923F6">
        <w:rPr>
          <w:sz w:val="26"/>
          <w:szCs w:val="26"/>
        </w:rPr>
        <w:t xml:space="preserve">Based on his analysis of the preceding sequence of events, the ALJ </w:t>
      </w:r>
      <w:r w:rsidR="000F5867">
        <w:rPr>
          <w:sz w:val="26"/>
          <w:szCs w:val="26"/>
        </w:rPr>
        <w:t xml:space="preserve">found that the Complainant was without electricity for a month, and </w:t>
      </w:r>
      <w:r w:rsidR="00C923F6">
        <w:rPr>
          <w:sz w:val="26"/>
          <w:szCs w:val="26"/>
        </w:rPr>
        <w:t xml:space="preserve">concluded that </w:t>
      </w:r>
      <w:r w:rsidR="000F5867">
        <w:rPr>
          <w:sz w:val="26"/>
          <w:szCs w:val="26"/>
        </w:rPr>
        <w:t>“</w:t>
      </w:r>
      <w:r w:rsidR="000F5867" w:rsidRPr="000F5867">
        <w:rPr>
          <w:sz w:val="26"/>
          <w:szCs w:val="26"/>
        </w:rPr>
        <w:t xml:space="preserve">PECO’s </w:t>
      </w:r>
      <w:r w:rsidR="00442A45">
        <w:rPr>
          <w:sz w:val="26"/>
          <w:szCs w:val="26"/>
        </w:rPr>
        <w:t>nineteen</w:t>
      </w:r>
      <w:r w:rsidR="000F5867" w:rsidRPr="000F5867">
        <w:rPr>
          <w:sz w:val="26"/>
          <w:szCs w:val="26"/>
        </w:rPr>
        <w:t xml:space="preserve">-day delay in responding to Ms. Trivelpiece’s application for service and </w:t>
      </w:r>
      <w:r w:rsidR="00442A45">
        <w:rPr>
          <w:sz w:val="26"/>
          <w:szCs w:val="26"/>
        </w:rPr>
        <w:t>sixteen</w:t>
      </w:r>
      <w:r w:rsidR="000F5867" w:rsidRPr="000F5867">
        <w:rPr>
          <w:sz w:val="26"/>
          <w:szCs w:val="26"/>
        </w:rPr>
        <w:t>-day delay in initiating service violated the reasonable service provisions of Section 1501 of the Code, 66 Pa.</w:t>
      </w:r>
      <w:r w:rsidR="00F42A06">
        <w:rPr>
          <w:sz w:val="26"/>
          <w:szCs w:val="26"/>
        </w:rPr>
        <w:t xml:space="preserve"> </w:t>
      </w:r>
      <w:r w:rsidR="000F5867" w:rsidRPr="000F5867">
        <w:rPr>
          <w:sz w:val="26"/>
          <w:szCs w:val="26"/>
        </w:rPr>
        <w:t>C.S. § 1501.</w:t>
      </w:r>
      <w:r w:rsidR="000F5867">
        <w:rPr>
          <w:sz w:val="26"/>
          <w:szCs w:val="26"/>
        </w:rPr>
        <w:t>”  I.D. at 21.</w:t>
      </w:r>
      <w:r w:rsidR="000F5867" w:rsidRPr="000F5867">
        <w:rPr>
          <w:sz w:val="26"/>
          <w:szCs w:val="26"/>
        </w:rPr>
        <w:t xml:space="preserve">  </w:t>
      </w:r>
      <w:r w:rsidR="000F5867">
        <w:rPr>
          <w:sz w:val="26"/>
          <w:szCs w:val="26"/>
        </w:rPr>
        <w:t>The ALJ</w:t>
      </w:r>
      <w:r w:rsidR="003A4B15">
        <w:rPr>
          <w:sz w:val="26"/>
          <w:szCs w:val="26"/>
        </w:rPr>
        <w:t xml:space="preserve"> stated that </w:t>
      </w:r>
      <w:r w:rsidR="000F5867">
        <w:rPr>
          <w:sz w:val="26"/>
          <w:szCs w:val="26"/>
        </w:rPr>
        <w:t>PECO</w:t>
      </w:r>
      <w:r w:rsidR="003A4B15">
        <w:rPr>
          <w:sz w:val="26"/>
          <w:szCs w:val="26"/>
        </w:rPr>
        <w:t xml:space="preserve"> provided no explanation for the delay in processing the application.  </w:t>
      </w:r>
      <w:r w:rsidR="003A4B15" w:rsidRPr="003A4B15">
        <w:rPr>
          <w:i/>
          <w:sz w:val="26"/>
          <w:szCs w:val="26"/>
        </w:rPr>
        <w:t>Id</w:t>
      </w:r>
      <w:r w:rsidR="003A4B15">
        <w:rPr>
          <w:sz w:val="26"/>
          <w:szCs w:val="26"/>
        </w:rPr>
        <w:t>.</w:t>
      </w:r>
      <w:r w:rsidR="00EC360D">
        <w:rPr>
          <w:sz w:val="26"/>
          <w:szCs w:val="26"/>
        </w:rPr>
        <w:t xml:space="preserve">  </w:t>
      </w:r>
      <w:r w:rsidR="0039683F">
        <w:rPr>
          <w:sz w:val="26"/>
          <w:szCs w:val="26"/>
        </w:rPr>
        <w:t>The ALJ also found that PECO</w:t>
      </w:r>
      <w:r w:rsidR="00025CE1">
        <w:rPr>
          <w:sz w:val="26"/>
          <w:szCs w:val="26"/>
        </w:rPr>
        <w:t>’s delay in processing the Complainant’s request for service</w:t>
      </w:r>
      <w:r w:rsidR="0039683F">
        <w:rPr>
          <w:sz w:val="26"/>
          <w:szCs w:val="26"/>
        </w:rPr>
        <w:t xml:space="preserve"> violated Section</w:t>
      </w:r>
      <w:r w:rsidR="00627687">
        <w:rPr>
          <w:sz w:val="26"/>
          <w:szCs w:val="26"/>
        </w:rPr>
        <w:t>s</w:t>
      </w:r>
      <w:r w:rsidR="0039683F">
        <w:rPr>
          <w:sz w:val="26"/>
          <w:szCs w:val="26"/>
        </w:rPr>
        <w:t xml:space="preserve"> </w:t>
      </w:r>
    </w:p>
    <w:p w:rsidR="00263926" w:rsidRDefault="0039683F" w:rsidP="00411541">
      <w:pPr>
        <w:keepNext/>
        <w:keepLines/>
        <w:widowControl/>
        <w:spacing w:line="360" w:lineRule="auto"/>
        <w:rPr>
          <w:sz w:val="26"/>
          <w:szCs w:val="26"/>
        </w:rPr>
      </w:pPr>
      <w:r>
        <w:rPr>
          <w:sz w:val="26"/>
          <w:szCs w:val="26"/>
        </w:rPr>
        <w:lastRenderedPageBreak/>
        <w:t>56.36</w:t>
      </w:r>
      <w:r w:rsidR="00CB56E8">
        <w:rPr>
          <w:sz w:val="26"/>
          <w:szCs w:val="26"/>
        </w:rPr>
        <w:t>(b)</w:t>
      </w:r>
      <w:r>
        <w:rPr>
          <w:sz w:val="26"/>
          <w:szCs w:val="26"/>
        </w:rPr>
        <w:t>(1)</w:t>
      </w:r>
      <w:r w:rsidR="00627687">
        <w:rPr>
          <w:sz w:val="26"/>
          <w:szCs w:val="26"/>
        </w:rPr>
        <w:t xml:space="preserve"> and 56.37</w:t>
      </w:r>
      <w:r>
        <w:rPr>
          <w:sz w:val="26"/>
          <w:szCs w:val="26"/>
        </w:rPr>
        <w:t xml:space="preserve"> of the Commission’s Regula</w:t>
      </w:r>
      <w:r w:rsidR="00025CE1">
        <w:rPr>
          <w:sz w:val="26"/>
          <w:szCs w:val="26"/>
        </w:rPr>
        <w:t>tions</w:t>
      </w:r>
      <w:r>
        <w:rPr>
          <w:sz w:val="26"/>
          <w:szCs w:val="26"/>
        </w:rPr>
        <w:t>.</w:t>
      </w:r>
      <w:r w:rsidR="00707084">
        <w:rPr>
          <w:sz w:val="26"/>
          <w:szCs w:val="26"/>
        </w:rPr>
        <w:t xml:space="preserve">  I.D. at 21-22 (citing 52 Pa. Code §</w:t>
      </w:r>
      <w:r w:rsidR="00025CE1">
        <w:rPr>
          <w:sz w:val="26"/>
          <w:szCs w:val="26"/>
        </w:rPr>
        <w:t>§</w:t>
      </w:r>
      <w:r w:rsidR="00707084">
        <w:rPr>
          <w:sz w:val="26"/>
          <w:szCs w:val="26"/>
        </w:rPr>
        <w:t xml:space="preserve"> 56.36</w:t>
      </w:r>
      <w:r w:rsidR="00CB56E8">
        <w:rPr>
          <w:sz w:val="26"/>
          <w:szCs w:val="26"/>
        </w:rPr>
        <w:t>(b)</w:t>
      </w:r>
      <w:r w:rsidR="00707084">
        <w:rPr>
          <w:sz w:val="26"/>
          <w:szCs w:val="26"/>
        </w:rPr>
        <w:t>(1)</w:t>
      </w:r>
      <w:r w:rsidR="00707084">
        <w:rPr>
          <w:rStyle w:val="FootnoteReference"/>
          <w:sz w:val="26"/>
          <w:szCs w:val="26"/>
        </w:rPr>
        <w:footnoteReference w:id="5"/>
      </w:r>
      <w:r w:rsidR="00025CE1">
        <w:rPr>
          <w:sz w:val="26"/>
          <w:szCs w:val="26"/>
        </w:rPr>
        <w:t xml:space="preserve"> and 56.37</w:t>
      </w:r>
      <w:r w:rsidR="00D50E4D">
        <w:rPr>
          <w:rStyle w:val="FootnoteReference"/>
          <w:sz w:val="26"/>
          <w:szCs w:val="26"/>
        </w:rPr>
        <w:footnoteReference w:id="6"/>
      </w:r>
      <w:r w:rsidR="00707084">
        <w:rPr>
          <w:sz w:val="26"/>
          <w:szCs w:val="26"/>
        </w:rPr>
        <w:t>).</w:t>
      </w:r>
      <w:r w:rsidR="000F39F3">
        <w:rPr>
          <w:sz w:val="26"/>
          <w:szCs w:val="26"/>
        </w:rPr>
        <w:t xml:space="preserve">  </w:t>
      </w:r>
    </w:p>
    <w:p w:rsidR="00411541" w:rsidRDefault="00411541" w:rsidP="00411541">
      <w:pPr>
        <w:widowControl/>
        <w:spacing w:line="360" w:lineRule="auto"/>
        <w:rPr>
          <w:sz w:val="26"/>
          <w:szCs w:val="26"/>
        </w:rPr>
      </w:pPr>
    </w:p>
    <w:p w:rsidR="00EB6DC7" w:rsidRPr="00D038C6" w:rsidRDefault="00EB6DC7" w:rsidP="00C0271F">
      <w:pPr>
        <w:keepNext/>
        <w:widowControl/>
        <w:spacing w:line="360" w:lineRule="auto"/>
        <w:rPr>
          <w:b/>
          <w:sz w:val="26"/>
          <w:szCs w:val="26"/>
        </w:rPr>
      </w:pPr>
      <w:r>
        <w:rPr>
          <w:sz w:val="26"/>
          <w:szCs w:val="26"/>
        </w:rPr>
        <w:tab/>
      </w:r>
      <w:r>
        <w:rPr>
          <w:sz w:val="26"/>
          <w:szCs w:val="26"/>
        </w:rPr>
        <w:tab/>
      </w:r>
      <w:r w:rsidR="00D038C6" w:rsidRPr="00D038C6">
        <w:rPr>
          <w:b/>
          <w:sz w:val="26"/>
          <w:szCs w:val="26"/>
        </w:rPr>
        <w:t>b.</w:t>
      </w:r>
      <w:r w:rsidR="00D038C6" w:rsidRPr="00D038C6">
        <w:rPr>
          <w:b/>
          <w:sz w:val="26"/>
          <w:szCs w:val="26"/>
        </w:rPr>
        <w:tab/>
        <w:t>PECO’s Exceptions</w:t>
      </w:r>
    </w:p>
    <w:p w:rsidR="003A4B15" w:rsidRDefault="003A4B15" w:rsidP="00C0271F">
      <w:pPr>
        <w:keepNext/>
        <w:widowControl/>
        <w:spacing w:line="360" w:lineRule="auto"/>
        <w:rPr>
          <w:sz w:val="26"/>
          <w:szCs w:val="26"/>
        </w:rPr>
      </w:pPr>
    </w:p>
    <w:p w:rsidR="006666FA" w:rsidRPr="005B7937" w:rsidRDefault="00C0271F" w:rsidP="005B7937">
      <w:pPr>
        <w:widowControl/>
        <w:spacing w:line="360" w:lineRule="auto"/>
        <w:rPr>
          <w:sz w:val="26"/>
          <w:szCs w:val="26"/>
          <w:highlight w:val="green"/>
        </w:rPr>
      </w:pPr>
      <w:r>
        <w:rPr>
          <w:sz w:val="26"/>
          <w:szCs w:val="26"/>
        </w:rPr>
        <w:tab/>
      </w:r>
      <w:r>
        <w:rPr>
          <w:sz w:val="26"/>
          <w:szCs w:val="26"/>
        </w:rPr>
        <w:tab/>
      </w:r>
      <w:r w:rsidR="006666FA" w:rsidRPr="00394793">
        <w:rPr>
          <w:sz w:val="26"/>
          <w:szCs w:val="26"/>
        </w:rPr>
        <w:t xml:space="preserve">PECO </w:t>
      </w:r>
      <w:r w:rsidR="006666FA">
        <w:rPr>
          <w:sz w:val="26"/>
          <w:szCs w:val="26"/>
        </w:rPr>
        <w:t>excepts to t</w:t>
      </w:r>
      <w:r>
        <w:rPr>
          <w:sz w:val="26"/>
          <w:szCs w:val="26"/>
        </w:rPr>
        <w:t>he ALJ’s determination that it</w:t>
      </w:r>
      <w:r w:rsidR="006666FA">
        <w:rPr>
          <w:sz w:val="26"/>
          <w:szCs w:val="26"/>
        </w:rPr>
        <w:t xml:space="preserve"> failed to timely process the Complainant’s application for service at her Aspen Avenue address, and to timely initiate servi</w:t>
      </w:r>
      <w:r w:rsidR="00F70E48">
        <w:rPr>
          <w:sz w:val="26"/>
          <w:szCs w:val="26"/>
        </w:rPr>
        <w:t xml:space="preserve">ce at that address.  PECO </w:t>
      </w:r>
      <w:r w:rsidR="006666FA">
        <w:rPr>
          <w:sz w:val="26"/>
          <w:szCs w:val="26"/>
        </w:rPr>
        <w:t>argues that this issue was not part of the Complaina</w:t>
      </w:r>
      <w:r w:rsidR="00F70E48">
        <w:rPr>
          <w:sz w:val="26"/>
          <w:szCs w:val="26"/>
        </w:rPr>
        <w:t>nt’s original claim against the Company</w:t>
      </w:r>
      <w:r w:rsidR="006666FA">
        <w:rPr>
          <w:sz w:val="26"/>
          <w:szCs w:val="26"/>
        </w:rPr>
        <w:t xml:space="preserve"> and was raised for the first time at the June 2, 2015 hearing.  </w:t>
      </w:r>
      <w:r w:rsidR="00F70E48">
        <w:rPr>
          <w:sz w:val="26"/>
          <w:szCs w:val="26"/>
        </w:rPr>
        <w:t>Thus, PECO contends that</w:t>
      </w:r>
      <w:r w:rsidR="006666FA">
        <w:rPr>
          <w:sz w:val="26"/>
          <w:szCs w:val="26"/>
        </w:rPr>
        <w:t xml:space="preserve"> the record on this issue is incomplete.</w:t>
      </w:r>
      <w:r w:rsidR="00B33BB9">
        <w:rPr>
          <w:sz w:val="26"/>
          <w:szCs w:val="26"/>
        </w:rPr>
        <w:t xml:space="preserve"> </w:t>
      </w:r>
      <w:r w:rsidR="00B33BB9" w:rsidRPr="00B33BB9">
        <w:rPr>
          <w:sz w:val="26"/>
          <w:szCs w:val="26"/>
        </w:rPr>
        <w:t xml:space="preserve"> </w:t>
      </w:r>
      <w:r w:rsidR="00B33BB9">
        <w:rPr>
          <w:sz w:val="26"/>
          <w:szCs w:val="26"/>
        </w:rPr>
        <w:t xml:space="preserve">Exc. at 4 (citing Tr. at 84-85).  </w:t>
      </w:r>
      <w:r w:rsidR="006666FA">
        <w:rPr>
          <w:sz w:val="26"/>
          <w:szCs w:val="26"/>
        </w:rPr>
        <w:t xml:space="preserve">To address this situation, PECO requests that it be permitted to supplement the record by introducing, as Exhibit A to its Exceptions, its November 19, </w:t>
      </w:r>
      <w:r w:rsidR="006666FA">
        <w:rPr>
          <w:sz w:val="26"/>
          <w:szCs w:val="26"/>
        </w:rPr>
        <w:lastRenderedPageBreak/>
        <w:t xml:space="preserve">2013 Outbound Full PAR Report </w:t>
      </w:r>
      <w:r w:rsidR="00150106">
        <w:rPr>
          <w:sz w:val="26"/>
          <w:szCs w:val="26"/>
        </w:rPr>
        <w:t>in BCS</w:t>
      </w:r>
      <w:r w:rsidR="006666FA">
        <w:rPr>
          <w:sz w:val="26"/>
          <w:szCs w:val="26"/>
        </w:rPr>
        <w:t xml:space="preserve"> Case No. 003173734.</w:t>
      </w:r>
      <w:r w:rsidR="00C042ED">
        <w:rPr>
          <w:rStyle w:val="FootnoteReference"/>
          <w:sz w:val="26"/>
          <w:szCs w:val="26"/>
        </w:rPr>
        <w:footnoteReference w:id="7"/>
      </w:r>
      <w:r w:rsidR="006666FA">
        <w:rPr>
          <w:sz w:val="26"/>
          <w:szCs w:val="26"/>
        </w:rPr>
        <w:t xml:space="preserve">  </w:t>
      </w:r>
      <w:r w:rsidR="00295410">
        <w:rPr>
          <w:sz w:val="26"/>
          <w:szCs w:val="26"/>
        </w:rPr>
        <w:t xml:space="preserve">Based on record evidence and the PAR Report, PECO describes the sequence of events that it </w:t>
      </w:r>
      <w:r w:rsidR="00A858D8">
        <w:rPr>
          <w:sz w:val="26"/>
          <w:szCs w:val="26"/>
        </w:rPr>
        <w:t xml:space="preserve">claims demonstrates </w:t>
      </w:r>
      <w:r w:rsidR="00295410">
        <w:rPr>
          <w:sz w:val="26"/>
          <w:szCs w:val="26"/>
        </w:rPr>
        <w:t xml:space="preserve">that </w:t>
      </w:r>
      <w:r w:rsidR="00672D3F">
        <w:rPr>
          <w:sz w:val="26"/>
          <w:szCs w:val="26"/>
        </w:rPr>
        <w:t xml:space="preserve">it </w:t>
      </w:r>
      <w:r w:rsidR="00295410">
        <w:rPr>
          <w:sz w:val="26"/>
          <w:szCs w:val="26"/>
        </w:rPr>
        <w:t xml:space="preserve">did not delay the processing of the Complainant’s application for service at Aspen Avenue, and that it initiated utility service </w:t>
      </w:r>
      <w:r w:rsidR="00672D3F" w:rsidRPr="00672D3F">
        <w:rPr>
          <w:sz w:val="26"/>
          <w:szCs w:val="26"/>
        </w:rPr>
        <w:t xml:space="preserve">promptly </w:t>
      </w:r>
      <w:r w:rsidR="00295410">
        <w:rPr>
          <w:sz w:val="26"/>
          <w:szCs w:val="26"/>
        </w:rPr>
        <w:t xml:space="preserve">to that address after receiving the proper documents and payment of a prior balance from the Complainant.  </w:t>
      </w:r>
      <w:r w:rsidR="005B7937">
        <w:rPr>
          <w:sz w:val="26"/>
          <w:szCs w:val="26"/>
        </w:rPr>
        <w:t>Exc. at 6-8.</w:t>
      </w:r>
    </w:p>
    <w:p w:rsidR="00942E87" w:rsidRDefault="00942E87" w:rsidP="006666FA">
      <w:pPr>
        <w:widowControl/>
        <w:spacing w:line="360" w:lineRule="auto"/>
        <w:rPr>
          <w:sz w:val="26"/>
          <w:szCs w:val="26"/>
        </w:rPr>
      </w:pPr>
    </w:p>
    <w:p w:rsidR="00942E87" w:rsidRPr="00B42B90" w:rsidRDefault="00942E87" w:rsidP="002847E8">
      <w:pPr>
        <w:keepNext/>
        <w:keepLines/>
        <w:widowControl/>
        <w:spacing w:line="360" w:lineRule="auto"/>
        <w:rPr>
          <w:b/>
          <w:sz w:val="26"/>
          <w:szCs w:val="26"/>
        </w:rPr>
      </w:pPr>
      <w:r>
        <w:rPr>
          <w:sz w:val="26"/>
          <w:szCs w:val="26"/>
        </w:rPr>
        <w:tab/>
      </w:r>
      <w:r>
        <w:rPr>
          <w:sz w:val="26"/>
          <w:szCs w:val="26"/>
        </w:rPr>
        <w:tab/>
      </w:r>
      <w:r w:rsidRPr="00942E87">
        <w:rPr>
          <w:b/>
          <w:sz w:val="26"/>
          <w:szCs w:val="26"/>
        </w:rPr>
        <w:t>c.</w:t>
      </w:r>
      <w:r w:rsidRPr="00942E87">
        <w:rPr>
          <w:b/>
          <w:sz w:val="26"/>
          <w:szCs w:val="26"/>
        </w:rPr>
        <w:tab/>
      </w:r>
      <w:r w:rsidRPr="00B42B90">
        <w:rPr>
          <w:b/>
          <w:sz w:val="26"/>
          <w:szCs w:val="26"/>
        </w:rPr>
        <w:t>Complainant’s Replies to PECO’s Exceptions</w:t>
      </w:r>
    </w:p>
    <w:p w:rsidR="00942E87" w:rsidRDefault="00942E87" w:rsidP="002847E8">
      <w:pPr>
        <w:keepNext/>
        <w:keepLines/>
        <w:widowControl/>
        <w:spacing w:line="360" w:lineRule="auto"/>
        <w:rPr>
          <w:sz w:val="26"/>
          <w:szCs w:val="26"/>
        </w:rPr>
      </w:pPr>
    </w:p>
    <w:p w:rsidR="00942E87" w:rsidRDefault="00942E87" w:rsidP="00942E87">
      <w:pPr>
        <w:widowControl/>
        <w:spacing w:line="360" w:lineRule="auto"/>
        <w:rPr>
          <w:sz w:val="26"/>
          <w:szCs w:val="26"/>
        </w:rPr>
      </w:pPr>
      <w:r>
        <w:rPr>
          <w:sz w:val="26"/>
          <w:szCs w:val="26"/>
        </w:rPr>
        <w:tab/>
      </w:r>
      <w:r>
        <w:rPr>
          <w:sz w:val="26"/>
          <w:szCs w:val="26"/>
        </w:rPr>
        <w:tab/>
      </w:r>
      <w:r w:rsidRPr="00317695">
        <w:rPr>
          <w:sz w:val="26"/>
          <w:szCs w:val="26"/>
        </w:rPr>
        <w:t>In her Replies to PECO’s Exceptions, the Complainant</w:t>
      </w:r>
      <w:r>
        <w:rPr>
          <w:sz w:val="26"/>
          <w:szCs w:val="26"/>
        </w:rPr>
        <w:t xml:space="preserve"> objects to PECO’s attempt to introduce its PAR Report as new evidence, stating that “[t]his obliterates Ms. </w:t>
      </w:r>
      <w:r>
        <w:rPr>
          <w:sz w:val="26"/>
          <w:szCs w:val="26"/>
        </w:rPr>
        <w:lastRenderedPageBreak/>
        <w:t>Trivelpiece’s due process rights, and should not be considered as a proper legal exception.</w:t>
      </w:r>
      <w:r w:rsidR="00295ACB">
        <w:rPr>
          <w:sz w:val="26"/>
          <w:szCs w:val="26"/>
        </w:rPr>
        <w:t>”</w:t>
      </w:r>
      <w:r>
        <w:rPr>
          <w:sz w:val="26"/>
          <w:szCs w:val="26"/>
        </w:rPr>
        <w:t xml:space="preserve">  R. Exc. at 1.  The Complainant contends that PECO made many mistakes in its record and states that “there is no reason to believe the PAR report is any different.”  </w:t>
      </w:r>
      <w:r w:rsidRPr="00D07BC4">
        <w:rPr>
          <w:i/>
          <w:sz w:val="26"/>
          <w:szCs w:val="26"/>
        </w:rPr>
        <w:t>Id</w:t>
      </w:r>
      <w:r>
        <w:rPr>
          <w:sz w:val="26"/>
          <w:szCs w:val="26"/>
        </w:rPr>
        <w:t>.  The Complainant further argues that there is no reason for a remand of this proceeding</w:t>
      </w:r>
      <w:r w:rsidR="00672D3F">
        <w:rPr>
          <w:sz w:val="26"/>
          <w:szCs w:val="26"/>
        </w:rPr>
        <w:t xml:space="preserve"> because </w:t>
      </w:r>
      <w:r>
        <w:rPr>
          <w:sz w:val="26"/>
          <w:szCs w:val="26"/>
        </w:rPr>
        <w:t xml:space="preserve">PECO was fully aware of the issues raised in the Complaint and “should not have a second opportunity to meet their burden of proof.”  </w:t>
      </w:r>
      <w:r w:rsidRPr="00D07BC4">
        <w:rPr>
          <w:i/>
          <w:sz w:val="26"/>
          <w:szCs w:val="26"/>
        </w:rPr>
        <w:t>Id</w:t>
      </w:r>
      <w:r>
        <w:rPr>
          <w:sz w:val="26"/>
          <w:szCs w:val="26"/>
        </w:rPr>
        <w:t>.</w:t>
      </w:r>
    </w:p>
    <w:p w:rsidR="00942E87" w:rsidRDefault="00942E87" w:rsidP="006666FA">
      <w:pPr>
        <w:widowControl/>
        <w:spacing w:line="360" w:lineRule="auto"/>
        <w:rPr>
          <w:sz w:val="26"/>
          <w:szCs w:val="26"/>
        </w:rPr>
      </w:pPr>
    </w:p>
    <w:p w:rsidR="00550B6E" w:rsidRPr="00634FED" w:rsidRDefault="00550B6E" w:rsidP="002847E8">
      <w:pPr>
        <w:keepNext/>
        <w:keepLines/>
        <w:widowControl/>
        <w:spacing w:line="360" w:lineRule="auto"/>
        <w:rPr>
          <w:b/>
          <w:sz w:val="26"/>
          <w:szCs w:val="26"/>
        </w:rPr>
      </w:pPr>
      <w:r>
        <w:rPr>
          <w:sz w:val="26"/>
          <w:szCs w:val="26"/>
        </w:rPr>
        <w:tab/>
      </w:r>
      <w:r>
        <w:rPr>
          <w:sz w:val="26"/>
          <w:szCs w:val="26"/>
        </w:rPr>
        <w:tab/>
      </w:r>
      <w:r w:rsidRPr="00352135">
        <w:rPr>
          <w:b/>
          <w:sz w:val="26"/>
          <w:szCs w:val="26"/>
        </w:rPr>
        <w:t>d.</w:t>
      </w:r>
      <w:r w:rsidRPr="00352135">
        <w:rPr>
          <w:b/>
          <w:sz w:val="26"/>
          <w:szCs w:val="26"/>
        </w:rPr>
        <w:tab/>
      </w:r>
      <w:r w:rsidRPr="00634FED">
        <w:rPr>
          <w:b/>
          <w:sz w:val="26"/>
          <w:szCs w:val="26"/>
        </w:rPr>
        <w:t>Disposition</w:t>
      </w:r>
    </w:p>
    <w:p w:rsidR="00550B6E" w:rsidRPr="00634FED" w:rsidRDefault="00550B6E" w:rsidP="002847E8">
      <w:pPr>
        <w:keepNext/>
        <w:keepLines/>
        <w:widowControl/>
        <w:spacing w:line="360" w:lineRule="auto"/>
        <w:rPr>
          <w:sz w:val="26"/>
          <w:szCs w:val="26"/>
        </w:rPr>
      </w:pPr>
    </w:p>
    <w:p w:rsidR="001101F7" w:rsidRDefault="00770D78" w:rsidP="00BB29B6">
      <w:pPr>
        <w:widowControl/>
        <w:spacing w:line="360" w:lineRule="auto"/>
        <w:rPr>
          <w:sz w:val="26"/>
          <w:szCs w:val="26"/>
        </w:rPr>
      </w:pPr>
      <w:r w:rsidRPr="00634FED">
        <w:rPr>
          <w:sz w:val="26"/>
          <w:szCs w:val="26"/>
        </w:rPr>
        <w:tab/>
      </w:r>
      <w:r w:rsidRPr="00634FED">
        <w:rPr>
          <w:sz w:val="26"/>
          <w:szCs w:val="26"/>
        </w:rPr>
        <w:tab/>
        <w:t>As PECO asserts</w:t>
      </w:r>
      <w:r w:rsidR="00352135" w:rsidRPr="00634FED">
        <w:rPr>
          <w:sz w:val="26"/>
          <w:szCs w:val="26"/>
        </w:rPr>
        <w:t xml:space="preserve">, </w:t>
      </w:r>
      <w:r w:rsidR="00E67B53" w:rsidRPr="00634FED">
        <w:rPr>
          <w:sz w:val="26"/>
          <w:szCs w:val="26"/>
        </w:rPr>
        <w:t xml:space="preserve">the alleged delay in </w:t>
      </w:r>
      <w:r w:rsidR="00672D3F" w:rsidRPr="00634FED">
        <w:rPr>
          <w:sz w:val="26"/>
          <w:szCs w:val="26"/>
        </w:rPr>
        <w:t>its</w:t>
      </w:r>
      <w:r w:rsidR="00E67B53" w:rsidRPr="00634FED">
        <w:rPr>
          <w:sz w:val="26"/>
          <w:szCs w:val="26"/>
        </w:rPr>
        <w:t xml:space="preserve"> processing of the Complainant’s</w:t>
      </w:r>
      <w:r w:rsidR="00E36328" w:rsidRPr="00634FED">
        <w:rPr>
          <w:sz w:val="26"/>
          <w:szCs w:val="26"/>
        </w:rPr>
        <w:t xml:space="preserve"> application for service at Aspen Avenue </w:t>
      </w:r>
      <w:r w:rsidR="00E67B53" w:rsidRPr="00634FED">
        <w:rPr>
          <w:sz w:val="26"/>
          <w:szCs w:val="26"/>
        </w:rPr>
        <w:t xml:space="preserve">was not raised </w:t>
      </w:r>
      <w:r w:rsidR="00672D3F" w:rsidRPr="00634FED">
        <w:rPr>
          <w:sz w:val="26"/>
          <w:szCs w:val="26"/>
        </w:rPr>
        <w:t xml:space="preserve">as an issue </w:t>
      </w:r>
      <w:r w:rsidR="00E67B53" w:rsidRPr="00634FED">
        <w:rPr>
          <w:sz w:val="26"/>
          <w:szCs w:val="26"/>
        </w:rPr>
        <w:t>in the January 14, 2015 Complaint, and</w:t>
      </w:r>
      <w:r w:rsidR="00634FED">
        <w:rPr>
          <w:sz w:val="26"/>
          <w:szCs w:val="26"/>
        </w:rPr>
        <w:t xml:space="preserve"> was not raised during the subsequent </w:t>
      </w:r>
      <w:r w:rsidR="00634FED" w:rsidRPr="00634FED">
        <w:rPr>
          <w:sz w:val="26"/>
          <w:szCs w:val="26"/>
        </w:rPr>
        <w:t>mediation process or in telephone calls between counsel for PECO and the Complainant.  Tr. at 84.  Moreover,</w:t>
      </w:r>
      <w:r w:rsidR="00E67B53" w:rsidRPr="00634FED">
        <w:rPr>
          <w:sz w:val="26"/>
          <w:szCs w:val="26"/>
        </w:rPr>
        <w:t xml:space="preserve"> it is clear from the record that neither party was </w:t>
      </w:r>
      <w:r w:rsidR="00885DD8" w:rsidRPr="00634FED">
        <w:rPr>
          <w:sz w:val="26"/>
          <w:szCs w:val="26"/>
        </w:rPr>
        <w:t xml:space="preserve">fully </w:t>
      </w:r>
      <w:r w:rsidR="00E67B53" w:rsidRPr="00634FED">
        <w:rPr>
          <w:sz w:val="26"/>
          <w:szCs w:val="26"/>
        </w:rPr>
        <w:t>prepared to litigate the issue at the June 2, 2015 hearing.</w:t>
      </w:r>
      <w:r w:rsidR="00BB29B6" w:rsidRPr="00634FED">
        <w:rPr>
          <w:sz w:val="26"/>
          <w:szCs w:val="26"/>
        </w:rPr>
        <w:t xml:space="preserve">  </w:t>
      </w:r>
      <w:r w:rsidR="00634FED" w:rsidRPr="00634FED">
        <w:rPr>
          <w:sz w:val="26"/>
          <w:szCs w:val="26"/>
        </w:rPr>
        <w:t>In fact, t</w:t>
      </w:r>
      <w:r w:rsidR="00EF544F" w:rsidRPr="00634FED">
        <w:rPr>
          <w:sz w:val="26"/>
          <w:szCs w:val="26"/>
        </w:rPr>
        <w:t xml:space="preserve">he Complainant’s </w:t>
      </w:r>
      <w:r w:rsidR="004240F3">
        <w:rPr>
          <w:sz w:val="26"/>
          <w:szCs w:val="26"/>
        </w:rPr>
        <w:t>c</w:t>
      </w:r>
      <w:r w:rsidR="00BB29B6" w:rsidRPr="00634FED">
        <w:rPr>
          <w:sz w:val="26"/>
          <w:szCs w:val="26"/>
        </w:rPr>
        <w:t xml:space="preserve">ounsel initially appeared to deny that the Complainant was raising an issue regarding a delay in the start of her service, but </w:t>
      </w:r>
      <w:r w:rsidR="00EF544F" w:rsidRPr="00634FED">
        <w:rPr>
          <w:sz w:val="26"/>
          <w:szCs w:val="26"/>
        </w:rPr>
        <w:t xml:space="preserve">as noted above, </w:t>
      </w:r>
      <w:r w:rsidR="00BB29B6" w:rsidRPr="00634FED">
        <w:rPr>
          <w:sz w:val="26"/>
          <w:szCs w:val="26"/>
        </w:rPr>
        <w:t xml:space="preserve">the ALJ subsequently concluded that the Complainant offered no stipulation that an alleged delay in </w:t>
      </w:r>
      <w:r w:rsidR="00EF544F" w:rsidRPr="00634FED">
        <w:rPr>
          <w:sz w:val="26"/>
          <w:szCs w:val="26"/>
        </w:rPr>
        <w:t xml:space="preserve">PECO’s commencement of </w:t>
      </w:r>
      <w:r w:rsidR="00BB29B6" w:rsidRPr="00634FED">
        <w:rPr>
          <w:sz w:val="26"/>
          <w:szCs w:val="26"/>
        </w:rPr>
        <w:t xml:space="preserve">service was not an issue. </w:t>
      </w:r>
      <w:r w:rsidR="00634FED">
        <w:rPr>
          <w:sz w:val="26"/>
          <w:szCs w:val="26"/>
        </w:rPr>
        <w:t xml:space="preserve"> </w:t>
      </w:r>
      <w:r w:rsidR="00634FED" w:rsidRPr="00634FED">
        <w:rPr>
          <w:i/>
          <w:sz w:val="26"/>
          <w:szCs w:val="26"/>
        </w:rPr>
        <w:t>Id</w:t>
      </w:r>
      <w:r w:rsidR="00634FED">
        <w:rPr>
          <w:sz w:val="26"/>
          <w:szCs w:val="26"/>
        </w:rPr>
        <w:t>.</w:t>
      </w:r>
      <w:r w:rsidR="00BB29B6" w:rsidRPr="00634FED">
        <w:rPr>
          <w:sz w:val="26"/>
          <w:szCs w:val="26"/>
        </w:rPr>
        <w:t xml:space="preserve"> at 85-86.  Accordingly, PECO faxed an additional exhibit to the ALJ and the Complainant’s attorney</w:t>
      </w:r>
      <w:r w:rsidR="0025387C">
        <w:rPr>
          <w:sz w:val="26"/>
          <w:szCs w:val="26"/>
        </w:rPr>
        <w:t xml:space="preserve"> and attempted to address</w:t>
      </w:r>
      <w:r w:rsidR="00BB29B6" w:rsidRPr="00634FED">
        <w:rPr>
          <w:sz w:val="26"/>
          <w:szCs w:val="26"/>
        </w:rPr>
        <w:t xml:space="preserve"> the matter</w:t>
      </w:r>
      <w:r w:rsidR="000664E6">
        <w:rPr>
          <w:sz w:val="26"/>
          <w:szCs w:val="26"/>
        </w:rPr>
        <w:t xml:space="preserve"> through the testimony of its witness</w:t>
      </w:r>
      <w:r w:rsidR="00BB29B6" w:rsidRPr="00634FED">
        <w:rPr>
          <w:sz w:val="26"/>
          <w:szCs w:val="26"/>
        </w:rPr>
        <w:t xml:space="preserve">.  </w:t>
      </w:r>
      <w:r w:rsidR="00BB29B6" w:rsidRPr="00634FED">
        <w:rPr>
          <w:i/>
          <w:sz w:val="26"/>
          <w:szCs w:val="26"/>
        </w:rPr>
        <w:t>Id</w:t>
      </w:r>
      <w:r w:rsidR="00BB29B6" w:rsidRPr="00634FED">
        <w:rPr>
          <w:sz w:val="26"/>
          <w:szCs w:val="26"/>
        </w:rPr>
        <w:t>. at 87-93.</w:t>
      </w:r>
    </w:p>
    <w:p w:rsidR="000664E6" w:rsidRDefault="000664E6" w:rsidP="00BB29B6">
      <w:pPr>
        <w:widowControl/>
        <w:spacing w:line="360" w:lineRule="auto"/>
        <w:rPr>
          <w:sz w:val="26"/>
          <w:szCs w:val="26"/>
        </w:rPr>
      </w:pPr>
    </w:p>
    <w:p w:rsidR="00FA73E0" w:rsidRDefault="000664E6" w:rsidP="000F5867">
      <w:pPr>
        <w:widowControl/>
        <w:spacing w:line="360" w:lineRule="auto"/>
        <w:rPr>
          <w:sz w:val="26"/>
          <w:szCs w:val="26"/>
        </w:rPr>
      </w:pPr>
      <w:r>
        <w:rPr>
          <w:sz w:val="26"/>
          <w:szCs w:val="26"/>
        </w:rPr>
        <w:tab/>
      </w:r>
      <w:r>
        <w:rPr>
          <w:sz w:val="26"/>
          <w:szCs w:val="26"/>
        </w:rPr>
        <w:tab/>
      </w:r>
      <w:r w:rsidR="00243474">
        <w:rPr>
          <w:sz w:val="26"/>
          <w:szCs w:val="26"/>
        </w:rPr>
        <w:t>W</w:t>
      </w:r>
      <w:r w:rsidRPr="00E851A0">
        <w:rPr>
          <w:sz w:val="26"/>
          <w:szCs w:val="26"/>
        </w:rPr>
        <w:t>e find that that the issue of whether PECO processed the Complainant’s application for service in a timely fashion was not properly before the ALJ for disposition</w:t>
      </w:r>
      <w:r w:rsidR="00E851A0" w:rsidRPr="00E851A0">
        <w:rPr>
          <w:sz w:val="26"/>
          <w:szCs w:val="26"/>
        </w:rPr>
        <w:t xml:space="preserve"> in this proceeding.  Section 5.92(a) of our Regulations, 52 Pa. Code § 5.92(a), provides that “[w]hen the parties introduce issues at a hearing not raised by the pleadings whether by express or implied consent of the parties, the issues shall be treated in all respects as if they had been raised in the pleadings.”</w:t>
      </w:r>
      <w:r w:rsidR="00E851A0">
        <w:rPr>
          <w:sz w:val="26"/>
          <w:szCs w:val="26"/>
        </w:rPr>
        <w:t xml:space="preserve">  However, if the ALJ wished to permit the</w:t>
      </w:r>
      <w:r w:rsidR="0025387C" w:rsidRPr="00E851A0">
        <w:rPr>
          <w:sz w:val="26"/>
          <w:szCs w:val="26"/>
        </w:rPr>
        <w:t xml:space="preserve"> evaluation</w:t>
      </w:r>
      <w:r w:rsidR="00E851A0">
        <w:rPr>
          <w:sz w:val="26"/>
          <w:szCs w:val="26"/>
        </w:rPr>
        <w:t xml:space="preserve"> of this issue</w:t>
      </w:r>
      <w:r w:rsidR="0025387C" w:rsidRPr="00E851A0">
        <w:rPr>
          <w:sz w:val="26"/>
          <w:szCs w:val="26"/>
        </w:rPr>
        <w:t xml:space="preserve"> as an amendment to the pleadings under 52 Pa.</w:t>
      </w:r>
      <w:r w:rsidR="00E851A0" w:rsidRPr="00E851A0">
        <w:rPr>
          <w:sz w:val="26"/>
          <w:szCs w:val="26"/>
        </w:rPr>
        <w:t xml:space="preserve"> </w:t>
      </w:r>
      <w:r w:rsidR="00E851A0">
        <w:rPr>
          <w:sz w:val="26"/>
          <w:szCs w:val="26"/>
        </w:rPr>
        <w:t>Code § </w:t>
      </w:r>
      <w:r w:rsidR="0025387C" w:rsidRPr="00E851A0">
        <w:rPr>
          <w:sz w:val="26"/>
          <w:szCs w:val="26"/>
        </w:rPr>
        <w:t xml:space="preserve">5.92(a), he </w:t>
      </w:r>
      <w:r w:rsidR="0025387C" w:rsidRPr="00E851A0">
        <w:rPr>
          <w:sz w:val="26"/>
          <w:szCs w:val="26"/>
        </w:rPr>
        <w:lastRenderedPageBreak/>
        <w:t xml:space="preserve">would have been required to permit PECO a reasonable opportunity to respond to the allegations.  PECO was not afforded this opportunity, even though PECO properly requested it.  </w:t>
      </w:r>
      <w:r w:rsidR="0025387C" w:rsidRPr="00FA73E0">
        <w:rPr>
          <w:sz w:val="26"/>
          <w:szCs w:val="26"/>
        </w:rPr>
        <w:t>Accordingly, where the due process rights o</w:t>
      </w:r>
      <w:r w:rsidR="00FA73E0" w:rsidRPr="00FA73E0">
        <w:rPr>
          <w:sz w:val="26"/>
          <w:szCs w:val="26"/>
        </w:rPr>
        <w:t>f a party have not been accommodated</w:t>
      </w:r>
      <w:r w:rsidR="0025387C" w:rsidRPr="00FA73E0">
        <w:rPr>
          <w:sz w:val="26"/>
          <w:szCs w:val="26"/>
        </w:rPr>
        <w:t>, the Complaint has not been properly amended to in</w:t>
      </w:r>
      <w:r w:rsidR="00FA73E0" w:rsidRPr="00FA73E0">
        <w:rPr>
          <w:sz w:val="26"/>
          <w:szCs w:val="26"/>
        </w:rPr>
        <w:t>clude this issue</w:t>
      </w:r>
      <w:r w:rsidR="004B0DCC">
        <w:rPr>
          <w:sz w:val="26"/>
          <w:szCs w:val="26"/>
        </w:rPr>
        <w:t>.  Therefore, an analysis of this</w:t>
      </w:r>
      <w:r w:rsidR="00FA73E0" w:rsidRPr="00FA73E0">
        <w:rPr>
          <w:sz w:val="26"/>
          <w:szCs w:val="26"/>
        </w:rPr>
        <w:t xml:space="preserve"> issue</w:t>
      </w:r>
      <w:r w:rsidR="0025387C" w:rsidRPr="00FA73E0">
        <w:rPr>
          <w:sz w:val="26"/>
          <w:szCs w:val="26"/>
        </w:rPr>
        <w:t xml:space="preserve"> cannot be used as a basis</w:t>
      </w:r>
      <w:r w:rsidR="00FA73E0" w:rsidRPr="00FA73E0">
        <w:rPr>
          <w:sz w:val="26"/>
          <w:szCs w:val="26"/>
        </w:rPr>
        <w:t xml:space="preserve"> for either a finding that PECO’</w:t>
      </w:r>
      <w:r w:rsidR="0025387C" w:rsidRPr="00FA73E0">
        <w:rPr>
          <w:sz w:val="26"/>
          <w:szCs w:val="26"/>
        </w:rPr>
        <w:t xml:space="preserve">s service was </w:t>
      </w:r>
      <w:r w:rsidR="0025387C" w:rsidRPr="0044276B">
        <w:rPr>
          <w:sz w:val="26"/>
          <w:szCs w:val="26"/>
        </w:rPr>
        <w:t>unreasonable within th</w:t>
      </w:r>
      <w:r w:rsidR="00FA73E0" w:rsidRPr="0044276B">
        <w:rPr>
          <w:sz w:val="26"/>
          <w:szCs w:val="26"/>
        </w:rPr>
        <w:t xml:space="preserve">e meaning of the </w:t>
      </w:r>
      <w:r w:rsidR="0025387C" w:rsidRPr="0044276B">
        <w:rPr>
          <w:sz w:val="26"/>
          <w:szCs w:val="26"/>
        </w:rPr>
        <w:t>Code</w:t>
      </w:r>
      <w:r w:rsidR="00FA73E0" w:rsidRPr="0044276B">
        <w:rPr>
          <w:sz w:val="26"/>
          <w:szCs w:val="26"/>
        </w:rPr>
        <w:t>,</w:t>
      </w:r>
      <w:r w:rsidR="0025387C" w:rsidRPr="0044276B">
        <w:rPr>
          <w:sz w:val="26"/>
          <w:szCs w:val="26"/>
        </w:rPr>
        <w:t xml:space="preserve"> or to support</w:t>
      </w:r>
      <w:r w:rsidR="00FA73E0" w:rsidRPr="0044276B">
        <w:rPr>
          <w:sz w:val="26"/>
          <w:szCs w:val="26"/>
        </w:rPr>
        <w:t xml:space="preserve"> a civil penalty.  Consequently</w:t>
      </w:r>
      <w:r w:rsidR="00AF4B72" w:rsidRPr="0044276B">
        <w:rPr>
          <w:sz w:val="26"/>
          <w:szCs w:val="26"/>
        </w:rPr>
        <w:t xml:space="preserve">, we </w:t>
      </w:r>
      <w:r w:rsidR="0093254F" w:rsidRPr="0044276B">
        <w:rPr>
          <w:sz w:val="26"/>
          <w:szCs w:val="26"/>
        </w:rPr>
        <w:t>will grant PECO</w:t>
      </w:r>
      <w:r w:rsidR="009F2186" w:rsidRPr="0044276B">
        <w:rPr>
          <w:sz w:val="26"/>
          <w:szCs w:val="26"/>
        </w:rPr>
        <w:t>’s Exceptio</w:t>
      </w:r>
      <w:r w:rsidR="0044276B" w:rsidRPr="0044276B">
        <w:rPr>
          <w:sz w:val="26"/>
          <w:szCs w:val="26"/>
        </w:rPr>
        <w:t xml:space="preserve">n on this issue to the extent it contends that the Company was </w:t>
      </w:r>
      <w:r w:rsidR="00E13A03" w:rsidRPr="0044276B">
        <w:rPr>
          <w:sz w:val="26"/>
          <w:szCs w:val="26"/>
        </w:rPr>
        <w:t>not provided</w:t>
      </w:r>
      <w:r w:rsidR="00243474">
        <w:rPr>
          <w:sz w:val="26"/>
          <w:szCs w:val="26"/>
        </w:rPr>
        <w:t xml:space="preserve"> with proper </w:t>
      </w:r>
      <w:r w:rsidR="0044276B" w:rsidRPr="0044276B">
        <w:rPr>
          <w:sz w:val="26"/>
          <w:szCs w:val="26"/>
        </w:rPr>
        <w:t>notice that the issue would be addressed in this proceeding</w:t>
      </w:r>
      <w:r w:rsidR="00301F74" w:rsidRPr="0044276B">
        <w:rPr>
          <w:sz w:val="26"/>
          <w:szCs w:val="26"/>
        </w:rPr>
        <w:t xml:space="preserve">, and we will reverse the ALJ’s determination that </w:t>
      </w:r>
      <w:r w:rsidR="00145FF9" w:rsidRPr="0044276B">
        <w:rPr>
          <w:sz w:val="26"/>
          <w:szCs w:val="26"/>
        </w:rPr>
        <w:t>PECO</w:t>
      </w:r>
      <w:r w:rsidR="00AF4B72" w:rsidRPr="0044276B">
        <w:rPr>
          <w:sz w:val="26"/>
          <w:szCs w:val="26"/>
        </w:rPr>
        <w:t xml:space="preserve"> violated </w:t>
      </w:r>
      <w:r w:rsidR="00301F74" w:rsidRPr="0044276B">
        <w:rPr>
          <w:sz w:val="26"/>
          <w:szCs w:val="26"/>
        </w:rPr>
        <w:t>the reasonable service provisi</w:t>
      </w:r>
      <w:r w:rsidR="00192002" w:rsidRPr="0044276B">
        <w:rPr>
          <w:sz w:val="26"/>
          <w:szCs w:val="26"/>
        </w:rPr>
        <w:t>ons of Section 1501 of the Code</w:t>
      </w:r>
      <w:r w:rsidR="00CA70A3" w:rsidRPr="0044276B">
        <w:rPr>
          <w:sz w:val="26"/>
          <w:szCs w:val="26"/>
        </w:rPr>
        <w:t xml:space="preserve"> and of Sections 56.36(b)(1) and 56.37 of the Commission’s Regulations</w:t>
      </w:r>
      <w:r w:rsidR="0099142B" w:rsidRPr="0044276B">
        <w:rPr>
          <w:sz w:val="26"/>
          <w:szCs w:val="26"/>
        </w:rPr>
        <w:t>.  Because we are fi</w:t>
      </w:r>
      <w:r w:rsidR="0044276B" w:rsidRPr="0044276B">
        <w:rPr>
          <w:sz w:val="26"/>
          <w:szCs w:val="26"/>
        </w:rPr>
        <w:t xml:space="preserve">nding that this issue was not properly before the ALJ for disposition, </w:t>
      </w:r>
      <w:r w:rsidR="0099142B" w:rsidRPr="0044276B">
        <w:rPr>
          <w:sz w:val="26"/>
          <w:szCs w:val="26"/>
        </w:rPr>
        <w:t>we need not act on PECO’s request that we take official notice of, and rely upon, the extra-record document attached to its Exceptions as Exhibit A.</w:t>
      </w:r>
    </w:p>
    <w:p w:rsidR="00FA73E0" w:rsidRPr="00CA70A3" w:rsidRDefault="00FA73E0" w:rsidP="000F5867">
      <w:pPr>
        <w:widowControl/>
        <w:spacing w:line="360" w:lineRule="auto"/>
        <w:rPr>
          <w:sz w:val="26"/>
          <w:szCs w:val="26"/>
        </w:rPr>
      </w:pPr>
    </w:p>
    <w:p w:rsidR="00D332E7" w:rsidRPr="00D332E7" w:rsidRDefault="00D332E7" w:rsidP="00410C55">
      <w:pPr>
        <w:keepNext/>
        <w:widowControl/>
        <w:spacing w:line="360" w:lineRule="auto"/>
        <w:rPr>
          <w:b/>
          <w:sz w:val="26"/>
          <w:szCs w:val="26"/>
        </w:rPr>
      </w:pPr>
      <w:r w:rsidRPr="00CA70A3">
        <w:rPr>
          <w:sz w:val="26"/>
          <w:szCs w:val="26"/>
        </w:rPr>
        <w:tab/>
      </w:r>
      <w:r w:rsidRPr="00CA70A3">
        <w:rPr>
          <w:b/>
          <w:sz w:val="26"/>
          <w:szCs w:val="26"/>
        </w:rPr>
        <w:t>3.</w:t>
      </w:r>
      <w:r w:rsidRPr="00CA70A3">
        <w:rPr>
          <w:b/>
          <w:sz w:val="26"/>
          <w:szCs w:val="26"/>
        </w:rPr>
        <w:tab/>
        <w:t>Complainant’s Outstanding</w:t>
      </w:r>
      <w:r w:rsidRPr="00D332E7">
        <w:rPr>
          <w:b/>
          <w:sz w:val="26"/>
          <w:szCs w:val="26"/>
        </w:rPr>
        <w:t xml:space="preserve"> Balance from Prior Addresses</w:t>
      </w:r>
    </w:p>
    <w:p w:rsidR="00D332E7" w:rsidRDefault="00D332E7" w:rsidP="00410C55">
      <w:pPr>
        <w:keepNext/>
        <w:widowControl/>
        <w:spacing w:line="360" w:lineRule="auto"/>
        <w:rPr>
          <w:sz w:val="26"/>
          <w:szCs w:val="26"/>
        </w:rPr>
      </w:pPr>
    </w:p>
    <w:p w:rsidR="0081527D" w:rsidRPr="0081527D" w:rsidRDefault="0081527D" w:rsidP="00410C55">
      <w:pPr>
        <w:keepNext/>
        <w:widowControl/>
        <w:spacing w:line="360" w:lineRule="auto"/>
        <w:rPr>
          <w:b/>
          <w:sz w:val="26"/>
          <w:szCs w:val="26"/>
        </w:rPr>
      </w:pPr>
      <w:r>
        <w:rPr>
          <w:sz w:val="26"/>
          <w:szCs w:val="26"/>
        </w:rPr>
        <w:tab/>
      </w:r>
      <w:r>
        <w:rPr>
          <w:sz w:val="26"/>
          <w:szCs w:val="26"/>
        </w:rPr>
        <w:tab/>
      </w:r>
      <w:r w:rsidRPr="0081527D">
        <w:rPr>
          <w:b/>
          <w:sz w:val="26"/>
          <w:szCs w:val="26"/>
        </w:rPr>
        <w:t>a.</w:t>
      </w:r>
      <w:r w:rsidRPr="0081527D">
        <w:rPr>
          <w:b/>
          <w:sz w:val="26"/>
          <w:szCs w:val="26"/>
        </w:rPr>
        <w:tab/>
        <w:t>ALJ’s Initial Decision</w:t>
      </w:r>
    </w:p>
    <w:p w:rsidR="0081527D" w:rsidRDefault="0081527D" w:rsidP="00410C55">
      <w:pPr>
        <w:keepNext/>
        <w:widowControl/>
        <w:spacing w:line="360" w:lineRule="auto"/>
        <w:rPr>
          <w:sz w:val="26"/>
          <w:szCs w:val="26"/>
        </w:rPr>
      </w:pPr>
    </w:p>
    <w:p w:rsidR="00CF51DA" w:rsidRDefault="00CF51DA" w:rsidP="007A61B0">
      <w:pPr>
        <w:widowControl/>
        <w:spacing w:line="360" w:lineRule="auto"/>
        <w:rPr>
          <w:sz w:val="26"/>
          <w:szCs w:val="26"/>
        </w:rPr>
      </w:pPr>
      <w:r>
        <w:rPr>
          <w:sz w:val="26"/>
          <w:szCs w:val="26"/>
        </w:rPr>
        <w:tab/>
      </w:r>
      <w:r>
        <w:rPr>
          <w:sz w:val="26"/>
          <w:szCs w:val="26"/>
        </w:rPr>
        <w:tab/>
      </w:r>
      <w:r w:rsidR="00505A6E">
        <w:rPr>
          <w:sz w:val="26"/>
          <w:szCs w:val="26"/>
        </w:rPr>
        <w:t>The ALJ also</w:t>
      </w:r>
      <w:r w:rsidRPr="00793B2B">
        <w:rPr>
          <w:sz w:val="26"/>
          <w:szCs w:val="26"/>
        </w:rPr>
        <w:t xml:space="preserve"> addressed the question of whether PECO acted properly in requiring the Complainant</w:t>
      </w:r>
      <w:r w:rsidR="00B97042">
        <w:rPr>
          <w:sz w:val="26"/>
          <w:szCs w:val="26"/>
        </w:rPr>
        <w:t xml:space="preserve"> to</w:t>
      </w:r>
      <w:r w:rsidR="00170C58">
        <w:rPr>
          <w:sz w:val="26"/>
          <w:szCs w:val="26"/>
        </w:rPr>
        <w:t xml:space="preserve"> enter into a payment agreement to satisfy </w:t>
      </w:r>
      <w:r w:rsidRPr="00793B2B">
        <w:rPr>
          <w:sz w:val="26"/>
          <w:szCs w:val="26"/>
        </w:rPr>
        <w:t>her outstanding balance</w:t>
      </w:r>
      <w:r w:rsidR="00170C58">
        <w:rPr>
          <w:sz w:val="26"/>
          <w:szCs w:val="26"/>
        </w:rPr>
        <w:t xml:space="preserve"> of $12,121.35</w:t>
      </w:r>
      <w:r w:rsidRPr="00793B2B">
        <w:rPr>
          <w:sz w:val="26"/>
          <w:szCs w:val="26"/>
        </w:rPr>
        <w:t xml:space="preserve"> relating to service from prior addresses</w:t>
      </w:r>
      <w:r w:rsidR="00170C58">
        <w:rPr>
          <w:sz w:val="26"/>
          <w:szCs w:val="26"/>
        </w:rPr>
        <w:t>,</w:t>
      </w:r>
      <w:r w:rsidRPr="00793B2B">
        <w:rPr>
          <w:sz w:val="26"/>
          <w:szCs w:val="26"/>
        </w:rPr>
        <w:t xml:space="preserve"> as a condition for establishing service at her current Aspen Avenue address.  In this regard, the ALJ noted that Section 56.35(a) of the Commission’s Regulations provide</w:t>
      </w:r>
      <w:r w:rsidR="00A56D82" w:rsidRPr="00793B2B">
        <w:rPr>
          <w:sz w:val="26"/>
          <w:szCs w:val="26"/>
        </w:rPr>
        <w:t>s</w:t>
      </w:r>
      <w:r w:rsidRPr="00793B2B">
        <w:rPr>
          <w:sz w:val="26"/>
          <w:szCs w:val="26"/>
        </w:rPr>
        <w:t xml:space="preserve"> as follows:</w:t>
      </w:r>
    </w:p>
    <w:p w:rsidR="007A61B0" w:rsidRDefault="007A61B0" w:rsidP="007A61B0">
      <w:pPr>
        <w:widowControl/>
        <w:spacing w:line="360" w:lineRule="auto"/>
        <w:rPr>
          <w:sz w:val="26"/>
          <w:szCs w:val="26"/>
        </w:rPr>
      </w:pPr>
    </w:p>
    <w:p w:rsidR="001173A7" w:rsidRDefault="00CF51DA" w:rsidP="001173A7">
      <w:pPr>
        <w:widowControl/>
        <w:ind w:left="1440" w:right="1440"/>
        <w:rPr>
          <w:sz w:val="26"/>
          <w:szCs w:val="26"/>
        </w:rPr>
      </w:pPr>
      <w:r w:rsidRPr="00CF51DA">
        <w:rPr>
          <w:sz w:val="26"/>
          <w:szCs w:val="26"/>
        </w:rPr>
        <w:t xml:space="preserve">A public utility may require, as a condition of the furnishing of residential service to an applicant, the payment of any outstanding residential account with the public utility which accrued within the past 4 years for which the applicant is </w:t>
      </w:r>
      <w:r w:rsidRPr="00CF51DA">
        <w:rPr>
          <w:sz w:val="26"/>
          <w:szCs w:val="26"/>
        </w:rPr>
        <w:lastRenderedPageBreak/>
        <w:t>legally responsible and for which the applicant was billed properly.</w:t>
      </w:r>
    </w:p>
    <w:p w:rsidR="001173A7" w:rsidRDefault="001173A7" w:rsidP="001173A7">
      <w:pPr>
        <w:widowControl/>
        <w:tabs>
          <w:tab w:val="left" w:pos="9360"/>
        </w:tabs>
        <w:rPr>
          <w:sz w:val="26"/>
          <w:szCs w:val="26"/>
        </w:rPr>
      </w:pPr>
    </w:p>
    <w:p w:rsidR="001173A7" w:rsidRDefault="001173A7" w:rsidP="001173A7">
      <w:pPr>
        <w:widowControl/>
        <w:tabs>
          <w:tab w:val="left" w:pos="9360"/>
        </w:tabs>
        <w:rPr>
          <w:sz w:val="26"/>
          <w:szCs w:val="26"/>
        </w:rPr>
      </w:pPr>
    </w:p>
    <w:p w:rsidR="00BE34AC" w:rsidRPr="00BE34AC" w:rsidRDefault="001173A7" w:rsidP="00BE34AC">
      <w:pPr>
        <w:widowControl/>
        <w:tabs>
          <w:tab w:val="left" w:pos="9360"/>
        </w:tabs>
        <w:spacing w:line="360" w:lineRule="auto"/>
        <w:rPr>
          <w:sz w:val="26"/>
          <w:szCs w:val="26"/>
        </w:rPr>
      </w:pPr>
      <w:r>
        <w:rPr>
          <w:sz w:val="26"/>
          <w:szCs w:val="26"/>
        </w:rPr>
        <w:t>I.D. at 22-23 (citing 52 Pa. Code § 56.35(a)).</w:t>
      </w:r>
      <w:r w:rsidR="0089118D">
        <w:rPr>
          <w:sz w:val="26"/>
          <w:szCs w:val="26"/>
        </w:rPr>
        <w:t xml:space="preserve">  </w:t>
      </w:r>
      <w:r w:rsidR="00BE34AC">
        <w:rPr>
          <w:sz w:val="26"/>
          <w:szCs w:val="26"/>
        </w:rPr>
        <w:t xml:space="preserve">The ALJ asserted that </w:t>
      </w:r>
      <w:r w:rsidR="00BE34AC" w:rsidRPr="00BE34AC">
        <w:rPr>
          <w:sz w:val="26"/>
          <w:szCs w:val="26"/>
        </w:rPr>
        <w:t>conditioning a payment arrangement upon an account balance that is more than four yea</w:t>
      </w:r>
      <w:r w:rsidR="00D75BF3">
        <w:rPr>
          <w:sz w:val="26"/>
          <w:szCs w:val="26"/>
        </w:rPr>
        <w:t>rs old contravenes this r</w:t>
      </w:r>
      <w:r w:rsidR="00BE34AC">
        <w:rPr>
          <w:sz w:val="26"/>
          <w:szCs w:val="26"/>
        </w:rPr>
        <w:t>egulation.  I.D. at 23</w:t>
      </w:r>
      <w:r w:rsidR="00BE34AC" w:rsidRPr="00BE34AC">
        <w:rPr>
          <w:sz w:val="26"/>
          <w:szCs w:val="26"/>
        </w:rPr>
        <w:t xml:space="preserve">. </w:t>
      </w:r>
    </w:p>
    <w:p w:rsidR="00BE34AC" w:rsidRDefault="00BE34AC" w:rsidP="001173A7">
      <w:pPr>
        <w:widowControl/>
        <w:tabs>
          <w:tab w:val="left" w:pos="9360"/>
        </w:tabs>
        <w:spacing w:line="360" w:lineRule="auto"/>
        <w:rPr>
          <w:sz w:val="26"/>
          <w:szCs w:val="26"/>
        </w:rPr>
      </w:pPr>
    </w:p>
    <w:p w:rsidR="001173A7" w:rsidRPr="00CF51DA" w:rsidRDefault="00E62007" w:rsidP="00E62007">
      <w:pPr>
        <w:widowControl/>
        <w:spacing w:line="360" w:lineRule="auto"/>
        <w:rPr>
          <w:sz w:val="26"/>
          <w:szCs w:val="26"/>
        </w:rPr>
      </w:pPr>
      <w:r>
        <w:rPr>
          <w:sz w:val="26"/>
          <w:szCs w:val="26"/>
        </w:rPr>
        <w:tab/>
      </w:r>
      <w:r>
        <w:rPr>
          <w:sz w:val="26"/>
          <w:szCs w:val="26"/>
        </w:rPr>
        <w:tab/>
      </w:r>
      <w:r w:rsidR="0089118D">
        <w:rPr>
          <w:sz w:val="26"/>
          <w:szCs w:val="26"/>
        </w:rPr>
        <w:t>The ALJ stated that according to the evidence, the Complainant lived at multiple addresses before receiving service at her Aspen Aven</w:t>
      </w:r>
      <w:r w:rsidR="00620354">
        <w:rPr>
          <w:sz w:val="26"/>
          <w:szCs w:val="26"/>
        </w:rPr>
        <w:t>ue address on November</w:t>
      </w:r>
      <w:r w:rsidR="00B94D38">
        <w:rPr>
          <w:sz w:val="26"/>
          <w:szCs w:val="26"/>
        </w:rPr>
        <w:t> </w:t>
      </w:r>
      <w:r w:rsidR="00620354">
        <w:rPr>
          <w:sz w:val="26"/>
          <w:szCs w:val="26"/>
        </w:rPr>
        <w:t>20, 2013.  The ALJ noted that each time the Complainant moved</w:t>
      </w:r>
      <w:r w:rsidR="0078297F">
        <w:rPr>
          <w:sz w:val="26"/>
          <w:szCs w:val="26"/>
        </w:rPr>
        <w:t xml:space="preserve"> from one address to another</w:t>
      </w:r>
      <w:r w:rsidR="00620354">
        <w:rPr>
          <w:sz w:val="26"/>
          <w:szCs w:val="26"/>
        </w:rPr>
        <w:t>, PECO transferred th</w:t>
      </w:r>
      <w:r w:rsidR="007271CB">
        <w:rPr>
          <w:sz w:val="26"/>
          <w:szCs w:val="26"/>
        </w:rPr>
        <w:t>e final balance from her prior address to the account for her</w:t>
      </w:r>
      <w:r w:rsidR="00620354">
        <w:rPr>
          <w:sz w:val="26"/>
          <w:szCs w:val="26"/>
        </w:rPr>
        <w:t xml:space="preserve"> new address, beginning with the balance from her earliest address at 373 Church Street</w:t>
      </w:r>
      <w:r w:rsidR="007271CB">
        <w:rPr>
          <w:sz w:val="26"/>
          <w:szCs w:val="26"/>
        </w:rPr>
        <w:t>, where she received service</w:t>
      </w:r>
      <w:r w:rsidR="00620354">
        <w:rPr>
          <w:sz w:val="26"/>
          <w:szCs w:val="26"/>
        </w:rPr>
        <w:t xml:space="preserve"> from </w:t>
      </w:r>
      <w:r w:rsidR="00685202">
        <w:rPr>
          <w:sz w:val="26"/>
          <w:szCs w:val="26"/>
        </w:rPr>
        <w:t>June</w:t>
      </w:r>
      <w:r w:rsidR="00620354">
        <w:rPr>
          <w:sz w:val="26"/>
          <w:szCs w:val="26"/>
        </w:rPr>
        <w:t xml:space="preserve"> 2003 to </w:t>
      </w:r>
      <w:r w:rsidR="00685202">
        <w:rPr>
          <w:sz w:val="26"/>
          <w:szCs w:val="26"/>
        </w:rPr>
        <w:t>June</w:t>
      </w:r>
      <w:r w:rsidR="00620354">
        <w:rPr>
          <w:sz w:val="26"/>
          <w:szCs w:val="26"/>
        </w:rPr>
        <w:t xml:space="preserve"> 2004.</w:t>
      </w:r>
      <w:r w:rsidR="0099050A">
        <w:rPr>
          <w:sz w:val="26"/>
          <w:szCs w:val="26"/>
        </w:rPr>
        <w:t xml:space="preserve">  </w:t>
      </w:r>
      <w:r w:rsidR="0078297F">
        <w:rPr>
          <w:sz w:val="26"/>
          <w:szCs w:val="26"/>
        </w:rPr>
        <w:t xml:space="preserve">I.D. at 23.  </w:t>
      </w:r>
      <w:r w:rsidR="00AB620D">
        <w:rPr>
          <w:sz w:val="26"/>
          <w:szCs w:val="26"/>
        </w:rPr>
        <w:t xml:space="preserve">The ALJ explained that as a </w:t>
      </w:r>
      <w:r w:rsidR="00AB620D" w:rsidRPr="00AB620D">
        <w:rPr>
          <w:sz w:val="26"/>
          <w:szCs w:val="26"/>
        </w:rPr>
        <w:t>condition of furnishi</w:t>
      </w:r>
      <w:r w:rsidR="00F67213">
        <w:rPr>
          <w:sz w:val="26"/>
          <w:szCs w:val="26"/>
        </w:rPr>
        <w:t>ng service to the Complainant at her</w:t>
      </w:r>
      <w:r w:rsidR="0078297F">
        <w:rPr>
          <w:sz w:val="26"/>
          <w:szCs w:val="26"/>
        </w:rPr>
        <w:t xml:space="preserve"> current Aspen Avenue address, PECO required her</w:t>
      </w:r>
      <w:r w:rsidR="00AB620D" w:rsidRPr="00AB620D">
        <w:rPr>
          <w:sz w:val="26"/>
          <w:szCs w:val="26"/>
        </w:rPr>
        <w:t xml:space="preserve"> to accept responsibility for all of the transferred balanc</w:t>
      </w:r>
      <w:r w:rsidR="0078297F">
        <w:rPr>
          <w:sz w:val="26"/>
          <w:szCs w:val="26"/>
        </w:rPr>
        <w:t>es dating back to June 16, 2004, as part of a payment arrangement granted to the Complainant when service was established at Aspen Avenue.</w:t>
      </w:r>
      <w:r w:rsidR="000A79E1">
        <w:rPr>
          <w:rStyle w:val="FootnoteReference"/>
          <w:sz w:val="26"/>
          <w:szCs w:val="26"/>
        </w:rPr>
        <w:footnoteReference w:id="8"/>
      </w:r>
      <w:r w:rsidR="0078297F">
        <w:rPr>
          <w:sz w:val="26"/>
          <w:szCs w:val="26"/>
        </w:rPr>
        <w:t xml:space="preserve">  </w:t>
      </w:r>
      <w:r w:rsidR="0078297F" w:rsidRPr="0078297F">
        <w:rPr>
          <w:i/>
          <w:sz w:val="26"/>
          <w:szCs w:val="26"/>
        </w:rPr>
        <w:t>Id</w:t>
      </w:r>
      <w:r w:rsidR="0078297F">
        <w:rPr>
          <w:sz w:val="26"/>
          <w:szCs w:val="26"/>
        </w:rPr>
        <w:t>. (</w:t>
      </w:r>
      <w:r w:rsidR="00D41D77">
        <w:rPr>
          <w:sz w:val="26"/>
          <w:szCs w:val="26"/>
        </w:rPr>
        <w:t>citing</w:t>
      </w:r>
      <w:r w:rsidR="0078297F">
        <w:rPr>
          <w:sz w:val="26"/>
          <w:szCs w:val="26"/>
        </w:rPr>
        <w:t xml:space="preserve"> Tr. </w:t>
      </w:r>
      <w:r w:rsidR="00FE2559">
        <w:rPr>
          <w:sz w:val="26"/>
          <w:szCs w:val="26"/>
        </w:rPr>
        <w:t xml:space="preserve">at </w:t>
      </w:r>
      <w:r w:rsidR="0078297F">
        <w:rPr>
          <w:sz w:val="26"/>
          <w:szCs w:val="26"/>
        </w:rPr>
        <w:t>70-71, 91-92, 96-99).  However, t</w:t>
      </w:r>
      <w:r w:rsidR="008562BC">
        <w:rPr>
          <w:sz w:val="26"/>
          <w:szCs w:val="26"/>
        </w:rPr>
        <w:t>he ALJ found that by</w:t>
      </w:r>
      <w:r w:rsidR="0094609A">
        <w:rPr>
          <w:sz w:val="26"/>
          <w:szCs w:val="26"/>
        </w:rPr>
        <w:t xml:space="preserve"> conditioning </w:t>
      </w:r>
      <w:r w:rsidR="00F67213">
        <w:rPr>
          <w:sz w:val="26"/>
          <w:szCs w:val="26"/>
        </w:rPr>
        <w:t xml:space="preserve">the provision of service at Aspen Avenue </w:t>
      </w:r>
      <w:r w:rsidR="007600A5">
        <w:rPr>
          <w:sz w:val="26"/>
          <w:szCs w:val="26"/>
        </w:rPr>
        <w:t>on the payment of a</w:t>
      </w:r>
      <w:r w:rsidR="008562BC">
        <w:rPr>
          <w:sz w:val="26"/>
          <w:szCs w:val="26"/>
        </w:rPr>
        <w:t xml:space="preserve"> </w:t>
      </w:r>
      <w:r w:rsidR="007600A5">
        <w:rPr>
          <w:sz w:val="26"/>
          <w:szCs w:val="26"/>
        </w:rPr>
        <w:t>cumulative</w:t>
      </w:r>
      <w:r w:rsidR="008562BC">
        <w:rPr>
          <w:sz w:val="26"/>
          <w:szCs w:val="26"/>
        </w:rPr>
        <w:t xml:space="preserve"> balance that had accrued from a date that</w:t>
      </w:r>
      <w:r w:rsidR="00F67213">
        <w:rPr>
          <w:sz w:val="26"/>
          <w:szCs w:val="26"/>
        </w:rPr>
        <w:t xml:space="preserve"> was more than four years prior to</w:t>
      </w:r>
      <w:r w:rsidR="008562BC">
        <w:rPr>
          <w:sz w:val="26"/>
          <w:szCs w:val="26"/>
        </w:rPr>
        <w:t xml:space="preserve"> November 20, 2013, PECO was in violation of Section 56.35 of the Commission’s Regulations.</w:t>
      </w:r>
      <w:r w:rsidR="002D29D8">
        <w:rPr>
          <w:sz w:val="26"/>
          <w:szCs w:val="26"/>
        </w:rPr>
        <w:t xml:space="preserve">  I.D. at 23-24.</w:t>
      </w:r>
    </w:p>
    <w:p w:rsidR="00CF51DA" w:rsidRDefault="00CF51DA" w:rsidP="000F5867">
      <w:pPr>
        <w:widowControl/>
        <w:spacing w:line="360" w:lineRule="auto"/>
        <w:rPr>
          <w:sz w:val="26"/>
          <w:szCs w:val="26"/>
        </w:rPr>
      </w:pPr>
    </w:p>
    <w:p w:rsidR="00430C9D" w:rsidRDefault="00674DE5" w:rsidP="00674DE5">
      <w:pPr>
        <w:widowControl/>
        <w:spacing w:line="360" w:lineRule="auto"/>
        <w:rPr>
          <w:sz w:val="26"/>
          <w:szCs w:val="26"/>
        </w:rPr>
      </w:pPr>
      <w:r>
        <w:rPr>
          <w:sz w:val="26"/>
          <w:szCs w:val="26"/>
        </w:rPr>
        <w:lastRenderedPageBreak/>
        <w:tab/>
      </w:r>
      <w:r>
        <w:rPr>
          <w:sz w:val="26"/>
          <w:szCs w:val="26"/>
        </w:rPr>
        <w:tab/>
        <w:t xml:space="preserve">The ALJ rejected PECO’s argument that it was in compliance with </w:t>
      </w:r>
      <w:r w:rsidR="000523CF">
        <w:rPr>
          <w:sz w:val="26"/>
          <w:szCs w:val="26"/>
        </w:rPr>
        <w:t>Section 56.35 because each balance transfer from a prior address to a new</w:t>
      </w:r>
      <w:r w:rsidR="002A0CBA">
        <w:rPr>
          <w:sz w:val="26"/>
          <w:szCs w:val="26"/>
        </w:rPr>
        <w:t xml:space="preserve"> address was made within a four-</w:t>
      </w:r>
      <w:r w:rsidR="000523CF">
        <w:rPr>
          <w:sz w:val="26"/>
          <w:szCs w:val="26"/>
        </w:rPr>
        <w:t xml:space="preserve">year period.  </w:t>
      </w:r>
      <w:r w:rsidR="000523CF" w:rsidRPr="00F7162B">
        <w:rPr>
          <w:i/>
          <w:sz w:val="26"/>
          <w:szCs w:val="26"/>
        </w:rPr>
        <w:t>See</w:t>
      </w:r>
      <w:r w:rsidR="000523CF">
        <w:rPr>
          <w:sz w:val="26"/>
          <w:szCs w:val="26"/>
        </w:rPr>
        <w:t xml:space="preserve"> </w:t>
      </w:r>
      <w:r w:rsidR="00980557">
        <w:rPr>
          <w:sz w:val="26"/>
          <w:szCs w:val="26"/>
        </w:rPr>
        <w:t>Tr. at 39-41</w:t>
      </w:r>
      <w:r w:rsidR="00F7162B">
        <w:rPr>
          <w:sz w:val="26"/>
          <w:szCs w:val="26"/>
        </w:rPr>
        <w:t>; PECO Memorandum of Law at 7-8.</w:t>
      </w:r>
      <w:r w:rsidR="00740A7D">
        <w:rPr>
          <w:sz w:val="26"/>
          <w:szCs w:val="26"/>
        </w:rPr>
        <w:t xml:space="preserve">  According to the ALJ, the date of transfer is not the determining factor.  Rather, the ALJ asserted that it is the date the balance “accrued” that determines whether the amount in question falls within the four-year time frame established in Section 56.3</w:t>
      </w:r>
      <w:r w:rsidR="00263801">
        <w:rPr>
          <w:sz w:val="26"/>
          <w:szCs w:val="26"/>
        </w:rPr>
        <w:t>5.  Thus, the ALJ concluded</w:t>
      </w:r>
      <w:r w:rsidR="00740A7D">
        <w:rPr>
          <w:sz w:val="26"/>
          <w:szCs w:val="26"/>
        </w:rPr>
        <w:t xml:space="preserve"> that PE</w:t>
      </w:r>
      <w:r w:rsidR="00295606">
        <w:rPr>
          <w:sz w:val="26"/>
          <w:szCs w:val="26"/>
        </w:rPr>
        <w:t xml:space="preserve">CO </w:t>
      </w:r>
      <w:r w:rsidR="00295606" w:rsidRPr="00263801">
        <w:rPr>
          <w:sz w:val="26"/>
          <w:szCs w:val="26"/>
        </w:rPr>
        <w:t xml:space="preserve">was prohibited from transferring those balances that </w:t>
      </w:r>
      <w:r w:rsidR="0099050A" w:rsidRPr="00263801">
        <w:rPr>
          <w:sz w:val="26"/>
          <w:szCs w:val="26"/>
        </w:rPr>
        <w:t>accrued</w:t>
      </w:r>
      <w:r w:rsidR="00295606" w:rsidRPr="00263801">
        <w:rPr>
          <w:sz w:val="26"/>
          <w:szCs w:val="26"/>
        </w:rPr>
        <w:t xml:space="preserve"> </w:t>
      </w:r>
      <w:r w:rsidR="00FC2215">
        <w:rPr>
          <w:sz w:val="26"/>
          <w:szCs w:val="26"/>
        </w:rPr>
        <w:t xml:space="preserve">four years </w:t>
      </w:r>
      <w:r w:rsidR="00295606" w:rsidRPr="00263801">
        <w:rPr>
          <w:sz w:val="26"/>
          <w:szCs w:val="26"/>
        </w:rPr>
        <w:t>prior to November 20, 2009.  I.D. at 24</w:t>
      </w:r>
      <w:r w:rsidR="00F40871">
        <w:rPr>
          <w:sz w:val="26"/>
          <w:szCs w:val="26"/>
        </w:rPr>
        <w:t xml:space="preserve">-25 (citing </w:t>
      </w:r>
      <w:r w:rsidR="00F40871" w:rsidRPr="00263801">
        <w:rPr>
          <w:i/>
          <w:sz w:val="26"/>
          <w:szCs w:val="26"/>
        </w:rPr>
        <w:t>Michelle A. Mangel v. Duquesne Light</w:t>
      </w:r>
      <w:r w:rsidR="00F40871" w:rsidRPr="00263801">
        <w:rPr>
          <w:sz w:val="26"/>
          <w:szCs w:val="26"/>
        </w:rPr>
        <w:t xml:space="preserve"> </w:t>
      </w:r>
      <w:r w:rsidR="00F40871" w:rsidRPr="00263801">
        <w:rPr>
          <w:i/>
          <w:sz w:val="26"/>
          <w:szCs w:val="26"/>
        </w:rPr>
        <w:t>Company,</w:t>
      </w:r>
      <w:r w:rsidR="00F40871" w:rsidRPr="00263801">
        <w:rPr>
          <w:sz w:val="26"/>
          <w:szCs w:val="26"/>
        </w:rPr>
        <w:t xml:space="preserve"> Docket No. C</w:t>
      </w:r>
      <w:r w:rsidR="00F40871" w:rsidRPr="00263801">
        <w:rPr>
          <w:sz w:val="26"/>
          <w:szCs w:val="26"/>
        </w:rPr>
        <w:noBreakHyphen/>
        <w:t>00970563 (Opinion and Order entered September 18, 1998)</w:t>
      </w:r>
      <w:r w:rsidR="00F40871">
        <w:rPr>
          <w:sz w:val="26"/>
          <w:szCs w:val="26"/>
        </w:rPr>
        <w:t xml:space="preserve"> at 11 (in which </w:t>
      </w:r>
      <w:r w:rsidR="00263801">
        <w:rPr>
          <w:sz w:val="26"/>
          <w:szCs w:val="26"/>
        </w:rPr>
        <w:t>the Commission determined that</w:t>
      </w:r>
      <w:r w:rsidR="00067A08">
        <w:rPr>
          <w:sz w:val="26"/>
          <w:szCs w:val="26"/>
        </w:rPr>
        <w:t xml:space="preserve"> </w:t>
      </w:r>
      <w:r w:rsidR="00263801">
        <w:rPr>
          <w:sz w:val="26"/>
          <w:szCs w:val="26"/>
        </w:rPr>
        <w:t>a portion of the complainant’s balance</w:t>
      </w:r>
      <w:r w:rsidR="00067A08">
        <w:rPr>
          <w:sz w:val="26"/>
          <w:szCs w:val="26"/>
        </w:rPr>
        <w:t xml:space="preserve"> that had been transferred from a prior address</w:t>
      </w:r>
      <w:r w:rsidR="00E30765">
        <w:rPr>
          <w:sz w:val="26"/>
          <w:szCs w:val="26"/>
        </w:rPr>
        <w:t xml:space="preserve"> and was over four years old</w:t>
      </w:r>
      <w:r w:rsidR="00067A08">
        <w:rPr>
          <w:sz w:val="26"/>
          <w:szCs w:val="26"/>
        </w:rPr>
        <w:t xml:space="preserve"> should not be part of a </w:t>
      </w:r>
      <w:r w:rsidR="00067A08" w:rsidRPr="006B6B95">
        <w:rPr>
          <w:sz w:val="26"/>
          <w:szCs w:val="26"/>
        </w:rPr>
        <w:t>payment ar</w:t>
      </w:r>
      <w:r w:rsidR="00E30765">
        <w:rPr>
          <w:sz w:val="26"/>
          <w:szCs w:val="26"/>
        </w:rPr>
        <w:t>rangement, pursuant to</w:t>
      </w:r>
      <w:r w:rsidR="00067A08" w:rsidRPr="006B6B95">
        <w:rPr>
          <w:sz w:val="26"/>
          <w:szCs w:val="26"/>
        </w:rPr>
        <w:t xml:space="preserve"> </w:t>
      </w:r>
      <w:r w:rsidR="00745A9E">
        <w:rPr>
          <w:sz w:val="26"/>
          <w:szCs w:val="26"/>
        </w:rPr>
        <w:t>52 Pa. Code § </w:t>
      </w:r>
      <w:r w:rsidR="006B6B95" w:rsidRPr="006B6B95">
        <w:rPr>
          <w:sz w:val="26"/>
          <w:szCs w:val="26"/>
        </w:rPr>
        <w:t>56.35</w:t>
      </w:r>
      <w:r w:rsidR="00E30765">
        <w:rPr>
          <w:sz w:val="26"/>
          <w:szCs w:val="26"/>
        </w:rPr>
        <w:t>)</w:t>
      </w:r>
      <w:r w:rsidR="00745A9E">
        <w:rPr>
          <w:sz w:val="26"/>
          <w:szCs w:val="26"/>
        </w:rPr>
        <w:t>)</w:t>
      </w:r>
      <w:r w:rsidR="006B6B95" w:rsidRPr="006B6B95">
        <w:rPr>
          <w:sz w:val="26"/>
          <w:szCs w:val="26"/>
        </w:rPr>
        <w:t xml:space="preserve">. </w:t>
      </w:r>
      <w:r w:rsidR="00F40871">
        <w:rPr>
          <w:sz w:val="26"/>
          <w:szCs w:val="26"/>
        </w:rPr>
        <w:t xml:space="preserve"> </w:t>
      </w:r>
    </w:p>
    <w:p w:rsidR="00430C9D" w:rsidRDefault="00430C9D" w:rsidP="00674DE5">
      <w:pPr>
        <w:widowControl/>
        <w:spacing w:line="360" w:lineRule="auto"/>
        <w:rPr>
          <w:sz w:val="26"/>
          <w:szCs w:val="26"/>
        </w:rPr>
      </w:pPr>
    </w:p>
    <w:p w:rsidR="00674DE5" w:rsidRPr="00C516B5" w:rsidRDefault="00430C9D" w:rsidP="00674DE5">
      <w:pPr>
        <w:widowControl/>
        <w:spacing w:line="360" w:lineRule="auto"/>
        <w:rPr>
          <w:sz w:val="26"/>
          <w:szCs w:val="26"/>
        </w:rPr>
      </w:pPr>
      <w:r>
        <w:rPr>
          <w:sz w:val="26"/>
          <w:szCs w:val="26"/>
        </w:rPr>
        <w:tab/>
      </w:r>
      <w:r>
        <w:rPr>
          <w:sz w:val="26"/>
          <w:szCs w:val="26"/>
        </w:rPr>
        <w:tab/>
      </w:r>
      <w:r w:rsidR="00D83204">
        <w:rPr>
          <w:sz w:val="26"/>
          <w:szCs w:val="26"/>
        </w:rPr>
        <w:t xml:space="preserve">In addition, the </w:t>
      </w:r>
      <w:r w:rsidR="00D83204" w:rsidRPr="00C516B5">
        <w:rPr>
          <w:sz w:val="26"/>
          <w:szCs w:val="26"/>
        </w:rPr>
        <w:t xml:space="preserve">ALJ found that the Commission’s ruling in </w:t>
      </w:r>
      <w:r w:rsidR="00D83204" w:rsidRPr="00C516B5">
        <w:rPr>
          <w:i/>
          <w:sz w:val="26"/>
          <w:szCs w:val="26"/>
        </w:rPr>
        <w:t>Mangel</w:t>
      </w:r>
      <w:r w:rsidR="00D83204" w:rsidRPr="00C516B5">
        <w:rPr>
          <w:sz w:val="26"/>
          <w:szCs w:val="26"/>
        </w:rPr>
        <w:t xml:space="preserve"> was to be distinguished from its ruling in </w:t>
      </w:r>
      <w:r w:rsidR="00D83204" w:rsidRPr="00C516B5">
        <w:rPr>
          <w:i/>
          <w:sz w:val="26"/>
          <w:szCs w:val="26"/>
        </w:rPr>
        <w:t xml:space="preserve">Debra Brown v. PECO Energy Company, </w:t>
      </w:r>
      <w:r w:rsidR="00D83204" w:rsidRPr="00C516B5">
        <w:rPr>
          <w:sz w:val="26"/>
          <w:szCs w:val="26"/>
        </w:rPr>
        <w:t>Docket No. C-2009-2097007 (Order entered January 29, 2010) (</w:t>
      </w:r>
      <w:r w:rsidR="00D83204" w:rsidRPr="00C516B5">
        <w:rPr>
          <w:i/>
          <w:sz w:val="26"/>
          <w:szCs w:val="26"/>
        </w:rPr>
        <w:t>Brown</w:t>
      </w:r>
      <w:r w:rsidR="00D83204" w:rsidRPr="00C516B5">
        <w:rPr>
          <w:sz w:val="26"/>
          <w:szCs w:val="26"/>
        </w:rPr>
        <w:t xml:space="preserve">)).  The ALJ noted that in </w:t>
      </w:r>
      <w:r w:rsidR="00D83204" w:rsidRPr="00C516B5">
        <w:rPr>
          <w:i/>
          <w:sz w:val="26"/>
          <w:szCs w:val="26"/>
        </w:rPr>
        <w:t>Brown</w:t>
      </w:r>
      <w:r w:rsidR="00D83204" w:rsidRPr="00C516B5">
        <w:rPr>
          <w:sz w:val="26"/>
          <w:szCs w:val="26"/>
        </w:rPr>
        <w:t xml:space="preserve">, the Commission determined that PECO did not violate Section 56.35 by transferring the complainant’s balance from prior accounts </w:t>
      </w:r>
      <w:r w:rsidR="002A0CBA">
        <w:rPr>
          <w:sz w:val="26"/>
          <w:szCs w:val="26"/>
        </w:rPr>
        <w:t>that were older than four years</w:t>
      </w:r>
      <w:r w:rsidR="007C7E3F" w:rsidRPr="00C516B5">
        <w:rPr>
          <w:sz w:val="26"/>
          <w:szCs w:val="26"/>
        </w:rPr>
        <w:t xml:space="preserve"> because PECO did not require the Complainant to pay this balance as a condition of establishing a new account for service to the Complainant.  I.D. at 25-26 (citing </w:t>
      </w:r>
      <w:r w:rsidR="007C7E3F" w:rsidRPr="00C516B5">
        <w:rPr>
          <w:i/>
          <w:sz w:val="26"/>
          <w:szCs w:val="26"/>
        </w:rPr>
        <w:t>Brown</w:t>
      </w:r>
      <w:r w:rsidR="007C7E3F" w:rsidRPr="00C516B5">
        <w:rPr>
          <w:sz w:val="26"/>
          <w:szCs w:val="26"/>
        </w:rPr>
        <w:t xml:space="preserve"> at</w:t>
      </w:r>
      <w:r w:rsidR="00B95D25">
        <w:rPr>
          <w:sz w:val="26"/>
          <w:szCs w:val="26"/>
        </w:rPr>
        <w:t> </w:t>
      </w:r>
      <w:r w:rsidR="007C7E3F" w:rsidRPr="00C516B5">
        <w:rPr>
          <w:sz w:val="26"/>
          <w:szCs w:val="26"/>
        </w:rPr>
        <w:t>7-9).</w:t>
      </w:r>
      <w:r w:rsidR="007A1222" w:rsidRPr="00C516B5">
        <w:rPr>
          <w:sz w:val="26"/>
          <w:szCs w:val="26"/>
        </w:rPr>
        <w:t xml:space="preserve">  The ALJ concluded that because PECO</w:t>
      </w:r>
      <w:r w:rsidR="00C516B5" w:rsidRPr="00C516B5">
        <w:rPr>
          <w:sz w:val="26"/>
          <w:szCs w:val="26"/>
        </w:rPr>
        <w:t xml:space="preserve"> require</w:t>
      </w:r>
      <w:r w:rsidR="00B575B6">
        <w:rPr>
          <w:sz w:val="26"/>
          <w:szCs w:val="26"/>
        </w:rPr>
        <w:t>d</w:t>
      </w:r>
      <w:r w:rsidR="007A1222" w:rsidRPr="00C516B5">
        <w:rPr>
          <w:sz w:val="26"/>
          <w:szCs w:val="26"/>
        </w:rPr>
        <w:t xml:space="preserve"> the Complainant in the instant proceeding to pay an account balance that included charges that were outside the four-year limitation period</w:t>
      </w:r>
      <w:r w:rsidR="00C516B5" w:rsidRPr="00C516B5">
        <w:rPr>
          <w:sz w:val="26"/>
          <w:szCs w:val="26"/>
        </w:rPr>
        <w:t xml:space="preserve"> as a condition of establishing new service</w:t>
      </w:r>
      <w:r w:rsidR="007A1222" w:rsidRPr="00C516B5">
        <w:rPr>
          <w:sz w:val="26"/>
          <w:szCs w:val="26"/>
        </w:rPr>
        <w:t xml:space="preserve">, </w:t>
      </w:r>
      <w:r w:rsidR="007A1222" w:rsidRPr="00C516B5">
        <w:rPr>
          <w:i/>
          <w:sz w:val="26"/>
          <w:szCs w:val="26"/>
        </w:rPr>
        <w:t>Mangel</w:t>
      </w:r>
      <w:r w:rsidR="007A1222" w:rsidRPr="00C516B5">
        <w:rPr>
          <w:sz w:val="26"/>
          <w:szCs w:val="26"/>
        </w:rPr>
        <w:t xml:space="preserve"> controls the resolution of</w:t>
      </w:r>
      <w:r w:rsidR="00674DE5" w:rsidRPr="00C516B5">
        <w:rPr>
          <w:sz w:val="26"/>
          <w:szCs w:val="26"/>
        </w:rPr>
        <w:t xml:space="preserve"> the Se</w:t>
      </w:r>
      <w:r w:rsidRPr="00C516B5">
        <w:rPr>
          <w:sz w:val="26"/>
          <w:szCs w:val="26"/>
        </w:rPr>
        <w:t>ction 56.35 issue in this</w:t>
      </w:r>
      <w:r w:rsidR="00674DE5" w:rsidRPr="00C516B5">
        <w:rPr>
          <w:sz w:val="26"/>
          <w:szCs w:val="26"/>
        </w:rPr>
        <w:t xml:space="preserve"> proceeding.  </w:t>
      </w:r>
      <w:r w:rsidR="00C516B5">
        <w:rPr>
          <w:sz w:val="26"/>
          <w:szCs w:val="26"/>
        </w:rPr>
        <w:t>I.D. at 26.</w:t>
      </w:r>
    </w:p>
    <w:p w:rsidR="00C516B5" w:rsidRPr="00C516B5" w:rsidRDefault="00C516B5" w:rsidP="00674DE5">
      <w:pPr>
        <w:widowControl/>
        <w:spacing w:line="360" w:lineRule="auto"/>
        <w:rPr>
          <w:sz w:val="26"/>
          <w:szCs w:val="26"/>
        </w:rPr>
      </w:pPr>
    </w:p>
    <w:p w:rsidR="00674DE5" w:rsidRDefault="007D4660" w:rsidP="00674DE5">
      <w:pPr>
        <w:widowControl/>
        <w:spacing w:line="360" w:lineRule="auto"/>
        <w:rPr>
          <w:sz w:val="26"/>
          <w:szCs w:val="26"/>
        </w:rPr>
      </w:pPr>
      <w:r>
        <w:rPr>
          <w:sz w:val="26"/>
          <w:szCs w:val="26"/>
        </w:rPr>
        <w:tab/>
      </w:r>
      <w:r>
        <w:rPr>
          <w:sz w:val="26"/>
          <w:szCs w:val="26"/>
        </w:rPr>
        <w:tab/>
      </w:r>
      <w:r w:rsidRPr="00FF3375">
        <w:rPr>
          <w:sz w:val="26"/>
          <w:szCs w:val="26"/>
        </w:rPr>
        <w:t xml:space="preserve">Based upon the Commission’s holding in </w:t>
      </w:r>
      <w:r w:rsidRPr="00FF3375">
        <w:rPr>
          <w:i/>
          <w:sz w:val="26"/>
          <w:szCs w:val="26"/>
        </w:rPr>
        <w:t>Mangel</w:t>
      </w:r>
      <w:r w:rsidRPr="00FF3375">
        <w:rPr>
          <w:sz w:val="26"/>
          <w:szCs w:val="26"/>
        </w:rPr>
        <w:t xml:space="preserve">, the ALJ </w:t>
      </w:r>
      <w:r w:rsidR="00730ED5" w:rsidRPr="00FF3375">
        <w:rPr>
          <w:sz w:val="26"/>
          <w:szCs w:val="26"/>
        </w:rPr>
        <w:t xml:space="preserve">found that PECO </w:t>
      </w:r>
      <w:r w:rsidRPr="00FF3375">
        <w:rPr>
          <w:sz w:val="26"/>
          <w:szCs w:val="26"/>
        </w:rPr>
        <w:t>improperly</w:t>
      </w:r>
      <w:r w:rsidR="00730ED5" w:rsidRPr="00FF3375">
        <w:rPr>
          <w:sz w:val="26"/>
          <w:szCs w:val="26"/>
        </w:rPr>
        <w:t xml:space="preserve"> conditioned the establishment of utility service to the Complainant at her Aspen Avenue address on the acceptance of a payment agreement involving </w:t>
      </w:r>
      <w:r w:rsidR="00046392" w:rsidRPr="00FF3375">
        <w:rPr>
          <w:sz w:val="26"/>
          <w:szCs w:val="26"/>
        </w:rPr>
        <w:t>a</w:t>
      </w:r>
      <w:r w:rsidR="00925819" w:rsidRPr="00FF3375">
        <w:rPr>
          <w:sz w:val="26"/>
          <w:szCs w:val="26"/>
        </w:rPr>
        <w:t xml:space="preserve"> past-</w:t>
      </w:r>
      <w:r w:rsidR="00925819" w:rsidRPr="00FF3375">
        <w:rPr>
          <w:sz w:val="26"/>
          <w:szCs w:val="26"/>
        </w:rPr>
        <w:lastRenderedPageBreak/>
        <w:t xml:space="preserve">due balance that included </w:t>
      </w:r>
      <w:r w:rsidR="005D6AC6" w:rsidRPr="00FF3375">
        <w:rPr>
          <w:sz w:val="26"/>
          <w:szCs w:val="26"/>
        </w:rPr>
        <w:t>an estimated</w:t>
      </w:r>
      <w:r w:rsidR="00730ED5" w:rsidRPr="00FF3375">
        <w:rPr>
          <w:sz w:val="26"/>
          <w:szCs w:val="26"/>
        </w:rPr>
        <w:t xml:space="preserve"> </w:t>
      </w:r>
      <w:r w:rsidR="005D6AC6" w:rsidRPr="00FF3375">
        <w:rPr>
          <w:sz w:val="26"/>
          <w:szCs w:val="26"/>
        </w:rPr>
        <w:t xml:space="preserve">$8,929.69 </w:t>
      </w:r>
      <w:r w:rsidR="00730ED5" w:rsidRPr="00FF3375">
        <w:rPr>
          <w:sz w:val="26"/>
          <w:szCs w:val="26"/>
        </w:rPr>
        <w:t xml:space="preserve">that had accrued </w:t>
      </w:r>
      <w:r w:rsidR="00674DE5" w:rsidRPr="00FF3375">
        <w:rPr>
          <w:sz w:val="26"/>
          <w:szCs w:val="26"/>
        </w:rPr>
        <w:t>between June 2003 and November 19, 2009</w:t>
      </w:r>
      <w:r w:rsidR="00925819" w:rsidRPr="00FF3375">
        <w:rPr>
          <w:sz w:val="26"/>
          <w:szCs w:val="26"/>
        </w:rPr>
        <w:t xml:space="preserve">, which </w:t>
      </w:r>
      <w:r w:rsidR="00674DE5" w:rsidRPr="00FF3375">
        <w:rPr>
          <w:sz w:val="26"/>
          <w:szCs w:val="26"/>
        </w:rPr>
        <w:t xml:space="preserve">was more than four years before </w:t>
      </w:r>
      <w:r w:rsidR="00925819" w:rsidRPr="00FF3375">
        <w:rPr>
          <w:sz w:val="26"/>
          <w:szCs w:val="26"/>
        </w:rPr>
        <w:t xml:space="preserve">the </w:t>
      </w:r>
      <w:r w:rsidR="00674DE5" w:rsidRPr="00FF3375">
        <w:rPr>
          <w:sz w:val="26"/>
          <w:szCs w:val="26"/>
        </w:rPr>
        <w:t>N</w:t>
      </w:r>
      <w:r w:rsidR="00925819" w:rsidRPr="00FF3375">
        <w:rPr>
          <w:sz w:val="26"/>
          <w:szCs w:val="26"/>
        </w:rPr>
        <w:t xml:space="preserve">ovember 20, 2013 </w:t>
      </w:r>
      <w:r w:rsidR="00674DE5" w:rsidRPr="00FF3375">
        <w:rPr>
          <w:sz w:val="26"/>
          <w:szCs w:val="26"/>
        </w:rPr>
        <w:t xml:space="preserve">date </w:t>
      </w:r>
      <w:r w:rsidR="00925819" w:rsidRPr="00FF3375">
        <w:rPr>
          <w:sz w:val="26"/>
          <w:szCs w:val="26"/>
        </w:rPr>
        <w:t xml:space="preserve">on which </w:t>
      </w:r>
      <w:r w:rsidR="00674DE5" w:rsidRPr="00FF3375">
        <w:rPr>
          <w:sz w:val="26"/>
          <w:szCs w:val="26"/>
        </w:rPr>
        <w:t>PECO began prov</w:t>
      </w:r>
      <w:r w:rsidR="00925819" w:rsidRPr="00FF3375">
        <w:rPr>
          <w:sz w:val="26"/>
          <w:szCs w:val="26"/>
        </w:rPr>
        <w:t>iding service to the Complainant</w:t>
      </w:r>
      <w:r w:rsidR="00674DE5" w:rsidRPr="00FF3375">
        <w:rPr>
          <w:sz w:val="26"/>
          <w:szCs w:val="26"/>
        </w:rPr>
        <w:t xml:space="preserve"> at</w:t>
      </w:r>
      <w:r w:rsidR="006F598C">
        <w:rPr>
          <w:sz w:val="26"/>
          <w:szCs w:val="26"/>
        </w:rPr>
        <w:t xml:space="preserve"> </w:t>
      </w:r>
      <w:r w:rsidR="00674DE5" w:rsidRPr="00FF3375">
        <w:rPr>
          <w:sz w:val="26"/>
          <w:szCs w:val="26"/>
        </w:rPr>
        <w:t>Aspen Avenue</w:t>
      </w:r>
      <w:r w:rsidR="00925819" w:rsidRPr="00FF3375">
        <w:rPr>
          <w:sz w:val="26"/>
          <w:szCs w:val="26"/>
        </w:rPr>
        <w:t>.</w:t>
      </w:r>
      <w:r w:rsidR="000E1309" w:rsidRPr="00FF3375">
        <w:rPr>
          <w:rStyle w:val="FootnoteReference"/>
          <w:sz w:val="26"/>
          <w:szCs w:val="26"/>
        </w:rPr>
        <w:footnoteReference w:id="9"/>
      </w:r>
      <w:r w:rsidR="00925819" w:rsidRPr="00FF3375">
        <w:rPr>
          <w:sz w:val="26"/>
          <w:szCs w:val="26"/>
        </w:rPr>
        <w:t xml:space="preserve">  The ALJ also found that PECO improperly added a</w:t>
      </w:r>
      <w:r w:rsidR="00674DE5" w:rsidRPr="00FF3375">
        <w:rPr>
          <w:sz w:val="26"/>
          <w:szCs w:val="26"/>
        </w:rPr>
        <w:t xml:space="preserve"> $1,477.60 late charge</w:t>
      </w:r>
      <w:r w:rsidR="00925819" w:rsidRPr="00FF3375">
        <w:rPr>
          <w:sz w:val="26"/>
          <w:szCs w:val="26"/>
        </w:rPr>
        <w:t xml:space="preserve"> to the amount transferred to the Aspen Avenue account, which </w:t>
      </w:r>
      <w:r w:rsidR="00674DE5" w:rsidRPr="00FF3375">
        <w:rPr>
          <w:sz w:val="26"/>
          <w:szCs w:val="26"/>
        </w:rPr>
        <w:t xml:space="preserve">was based upon amounts that had </w:t>
      </w:r>
      <w:r w:rsidR="00925819" w:rsidRPr="00FF3375">
        <w:rPr>
          <w:sz w:val="26"/>
          <w:szCs w:val="26"/>
        </w:rPr>
        <w:t>accrued more than four years prior to the establishment of service, in violation of</w:t>
      </w:r>
      <w:r w:rsidR="001E35F5" w:rsidRPr="00FF3375">
        <w:rPr>
          <w:sz w:val="26"/>
          <w:szCs w:val="26"/>
        </w:rPr>
        <w:t xml:space="preserve"> </w:t>
      </w:r>
      <w:r w:rsidR="00925819" w:rsidRPr="00FF3375">
        <w:rPr>
          <w:sz w:val="26"/>
          <w:szCs w:val="26"/>
        </w:rPr>
        <w:t>52 Pa. Code § 56.35</w:t>
      </w:r>
      <w:r w:rsidR="00674DE5" w:rsidRPr="00FF3375">
        <w:rPr>
          <w:sz w:val="26"/>
          <w:szCs w:val="26"/>
        </w:rPr>
        <w:t>.</w:t>
      </w:r>
      <w:r w:rsidR="00FF3375">
        <w:rPr>
          <w:rStyle w:val="FootnoteReference"/>
          <w:sz w:val="26"/>
          <w:szCs w:val="26"/>
        </w:rPr>
        <w:footnoteReference w:id="10"/>
      </w:r>
      <w:r w:rsidR="00925819" w:rsidRPr="00FF3375">
        <w:rPr>
          <w:sz w:val="26"/>
          <w:szCs w:val="26"/>
        </w:rPr>
        <w:t xml:space="preserve">  </w:t>
      </w:r>
      <w:r w:rsidR="00F32616" w:rsidRPr="00FF3375">
        <w:rPr>
          <w:sz w:val="26"/>
          <w:szCs w:val="26"/>
        </w:rPr>
        <w:t>I.D. at 26-27.  The ALJ determined that b</w:t>
      </w:r>
      <w:r w:rsidR="004262F1" w:rsidRPr="00FF3375">
        <w:rPr>
          <w:sz w:val="26"/>
          <w:szCs w:val="26"/>
        </w:rPr>
        <w:t>ecause the precise amount of the past-due balance that PECO had wrongly transferred could not be determined fr</w:t>
      </w:r>
      <w:r w:rsidR="00F32616" w:rsidRPr="00FF3375">
        <w:rPr>
          <w:sz w:val="26"/>
          <w:szCs w:val="26"/>
        </w:rPr>
        <w:t>om the record, PECO must</w:t>
      </w:r>
      <w:r w:rsidR="004262F1" w:rsidRPr="00FF3375">
        <w:rPr>
          <w:sz w:val="26"/>
          <w:szCs w:val="26"/>
        </w:rPr>
        <w:t xml:space="preserve"> recalculate the Complainant’s balance minus any charges </w:t>
      </w:r>
      <w:r w:rsidR="00674DE5" w:rsidRPr="00FF3375">
        <w:rPr>
          <w:sz w:val="26"/>
          <w:szCs w:val="26"/>
        </w:rPr>
        <w:t>predating November 20, 2009.</w:t>
      </w:r>
      <w:r w:rsidR="00F32616" w:rsidRPr="00FF3375">
        <w:rPr>
          <w:sz w:val="26"/>
          <w:szCs w:val="26"/>
        </w:rPr>
        <w:t xml:space="preserve">  </w:t>
      </w:r>
      <w:r w:rsidR="00F32616" w:rsidRPr="00FF3375">
        <w:rPr>
          <w:i/>
          <w:sz w:val="26"/>
          <w:szCs w:val="26"/>
        </w:rPr>
        <w:t>Id</w:t>
      </w:r>
      <w:r w:rsidR="00F32616" w:rsidRPr="00FF3375">
        <w:rPr>
          <w:sz w:val="26"/>
          <w:szCs w:val="26"/>
        </w:rPr>
        <w:t>. at 27.</w:t>
      </w:r>
      <w:r w:rsidR="00EE2D5B">
        <w:rPr>
          <w:sz w:val="26"/>
          <w:szCs w:val="26"/>
        </w:rPr>
        <w:t xml:space="preserve"> </w:t>
      </w:r>
    </w:p>
    <w:p w:rsidR="00FF2B9A" w:rsidRDefault="00FF2B9A" w:rsidP="00674DE5">
      <w:pPr>
        <w:widowControl/>
        <w:spacing w:line="360" w:lineRule="auto"/>
        <w:rPr>
          <w:sz w:val="26"/>
          <w:szCs w:val="26"/>
        </w:rPr>
      </w:pPr>
    </w:p>
    <w:p w:rsidR="0081527D" w:rsidRPr="0081527D" w:rsidRDefault="0081527D" w:rsidP="0090300F">
      <w:pPr>
        <w:keepNext/>
        <w:widowControl/>
        <w:spacing w:line="360" w:lineRule="auto"/>
        <w:rPr>
          <w:b/>
          <w:sz w:val="26"/>
          <w:szCs w:val="26"/>
        </w:rPr>
      </w:pPr>
      <w:r>
        <w:rPr>
          <w:sz w:val="26"/>
          <w:szCs w:val="26"/>
        </w:rPr>
        <w:tab/>
      </w:r>
      <w:r>
        <w:rPr>
          <w:sz w:val="26"/>
          <w:szCs w:val="26"/>
        </w:rPr>
        <w:tab/>
      </w:r>
      <w:r w:rsidRPr="0081527D">
        <w:rPr>
          <w:b/>
          <w:sz w:val="26"/>
          <w:szCs w:val="26"/>
        </w:rPr>
        <w:t>b.</w:t>
      </w:r>
      <w:r w:rsidRPr="0081527D">
        <w:rPr>
          <w:b/>
          <w:sz w:val="26"/>
          <w:szCs w:val="26"/>
        </w:rPr>
        <w:tab/>
        <w:t>PECO’s Exceptions</w:t>
      </w:r>
    </w:p>
    <w:p w:rsidR="0081527D" w:rsidRDefault="0081527D" w:rsidP="0090300F">
      <w:pPr>
        <w:keepNext/>
        <w:widowControl/>
        <w:spacing w:line="360" w:lineRule="auto"/>
        <w:rPr>
          <w:sz w:val="26"/>
          <w:szCs w:val="26"/>
        </w:rPr>
      </w:pPr>
    </w:p>
    <w:p w:rsidR="0081527D" w:rsidRDefault="0081527D" w:rsidP="00F63C3F">
      <w:pPr>
        <w:widowControl/>
        <w:spacing w:line="360" w:lineRule="auto"/>
        <w:rPr>
          <w:sz w:val="26"/>
          <w:szCs w:val="26"/>
        </w:rPr>
      </w:pPr>
      <w:r>
        <w:rPr>
          <w:sz w:val="26"/>
          <w:szCs w:val="26"/>
        </w:rPr>
        <w:tab/>
      </w:r>
      <w:r>
        <w:rPr>
          <w:sz w:val="26"/>
          <w:szCs w:val="26"/>
        </w:rPr>
        <w:tab/>
      </w:r>
      <w:r w:rsidRPr="00394793">
        <w:rPr>
          <w:sz w:val="26"/>
          <w:szCs w:val="26"/>
        </w:rPr>
        <w:t xml:space="preserve">PECO </w:t>
      </w:r>
      <w:r>
        <w:rPr>
          <w:sz w:val="26"/>
          <w:szCs w:val="26"/>
        </w:rPr>
        <w:t>excepts to the ALJ’s finding that the Company violated 52 Pa. Code §</w:t>
      </w:r>
      <w:r w:rsidR="00B95D25">
        <w:rPr>
          <w:sz w:val="26"/>
          <w:szCs w:val="26"/>
        </w:rPr>
        <w:t> </w:t>
      </w:r>
      <w:r>
        <w:rPr>
          <w:sz w:val="26"/>
          <w:szCs w:val="26"/>
        </w:rPr>
        <w:t>56.35 and 66 Pa. C.S. §</w:t>
      </w:r>
      <w:r w:rsidR="00B95D25">
        <w:rPr>
          <w:sz w:val="26"/>
          <w:szCs w:val="26"/>
        </w:rPr>
        <w:t> </w:t>
      </w:r>
      <w:r>
        <w:rPr>
          <w:sz w:val="26"/>
          <w:szCs w:val="26"/>
        </w:rPr>
        <w:t>1501 by holding the Complainant responsible for charges that accumulated more than four</w:t>
      </w:r>
      <w:r w:rsidR="007A1B93">
        <w:rPr>
          <w:sz w:val="26"/>
          <w:szCs w:val="26"/>
        </w:rPr>
        <w:t xml:space="preserve"> </w:t>
      </w:r>
      <w:r>
        <w:rPr>
          <w:sz w:val="26"/>
          <w:szCs w:val="26"/>
        </w:rPr>
        <w:t>years prior to her request for ser</w:t>
      </w:r>
      <w:r w:rsidR="007F37F2">
        <w:rPr>
          <w:sz w:val="26"/>
          <w:szCs w:val="26"/>
        </w:rPr>
        <w:t>vice at Aspen Avenue</w:t>
      </w:r>
      <w:r>
        <w:rPr>
          <w:sz w:val="26"/>
          <w:szCs w:val="26"/>
        </w:rPr>
        <w:t>.  PECO disagrees with the ALJ’s determination that a customer’s account balance accrues on the date or month in which service was originally billed, and no later.  PECO argues that as long as a final balance from a prior address is transferred to a new address within four years, the requirements of 52</w:t>
      </w:r>
      <w:r w:rsidR="00CA092B">
        <w:rPr>
          <w:sz w:val="26"/>
          <w:szCs w:val="26"/>
        </w:rPr>
        <w:t xml:space="preserve"> Pa. Code § 56.35 are satisfied, regardless of when the </w:t>
      </w:r>
      <w:r w:rsidR="00CA092B">
        <w:rPr>
          <w:sz w:val="26"/>
          <w:szCs w:val="26"/>
        </w:rPr>
        <w:lastRenderedPageBreak/>
        <w:t>amounts comprising that balance were originally billed.</w:t>
      </w:r>
      <w:r>
        <w:rPr>
          <w:sz w:val="26"/>
          <w:szCs w:val="26"/>
        </w:rPr>
        <w:t xml:space="preserve">  </w:t>
      </w:r>
      <w:r w:rsidR="00EC589B">
        <w:rPr>
          <w:sz w:val="26"/>
          <w:szCs w:val="26"/>
        </w:rPr>
        <w:t xml:space="preserve">Exc. at 10.  </w:t>
      </w:r>
      <w:r>
        <w:rPr>
          <w:sz w:val="26"/>
          <w:szCs w:val="26"/>
        </w:rPr>
        <w:t>PECO further explains its position as follows:</w:t>
      </w:r>
    </w:p>
    <w:p w:rsidR="0081527D" w:rsidRDefault="0081527D" w:rsidP="00F63C3F">
      <w:pPr>
        <w:widowControl/>
        <w:spacing w:line="360" w:lineRule="auto"/>
        <w:rPr>
          <w:sz w:val="26"/>
          <w:szCs w:val="26"/>
        </w:rPr>
      </w:pPr>
    </w:p>
    <w:p w:rsidR="0081527D" w:rsidRDefault="0081527D" w:rsidP="0081527D">
      <w:pPr>
        <w:keepNext/>
        <w:widowControl/>
        <w:ind w:left="1440" w:right="1440"/>
        <w:rPr>
          <w:sz w:val="26"/>
          <w:szCs w:val="26"/>
        </w:rPr>
      </w:pPr>
      <w:r>
        <w:rPr>
          <w:sz w:val="26"/>
          <w:szCs w:val="26"/>
        </w:rPr>
        <w:t>In PECO’s view, when Ms. Trivelpiece accepted liability for account balances accrued at Address 1 as a condition of continuing to receive service at Address 1, or as a condition of receiving service at Address 2, those balances “</w:t>
      </w:r>
      <w:r w:rsidR="007378A1">
        <w:rPr>
          <w:sz w:val="26"/>
          <w:szCs w:val="26"/>
        </w:rPr>
        <w:t>accrued” on the new account as o</w:t>
      </w:r>
      <w:r>
        <w:rPr>
          <w:sz w:val="26"/>
          <w:szCs w:val="26"/>
        </w:rPr>
        <w:t>f the date of the payment agreement.  Further, for each month that Ms. Trivelpiece took service in reliance upon a payment agreement, the entire outstanding balance of the payment agreement account accrued to that account in each such month because service in that month was dependent upon Ms. Trivelpiece keeping the terms of the payment agreement, including her continued acceptance of her obligation to pay the full amount covered by the payment agreement.</w:t>
      </w:r>
    </w:p>
    <w:p w:rsidR="0081527D" w:rsidRDefault="0081527D" w:rsidP="0081527D">
      <w:pPr>
        <w:keepNext/>
        <w:widowControl/>
        <w:ind w:left="1440" w:right="1440"/>
        <w:rPr>
          <w:sz w:val="26"/>
          <w:szCs w:val="26"/>
        </w:rPr>
      </w:pPr>
    </w:p>
    <w:p w:rsidR="00E82CDE" w:rsidRDefault="00E82CDE" w:rsidP="0081527D">
      <w:pPr>
        <w:keepNext/>
        <w:widowControl/>
        <w:ind w:left="1440" w:right="1440"/>
        <w:rPr>
          <w:sz w:val="26"/>
          <w:szCs w:val="26"/>
        </w:rPr>
      </w:pPr>
    </w:p>
    <w:p w:rsidR="0081527D" w:rsidRDefault="00EC589B" w:rsidP="0081527D">
      <w:pPr>
        <w:keepNext/>
        <w:widowControl/>
        <w:spacing w:line="360" w:lineRule="auto"/>
        <w:rPr>
          <w:sz w:val="26"/>
          <w:szCs w:val="26"/>
        </w:rPr>
      </w:pPr>
      <w:r w:rsidRPr="00EC589B">
        <w:rPr>
          <w:i/>
          <w:sz w:val="26"/>
          <w:szCs w:val="26"/>
        </w:rPr>
        <w:t>Id</w:t>
      </w:r>
      <w:r w:rsidR="0081527D">
        <w:rPr>
          <w:sz w:val="26"/>
          <w:szCs w:val="26"/>
        </w:rPr>
        <w:t xml:space="preserve">.  </w:t>
      </w:r>
    </w:p>
    <w:p w:rsidR="0081527D" w:rsidRDefault="0081527D" w:rsidP="00F63C3F">
      <w:pPr>
        <w:widowControl/>
        <w:spacing w:line="360" w:lineRule="auto"/>
        <w:rPr>
          <w:sz w:val="26"/>
          <w:szCs w:val="26"/>
        </w:rPr>
      </w:pPr>
    </w:p>
    <w:p w:rsidR="0081527D" w:rsidRDefault="0081527D" w:rsidP="0081527D">
      <w:pPr>
        <w:keepNext/>
        <w:widowControl/>
        <w:spacing w:line="360" w:lineRule="auto"/>
        <w:rPr>
          <w:sz w:val="26"/>
          <w:szCs w:val="26"/>
        </w:rPr>
      </w:pPr>
      <w:r>
        <w:rPr>
          <w:sz w:val="26"/>
          <w:szCs w:val="26"/>
        </w:rPr>
        <w:tab/>
      </w:r>
      <w:r>
        <w:rPr>
          <w:sz w:val="26"/>
          <w:szCs w:val="26"/>
        </w:rPr>
        <w:tab/>
        <w:t xml:space="preserve">In support of its position, PECO points to the Commission’s decision in </w:t>
      </w:r>
      <w:r w:rsidRPr="000D362B">
        <w:rPr>
          <w:i/>
          <w:sz w:val="26"/>
          <w:szCs w:val="26"/>
        </w:rPr>
        <w:t>Daniel Vermeychuk v. PECO Energy Company</w:t>
      </w:r>
      <w:r>
        <w:rPr>
          <w:sz w:val="26"/>
          <w:szCs w:val="26"/>
        </w:rPr>
        <w:t>, Docket No. C-2013-2388323 (Order entered November 5, 2013) (</w:t>
      </w:r>
      <w:r w:rsidRPr="000D362B">
        <w:rPr>
          <w:i/>
          <w:sz w:val="26"/>
          <w:szCs w:val="26"/>
        </w:rPr>
        <w:t>Vermeychuk</w:t>
      </w:r>
      <w:r>
        <w:rPr>
          <w:sz w:val="26"/>
          <w:szCs w:val="26"/>
        </w:rPr>
        <w:t xml:space="preserve">).  PECO asserts that in </w:t>
      </w:r>
      <w:r w:rsidRPr="00A82AC6">
        <w:rPr>
          <w:i/>
          <w:sz w:val="26"/>
          <w:szCs w:val="26"/>
        </w:rPr>
        <w:t>Vermeychuk</w:t>
      </w:r>
      <w:r>
        <w:rPr>
          <w:sz w:val="26"/>
          <w:szCs w:val="26"/>
        </w:rPr>
        <w:t xml:space="preserve">, as in the instant proceeding, PECO transferred balances that had accumulated over many years at many addresses to the complainant’s current account, and that a significant portion of </w:t>
      </w:r>
      <w:r>
        <w:rPr>
          <w:sz w:val="26"/>
          <w:szCs w:val="26"/>
        </w:rPr>
        <w:lastRenderedPageBreak/>
        <w:t>those balances accumulated more than four years prior to the transfer.</w:t>
      </w:r>
      <w:r w:rsidR="002E7741">
        <w:rPr>
          <w:rStyle w:val="FootnoteReference"/>
          <w:sz w:val="26"/>
          <w:szCs w:val="26"/>
        </w:rPr>
        <w:footnoteReference w:id="11"/>
      </w:r>
      <w:r>
        <w:rPr>
          <w:sz w:val="26"/>
          <w:szCs w:val="26"/>
        </w:rPr>
        <w:t xml:space="preserve">  PECO notes that the Commission held that the complainant in </w:t>
      </w:r>
      <w:r w:rsidRPr="000D362B">
        <w:rPr>
          <w:i/>
          <w:sz w:val="26"/>
          <w:szCs w:val="26"/>
        </w:rPr>
        <w:t>Vermeychuk</w:t>
      </w:r>
      <w:r>
        <w:rPr>
          <w:sz w:val="26"/>
          <w:szCs w:val="26"/>
        </w:rPr>
        <w:t xml:space="preserve"> was responsible for</w:t>
      </w:r>
      <w:r w:rsidR="00E3657A">
        <w:rPr>
          <w:sz w:val="26"/>
          <w:szCs w:val="26"/>
        </w:rPr>
        <w:t xml:space="preserve"> the older transferred balances.</w:t>
      </w:r>
      <w:r w:rsidR="00E3657A">
        <w:rPr>
          <w:rStyle w:val="FootnoteReference"/>
          <w:sz w:val="26"/>
          <w:szCs w:val="26"/>
        </w:rPr>
        <w:footnoteReference w:id="12"/>
      </w:r>
      <w:r w:rsidR="00AB5CFB">
        <w:rPr>
          <w:sz w:val="26"/>
          <w:szCs w:val="26"/>
        </w:rPr>
        <w:t xml:space="preserve">  PECO argues that when that holding is applied to the Complainant’s situation in the instant proceeding, it is clear that the Complainant sh</w:t>
      </w:r>
      <w:r w:rsidR="00EE47A9">
        <w:rPr>
          <w:sz w:val="26"/>
          <w:szCs w:val="26"/>
        </w:rPr>
        <w:t>ould be held responsible for her</w:t>
      </w:r>
      <w:r w:rsidR="00AB5CFB">
        <w:rPr>
          <w:sz w:val="26"/>
          <w:szCs w:val="26"/>
        </w:rPr>
        <w:t xml:space="preserve"> cumulative transferred balances.</w:t>
      </w:r>
      <w:r>
        <w:rPr>
          <w:rStyle w:val="FootnoteReference"/>
          <w:sz w:val="26"/>
          <w:szCs w:val="26"/>
        </w:rPr>
        <w:footnoteReference w:id="13"/>
      </w:r>
      <w:r>
        <w:rPr>
          <w:sz w:val="26"/>
          <w:szCs w:val="26"/>
        </w:rPr>
        <w:t xml:space="preserve">  Exc. at 2, 11-12.</w:t>
      </w:r>
    </w:p>
    <w:p w:rsidR="0081527D" w:rsidRDefault="0081527D" w:rsidP="007A1B93">
      <w:pPr>
        <w:widowControl/>
        <w:spacing w:line="360" w:lineRule="auto"/>
        <w:rPr>
          <w:sz w:val="26"/>
          <w:szCs w:val="26"/>
        </w:rPr>
      </w:pPr>
    </w:p>
    <w:p w:rsidR="0081527D" w:rsidRDefault="0081527D" w:rsidP="007A1B93">
      <w:pPr>
        <w:widowControl/>
        <w:spacing w:line="360" w:lineRule="auto"/>
        <w:rPr>
          <w:sz w:val="26"/>
          <w:szCs w:val="26"/>
        </w:rPr>
      </w:pPr>
      <w:r>
        <w:rPr>
          <w:sz w:val="26"/>
          <w:szCs w:val="26"/>
        </w:rPr>
        <w:tab/>
      </w:r>
      <w:r>
        <w:rPr>
          <w:sz w:val="26"/>
          <w:szCs w:val="26"/>
        </w:rPr>
        <w:tab/>
        <w:t xml:space="preserve">PECO contends that the Commission should not rely on </w:t>
      </w:r>
      <w:r w:rsidRPr="004D5A25">
        <w:rPr>
          <w:i/>
          <w:sz w:val="26"/>
          <w:szCs w:val="26"/>
        </w:rPr>
        <w:t>Mangel</w:t>
      </w:r>
      <w:r>
        <w:rPr>
          <w:sz w:val="26"/>
          <w:szCs w:val="26"/>
        </w:rPr>
        <w:t xml:space="preserve">, as the ALJ did, in deciding this issue.  PECO asserts that all of the events in </w:t>
      </w:r>
      <w:r w:rsidRPr="00236806">
        <w:rPr>
          <w:i/>
          <w:sz w:val="26"/>
          <w:szCs w:val="26"/>
        </w:rPr>
        <w:t>Mangel</w:t>
      </w:r>
      <w:r>
        <w:rPr>
          <w:sz w:val="26"/>
          <w:szCs w:val="26"/>
        </w:rPr>
        <w:t xml:space="preserve"> occurred prior to the 2004 passage of the </w:t>
      </w:r>
      <w:r w:rsidR="00176D82">
        <w:rPr>
          <w:sz w:val="26"/>
          <w:szCs w:val="26"/>
        </w:rPr>
        <w:t xml:space="preserve">Responsible Utility </w:t>
      </w:r>
      <w:r>
        <w:rPr>
          <w:sz w:val="26"/>
          <w:szCs w:val="26"/>
        </w:rPr>
        <w:t>Customer Protection Act, 66 Pa. C.S. § 1</w:t>
      </w:r>
      <w:r w:rsidR="00C809B9">
        <w:rPr>
          <w:sz w:val="26"/>
          <w:szCs w:val="26"/>
        </w:rPr>
        <w:t>4</w:t>
      </w:r>
      <w:r>
        <w:rPr>
          <w:sz w:val="26"/>
          <w:szCs w:val="26"/>
        </w:rPr>
        <w:t>01</w:t>
      </w:r>
      <w:r w:rsidR="00C809B9">
        <w:rPr>
          <w:sz w:val="26"/>
          <w:szCs w:val="26"/>
        </w:rPr>
        <w:t>,</w:t>
      </w:r>
      <w:r>
        <w:rPr>
          <w:sz w:val="26"/>
          <w:szCs w:val="26"/>
        </w:rPr>
        <w:t xml:space="preserve"> </w:t>
      </w:r>
      <w:r w:rsidRPr="000578F7">
        <w:rPr>
          <w:i/>
          <w:sz w:val="26"/>
          <w:szCs w:val="26"/>
        </w:rPr>
        <w:t>et seq</w:t>
      </w:r>
      <w:r>
        <w:rPr>
          <w:sz w:val="26"/>
          <w:szCs w:val="26"/>
        </w:rPr>
        <w:t xml:space="preserve">. (Chapter 14).  PECO avers that at the time of </w:t>
      </w:r>
      <w:r w:rsidRPr="00193867">
        <w:rPr>
          <w:i/>
          <w:sz w:val="26"/>
          <w:szCs w:val="26"/>
        </w:rPr>
        <w:t>Mangel</w:t>
      </w:r>
      <w:r>
        <w:rPr>
          <w:sz w:val="26"/>
          <w:szCs w:val="26"/>
        </w:rPr>
        <w:t>, 52 Pa. Code §</w:t>
      </w:r>
      <w:r w:rsidR="007A1B93">
        <w:rPr>
          <w:sz w:val="26"/>
          <w:szCs w:val="26"/>
        </w:rPr>
        <w:t> </w:t>
      </w:r>
      <w:r>
        <w:rPr>
          <w:sz w:val="26"/>
          <w:szCs w:val="26"/>
        </w:rPr>
        <w:t xml:space="preserve">56.35 contained language allowing the Commission to adjust a customer’s outstanding </w:t>
      </w:r>
      <w:r>
        <w:rPr>
          <w:sz w:val="26"/>
          <w:szCs w:val="26"/>
        </w:rPr>
        <w:lastRenderedPageBreak/>
        <w:t xml:space="preserve">arrearage if it determined that the customer did not have the ability to pay.  According to PECO, the Commission used this provision to remove the account balance in question from the customer’s arrearage in </w:t>
      </w:r>
      <w:r w:rsidRPr="00F701EF">
        <w:rPr>
          <w:i/>
          <w:sz w:val="26"/>
          <w:szCs w:val="26"/>
        </w:rPr>
        <w:t>Mangel</w:t>
      </w:r>
      <w:r>
        <w:rPr>
          <w:sz w:val="26"/>
          <w:szCs w:val="26"/>
        </w:rPr>
        <w:t xml:space="preserve">.  Exc. at 12-13.  However, PECO argues that Commission Regulations no longer contain the language relied upon in </w:t>
      </w:r>
      <w:r w:rsidRPr="002C30C7">
        <w:rPr>
          <w:i/>
          <w:sz w:val="26"/>
          <w:szCs w:val="26"/>
        </w:rPr>
        <w:t>Mangel</w:t>
      </w:r>
      <w:r>
        <w:rPr>
          <w:sz w:val="26"/>
          <w:szCs w:val="26"/>
        </w:rPr>
        <w:t>, and thus, that case “should not be understood as providing positive guidance on how the Commission should approach transfer balances in 2015, under a Chapter 14 regime.”  Exc. at 13-14.</w:t>
      </w:r>
    </w:p>
    <w:p w:rsidR="0081527D" w:rsidRDefault="0081527D" w:rsidP="00F63C3F">
      <w:pPr>
        <w:widowControl/>
        <w:spacing w:line="360" w:lineRule="auto"/>
        <w:rPr>
          <w:sz w:val="26"/>
          <w:szCs w:val="26"/>
        </w:rPr>
      </w:pPr>
    </w:p>
    <w:p w:rsidR="0081527D" w:rsidRDefault="0081527D" w:rsidP="00F63C3F">
      <w:pPr>
        <w:widowControl/>
        <w:spacing w:line="360" w:lineRule="auto"/>
        <w:rPr>
          <w:sz w:val="26"/>
          <w:szCs w:val="26"/>
        </w:rPr>
      </w:pPr>
      <w:r>
        <w:rPr>
          <w:sz w:val="26"/>
          <w:szCs w:val="26"/>
        </w:rPr>
        <w:tab/>
      </w:r>
      <w:r>
        <w:rPr>
          <w:sz w:val="26"/>
          <w:szCs w:val="26"/>
        </w:rPr>
        <w:tab/>
        <w:t>Finally, PECO contends that the approach toward the treatment of transfer balances suggested in the Initial Decision would be bad policy.  According to PECO:</w:t>
      </w:r>
    </w:p>
    <w:p w:rsidR="0081527D" w:rsidRDefault="0081527D" w:rsidP="00F63C3F">
      <w:pPr>
        <w:widowControl/>
        <w:spacing w:line="360" w:lineRule="auto"/>
        <w:rPr>
          <w:sz w:val="26"/>
          <w:szCs w:val="26"/>
        </w:rPr>
      </w:pPr>
    </w:p>
    <w:p w:rsidR="0081527D" w:rsidRDefault="0081527D" w:rsidP="0081527D">
      <w:pPr>
        <w:keepNext/>
        <w:widowControl/>
        <w:ind w:left="1440" w:right="1440"/>
        <w:rPr>
          <w:sz w:val="26"/>
          <w:szCs w:val="26"/>
        </w:rPr>
      </w:pPr>
      <w:r>
        <w:rPr>
          <w:sz w:val="26"/>
          <w:szCs w:val="26"/>
        </w:rPr>
        <w:t xml:space="preserve">[T]he I.D. would allow Ms. Trivelpiece to escape payment of approximately $12,000 in utility charges for service that she used, for which she previously agreed she had liability, for which the period for her to challenge her responsibility for the charges has statutorily expired, and which were transferred to her account within four years of her last service (and, indeed, within </w:t>
      </w:r>
      <w:r w:rsidR="007B0AE7">
        <w:rPr>
          <w:sz w:val="26"/>
          <w:szCs w:val="26"/>
        </w:rPr>
        <w:t>f</w:t>
      </w:r>
      <w:r>
        <w:rPr>
          <w:sz w:val="26"/>
          <w:szCs w:val="26"/>
        </w:rPr>
        <w:t>our years of her last payment agreement).  She would receive this largesse simply because, for a period of years, she moved to an address where she was not the customer of record.  And the charges for that service would be passed on to PECO’s other customers as part of its uncollectible expense.</w:t>
      </w:r>
    </w:p>
    <w:p w:rsidR="0081527D" w:rsidRDefault="0081527D" w:rsidP="0081527D">
      <w:pPr>
        <w:keepNext/>
        <w:widowControl/>
        <w:ind w:left="1440" w:right="1440"/>
        <w:rPr>
          <w:sz w:val="26"/>
          <w:szCs w:val="26"/>
        </w:rPr>
      </w:pPr>
    </w:p>
    <w:p w:rsidR="0081527D" w:rsidRDefault="0081527D" w:rsidP="0081527D">
      <w:pPr>
        <w:keepNext/>
        <w:widowControl/>
        <w:ind w:left="1440" w:right="1440"/>
        <w:rPr>
          <w:sz w:val="26"/>
          <w:szCs w:val="26"/>
        </w:rPr>
      </w:pPr>
    </w:p>
    <w:p w:rsidR="0081527D" w:rsidRDefault="0081527D" w:rsidP="0081527D">
      <w:pPr>
        <w:keepNext/>
        <w:widowControl/>
        <w:rPr>
          <w:sz w:val="26"/>
          <w:szCs w:val="26"/>
        </w:rPr>
      </w:pPr>
      <w:r>
        <w:rPr>
          <w:sz w:val="26"/>
          <w:szCs w:val="26"/>
        </w:rPr>
        <w:t>Exc. at 14.</w:t>
      </w:r>
    </w:p>
    <w:p w:rsidR="0081527D" w:rsidRDefault="0081527D" w:rsidP="0081527D">
      <w:pPr>
        <w:widowControl/>
        <w:spacing w:line="360" w:lineRule="auto"/>
        <w:rPr>
          <w:sz w:val="26"/>
          <w:szCs w:val="26"/>
        </w:rPr>
      </w:pPr>
    </w:p>
    <w:p w:rsidR="0081527D" w:rsidRPr="00B42B90" w:rsidRDefault="0081527D" w:rsidP="0081527D">
      <w:pPr>
        <w:keepNext/>
        <w:widowControl/>
        <w:spacing w:line="360" w:lineRule="auto"/>
        <w:rPr>
          <w:b/>
          <w:sz w:val="26"/>
          <w:szCs w:val="26"/>
        </w:rPr>
      </w:pPr>
      <w:r w:rsidRPr="00317695">
        <w:rPr>
          <w:sz w:val="26"/>
          <w:szCs w:val="26"/>
        </w:rPr>
        <w:tab/>
      </w:r>
      <w:r w:rsidRPr="00317695">
        <w:rPr>
          <w:sz w:val="26"/>
          <w:szCs w:val="26"/>
        </w:rPr>
        <w:tab/>
      </w:r>
      <w:r>
        <w:rPr>
          <w:b/>
          <w:sz w:val="26"/>
          <w:szCs w:val="26"/>
        </w:rPr>
        <w:t>c</w:t>
      </w:r>
      <w:r w:rsidRPr="00B42B90">
        <w:rPr>
          <w:b/>
          <w:sz w:val="26"/>
          <w:szCs w:val="26"/>
        </w:rPr>
        <w:t>.</w:t>
      </w:r>
      <w:r w:rsidRPr="00B42B90">
        <w:rPr>
          <w:b/>
          <w:sz w:val="26"/>
          <w:szCs w:val="26"/>
        </w:rPr>
        <w:tab/>
        <w:t>Complainant’s Replies to PECO’s Exceptions</w:t>
      </w:r>
    </w:p>
    <w:p w:rsidR="0081527D" w:rsidRDefault="0081527D" w:rsidP="0081527D">
      <w:pPr>
        <w:keepNext/>
        <w:widowControl/>
        <w:spacing w:line="360" w:lineRule="auto"/>
        <w:rPr>
          <w:sz w:val="26"/>
          <w:szCs w:val="26"/>
        </w:rPr>
      </w:pPr>
    </w:p>
    <w:p w:rsidR="00526326" w:rsidRDefault="0081527D" w:rsidP="0081527D">
      <w:pPr>
        <w:widowControl/>
        <w:spacing w:line="360" w:lineRule="auto"/>
        <w:rPr>
          <w:sz w:val="26"/>
          <w:szCs w:val="26"/>
        </w:rPr>
      </w:pPr>
      <w:r>
        <w:rPr>
          <w:sz w:val="26"/>
          <w:szCs w:val="26"/>
        </w:rPr>
        <w:tab/>
      </w:r>
      <w:r>
        <w:rPr>
          <w:sz w:val="26"/>
          <w:szCs w:val="26"/>
        </w:rPr>
        <w:tab/>
      </w:r>
      <w:r w:rsidRPr="0034196F">
        <w:rPr>
          <w:sz w:val="26"/>
          <w:szCs w:val="26"/>
        </w:rPr>
        <w:t>In her Replies to</w:t>
      </w:r>
      <w:r>
        <w:rPr>
          <w:sz w:val="26"/>
          <w:szCs w:val="26"/>
        </w:rPr>
        <w:t xml:space="preserve"> PECO’s Exceptions</w:t>
      </w:r>
      <w:r w:rsidRPr="0034196F">
        <w:rPr>
          <w:sz w:val="26"/>
          <w:szCs w:val="26"/>
        </w:rPr>
        <w:t>, the Complainant</w:t>
      </w:r>
      <w:r>
        <w:rPr>
          <w:sz w:val="26"/>
          <w:szCs w:val="26"/>
        </w:rPr>
        <w:t xml:space="preserve"> argues that when she entered into payment agreements as a requirement for receiving new service from PECO, she did not know that she was affirming old debt or waiving her right to contest past charges.  The Complainant contends that PECO had the “upper hand” in those agreements since she needed electric service.  R. Exc. at 1-2.  According to the </w:t>
      </w:r>
      <w:r>
        <w:rPr>
          <w:sz w:val="26"/>
          <w:szCs w:val="26"/>
        </w:rPr>
        <w:lastRenderedPageBreak/>
        <w:t xml:space="preserve">Complainant, “[i]n entering into such contract of adhesion, without any intelligent waiver, PECO violates the Unfair Trade Practices and Consumer Protection Law.”  </w:t>
      </w:r>
      <w:r w:rsidRPr="001014BC">
        <w:rPr>
          <w:i/>
          <w:sz w:val="26"/>
          <w:szCs w:val="26"/>
        </w:rPr>
        <w:t>Id</w:t>
      </w:r>
      <w:r>
        <w:rPr>
          <w:sz w:val="26"/>
          <w:szCs w:val="26"/>
        </w:rPr>
        <w:t>. at</w:t>
      </w:r>
      <w:r w:rsidR="00F63C3F">
        <w:rPr>
          <w:sz w:val="26"/>
          <w:szCs w:val="26"/>
        </w:rPr>
        <w:t> </w:t>
      </w:r>
      <w:r>
        <w:rPr>
          <w:sz w:val="26"/>
          <w:szCs w:val="26"/>
        </w:rPr>
        <w:t>2 (cit</w:t>
      </w:r>
      <w:r w:rsidR="00526326">
        <w:rPr>
          <w:sz w:val="26"/>
          <w:szCs w:val="26"/>
        </w:rPr>
        <w:t>ing 73 P.S. § 201-2 (4)(xxi)).</w:t>
      </w:r>
    </w:p>
    <w:p w:rsidR="00526326" w:rsidRDefault="00526326" w:rsidP="0081527D">
      <w:pPr>
        <w:widowControl/>
        <w:spacing w:line="360" w:lineRule="auto"/>
        <w:rPr>
          <w:sz w:val="26"/>
          <w:szCs w:val="26"/>
        </w:rPr>
      </w:pPr>
    </w:p>
    <w:p w:rsidR="0081527D" w:rsidRPr="0034196F" w:rsidRDefault="00526326" w:rsidP="0081527D">
      <w:pPr>
        <w:widowControl/>
        <w:spacing w:line="360" w:lineRule="auto"/>
        <w:rPr>
          <w:sz w:val="26"/>
          <w:szCs w:val="26"/>
        </w:rPr>
      </w:pPr>
      <w:r>
        <w:rPr>
          <w:sz w:val="26"/>
          <w:szCs w:val="26"/>
        </w:rPr>
        <w:tab/>
      </w:r>
      <w:r>
        <w:rPr>
          <w:sz w:val="26"/>
          <w:szCs w:val="26"/>
        </w:rPr>
        <w:tab/>
      </w:r>
      <w:r w:rsidR="0081527D">
        <w:rPr>
          <w:sz w:val="26"/>
          <w:szCs w:val="26"/>
        </w:rPr>
        <w:t>The Complainant asserts that “she was never given any information as to what any past bills were and in fact, when she finally was given a past bill, she raised the issue in her complaint, that in one instance she was charged when she clearly lived at a different residence.”  R. Exc. at 2.  The Comp</w:t>
      </w:r>
      <w:r>
        <w:rPr>
          <w:sz w:val="26"/>
          <w:szCs w:val="26"/>
        </w:rPr>
        <w:t>lainant also contends that PECO</w:t>
      </w:r>
      <w:r w:rsidR="0081527D">
        <w:rPr>
          <w:sz w:val="26"/>
          <w:szCs w:val="26"/>
        </w:rPr>
        <w:t xml:space="preserve"> is attempting to collect on past-due balances that are over four years old through a termination process, when its remedy should be through Commonwealth Court.  According to the Complainant, PECO’s reliance on </w:t>
      </w:r>
      <w:r w:rsidR="0081527D" w:rsidRPr="009D41AD">
        <w:rPr>
          <w:i/>
          <w:sz w:val="26"/>
          <w:szCs w:val="26"/>
        </w:rPr>
        <w:t>Vermeychuk</w:t>
      </w:r>
      <w:r w:rsidR="0081527D">
        <w:rPr>
          <w:sz w:val="26"/>
          <w:szCs w:val="26"/>
        </w:rPr>
        <w:t xml:space="preserve"> is misplaced.  </w:t>
      </w:r>
      <w:r w:rsidR="0081527D" w:rsidRPr="009D41AD">
        <w:rPr>
          <w:i/>
          <w:sz w:val="26"/>
          <w:szCs w:val="26"/>
        </w:rPr>
        <w:t>Id</w:t>
      </w:r>
      <w:r w:rsidR="0081527D">
        <w:rPr>
          <w:sz w:val="26"/>
          <w:szCs w:val="26"/>
        </w:rPr>
        <w:t>.</w:t>
      </w:r>
    </w:p>
    <w:p w:rsidR="0081527D" w:rsidRDefault="0081527D" w:rsidP="0081527D">
      <w:pPr>
        <w:widowControl/>
        <w:spacing w:line="360" w:lineRule="auto"/>
        <w:rPr>
          <w:sz w:val="26"/>
          <w:szCs w:val="26"/>
        </w:rPr>
      </w:pPr>
    </w:p>
    <w:p w:rsidR="0081527D" w:rsidRPr="00666583" w:rsidRDefault="0081527D" w:rsidP="00F63C3F">
      <w:pPr>
        <w:keepNext/>
        <w:keepLines/>
        <w:widowControl/>
        <w:spacing w:line="360" w:lineRule="auto"/>
        <w:rPr>
          <w:b/>
          <w:sz w:val="26"/>
          <w:szCs w:val="26"/>
        </w:rPr>
      </w:pPr>
      <w:r>
        <w:rPr>
          <w:b/>
          <w:sz w:val="26"/>
          <w:szCs w:val="26"/>
        </w:rPr>
        <w:tab/>
      </w:r>
      <w:r>
        <w:rPr>
          <w:b/>
          <w:sz w:val="26"/>
          <w:szCs w:val="26"/>
        </w:rPr>
        <w:tab/>
      </w:r>
      <w:r w:rsidRPr="00666583">
        <w:rPr>
          <w:b/>
          <w:sz w:val="26"/>
          <w:szCs w:val="26"/>
        </w:rPr>
        <w:t>d.</w:t>
      </w:r>
      <w:r w:rsidRPr="00666583">
        <w:rPr>
          <w:b/>
          <w:sz w:val="26"/>
          <w:szCs w:val="26"/>
        </w:rPr>
        <w:tab/>
        <w:t>Disposition</w:t>
      </w:r>
    </w:p>
    <w:p w:rsidR="0081527D" w:rsidRPr="00666583" w:rsidRDefault="0081527D" w:rsidP="00F63C3F">
      <w:pPr>
        <w:keepNext/>
        <w:keepLines/>
        <w:widowControl/>
        <w:spacing w:line="360" w:lineRule="auto"/>
        <w:rPr>
          <w:sz w:val="26"/>
          <w:szCs w:val="26"/>
        </w:rPr>
      </w:pPr>
    </w:p>
    <w:p w:rsidR="003F7C35" w:rsidRPr="002E4266" w:rsidRDefault="00666583" w:rsidP="004C30C3">
      <w:pPr>
        <w:widowControl/>
        <w:spacing w:line="360" w:lineRule="auto"/>
        <w:rPr>
          <w:sz w:val="26"/>
          <w:szCs w:val="26"/>
        </w:rPr>
      </w:pPr>
      <w:r w:rsidRPr="00666583">
        <w:rPr>
          <w:sz w:val="26"/>
          <w:szCs w:val="26"/>
        </w:rPr>
        <w:tab/>
      </w:r>
      <w:r w:rsidRPr="00666583">
        <w:rPr>
          <w:sz w:val="26"/>
          <w:szCs w:val="26"/>
        </w:rPr>
        <w:tab/>
      </w:r>
      <w:r w:rsidR="00167D77" w:rsidRPr="002E4266">
        <w:rPr>
          <w:sz w:val="26"/>
          <w:szCs w:val="26"/>
        </w:rPr>
        <w:t>Based on</w:t>
      </w:r>
      <w:r w:rsidRPr="002E4266">
        <w:rPr>
          <w:sz w:val="26"/>
          <w:szCs w:val="26"/>
        </w:rPr>
        <w:t xml:space="preserve"> our review of the record </w:t>
      </w:r>
      <w:r w:rsidR="00167D77" w:rsidRPr="002E4266">
        <w:rPr>
          <w:sz w:val="26"/>
          <w:szCs w:val="26"/>
        </w:rPr>
        <w:t>evidence</w:t>
      </w:r>
      <w:r w:rsidRPr="002E4266">
        <w:rPr>
          <w:sz w:val="26"/>
          <w:szCs w:val="26"/>
        </w:rPr>
        <w:t>,</w:t>
      </w:r>
      <w:r w:rsidR="00711C3B" w:rsidRPr="002E4266">
        <w:rPr>
          <w:sz w:val="26"/>
          <w:szCs w:val="26"/>
        </w:rPr>
        <w:t xml:space="preserve"> we </w:t>
      </w:r>
      <w:r w:rsidR="006E2EBB" w:rsidRPr="002E4266">
        <w:rPr>
          <w:sz w:val="26"/>
          <w:szCs w:val="26"/>
        </w:rPr>
        <w:t xml:space="preserve">agree with the ALJ that PECO </w:t>
      </w:r>
      <w:r w:rsidR="004C30C3" w:rsidRPr="002E4266">
        <w:rPr>
          <w:sz w:val="26"/>
          <w:szCs w:val="26"/>
        </w:rPr>
        <w:t>violated</w:t>
      </w:r>
      <w:r w:rsidR="006E2EBB" w:rsidRPr="002E4266">
        <w:rPr>
          <w:sz w:val="26"/>
          <w:szCs w:val="26"/>
        </w:rPr>
        <w:t xml:space="preserve"> </w:t>
      </w:r>
      <w:r w:rsidR="004C30C3" w:rsidRPr="002E4266">
        <w:rPr>
          <w:sz w:val="26"/>
          <w:szCs w:val="26"/>
        </w:rPr>
        <w:t xml:space="preserve">52 Pa. Code § 56.35 </w:t>
      </w:r>
      <w:r w:rsidR="006E2EBB" w:rsidRPr="002E4266">
        <w:rPr>
          <w:sz w:val="26"/>
          <w:szCs w:val="26"/>
        </w:rPr>
        <w:t>in requiring the Complainant to enter into a payment agreement to satisfy an outstanding balance that included amounts that had accrued more than four years prior to the date of the Complainant’s reque</w:t>
      </w:r>
      <w:r w:rsidR="00AB553C" w:rsidRPr="002E4266">
        <w:rPr>
          <w:sz w:val="26"/>
          <w:szCs w:val="26"/>
        </w:rPr>
        <w:t>st for service at Aspen Avenue</w:t>
      </w:r>
      <w:r w:rsidR="006E2EBB" w:rsidRPr="002E4266">
        <w:rPr>
          <w:sz w:val="26"/>
          <w:szCs w:val="26"/>
        </w:rPr>
        <w:t>.</w:t>
      </w:r>
      <w:r w:rsidR="002E4266">
        <w:rPr>
          <w:rStyle w:val="FootnoteReference"/>
          <w:sz w:val="26"/>
          <w:szCs w:val="26"/>
        </w:rPr>
        <w:footnoteReference w:id="14"/>
      </w:r>
      <w:r w:rsidR="006E2EBB" w:rsidRPr="002E4266">
        <w:rPr>
          <w:sz w:val="26"/>
          <w:szCs w:val="26"/>
        </w:rPr>
        <w:t xml:space="preserve">  </w:t>
      </w:r>
    </w:p>
    <w:p w:rsidR="003F7C35" w:rsidRPr="002E4266" w:rsidRDefault="003F7C35" w:rsidP="004C30C3">
      <w:pPr>
        <w:widowControl/>
        <w:spacing w:line="360" w:lineRule="auto"/>
        <w:rPr>
          <w:sz w:val="26"/>
          <w:szCs w:val="26"/>
        </w:rPr>
      </w:pPr>
    </w:p>
    <w:p w:rsidR="00184FEC" w:rsidRPr="00E06AB5" w:rsidRDefault="003F7C35" w:rsidP="004C30C3">
      <w:pPr>
        <w:widowControl/>
        <w:spacing w:line="360" w:lineRule="auto"/>
        <w:rPr>
          <w:sz w:val="26"/>
          <w:szCs w:val="26"/>
        </w:rPr>
      </w:pPr>
      <w:r w:rsidRPr="00E06AB5">
        <w:rPr>
          <w:sz w:val="26"/>
          <w:szCs w:val="26"/>
        </w:rPr>
        <w:tab/>
      </w:r>
      <w:r w:rsidRPr="00E06AB5">
        <w:rPr>
          <w:sz w:val="26"/>
          <w:szCs w:val="26"/>
        </w:rPr>
        <w:tab/>
      </w:r>
      <w:r w:rsidR="00F52A7B" w:rsidRPr="00E06AB5">
        <w:rPr>
          <w:sz w:val="26"/>
          <w:szCs w:val="26"/>
        </w:rPr>
        <w:t xml:space="preserve">PECO </w:t>
      </w:r>
      <w:r w:rsidRPr="00E06AB5">
        <w:rPr>
          <w:sz w:val="26"/>
          <w:szCs w:val="26"/>
        </w:rPr>
        <w:t>contends</w:t>
      </w:r>
      <w:r w:rsidR="00F52A7B" w:rsidRPr="00E06AB5">
        <w:rPr>
          <w:sz w:val="26"/>
          <w:szCs w:val="26"/>
        </w:rPr>
        <w:t xml:space="preserve"> that when an account balance is transfer</w:t>
      </w:r>
      <w:r w:rsidR="00BD43D6" w:rsidRPr="00E06AB5">
        <w:rPr>
          <w:sz w:val="26"/>
          <w:szCs w:val="26"/>
        </w:rPr>
        <w:t>red from one address to another</w:t>
      </w:r>
      <w:r w:rsidR="00F52A7B" w:rsidRPr="00E06AB5">
        <w:rPr>
          <w:sz w:val="26"/>
          <w:szCs w:val="26"/>
        </w:rPr>
        <w:t xml:space="preserve"> and the Complainant accepts liability for that balance, </w:t>
      </w:r>
      <w:r w:rsidR="002D0BDA" w:rsidRPr="00E06AB5">
        <w:rPr>
          <w:sz w:val="26"/>
          <w:szCs w:val="26"/>
        </w:rPr>
        <w:t xml:space="preserve">the clock is reset on the four-year limitation set forth in </w:t>
      </w:r>
      <w:r w:rsidR="00AB553C" w:rsidRPr="00E06AB5">
        <w:rPr>
          <w:sz w:val="26"/>
          <w:szCs w:val="26"/>
        </w:rPr>
        <w:t>Section</w:t>
      </w:r>
      <w:r w:rsidR="002D0BDA" w:rsidRPr="00E06AB5">
        <w:rPr>
          <w:sz w:val="26"/>
          <w:szCs w:val="26"/>
        </w:rPr>
        <w:t xml:space="preserve"> 56.35, and the date of the transfer </w:t>
      </w:r>
      <w:r w:rsidR="002D0BDA" w:rsidRPr="00E06AB5">
        <w:rPr>
          <w:sz w:val="26"/>
          <w:szCs w:val="26"/>
        </w:rPr>
        <w:lastRenderedPageBreak/>
        <w:t>becomes the new accrual date</w:t>
      </w:r>
      <w:r w:rsidR="00A34BBC" w:rsidRPr="00E06AB5">
        <w:rPr>
          <w:sz w:val="26"/>
          <w:szCs w:val="26"/>
        </w:rPr>
        <w:t xml:space="preserve"> for the entire</w:t>
      </w:r>
      <w:r w:rsidR="002D0BDA" w:rsidRPr="00E06AB5">
        <w:rPr>
          <w:sz w:val="26"/>
          <w:szCs w:val="26"/>
        </w:rPr>
        <w:t xml:space="preserve"> balance, regardless of when the amounts comprising that balance originally accrued. </w:t>
      </w:r>
      <w:r w:rsidRPr="00E06AB5">
        <w:rPr>
          <w:sz w:val="26"/>
          <w:szCs w:val="26"/>
        </w:rPr>
        <w:t>Thus, PECO argues</w:t>
      </w:r>
      <w:r w:rsidR="00AB553C" w:rsidRPr="00E06AB5">
        <w:rPr>
          <w:sz w:val="26"/>
          <w:szCs w:val="26"/>
        </w:rPr>
        <w:t xml:space="preserve"> that as long </w:t>
      </w:r>
      <w:r w:rsidR="00013690" w:rsidRPr="00E06AB5">
        <w:rPr>
          <w:sz w:val="26"/>
          <w:szCs w:val="26"/>
        </w:rPr>
        <w:t xml:space="preserve">as </w:t>
      </w:r>
      <w:r w:rsidR="00A34BBC" w:rsidRPr="00E06AB5">
        <w:rPr>
          <w:sz w:val="26"/>
          <w:szCs w:val="26"/>
        </w:rPr>
        <w:t>each new balance transfer occurs within four years of the previous transfer, the requirements of</w:t>
      </w:r>
      <w:r w:rsidR="002D0BDA" w:rsidRPr="00E06AB5">
        <w:rPr>
          <w:sz w:val="26"/>
          <w:szCs w:val="26"/>
        </w:rPr>
        <w:t xml:space="preserve"> </w:t>
      </w:r>
      <w:r w:rsidR="003A42CF" w:rsidRPr="00E06AB5">
        <w:rPr>
          <w:sz w:val="26"/>
          <w:szCs w:val="26"/>
        </w:rPr>
        <w:t>Section</w:t>
      </w:r>
      <w:r w:rsidR="00A34BBC" w:rsidRPr="00E06AB5">
        <w:rPr>
          <w:sz w:val="26"/>
          <w:szCs w:val="26"/>
        </w:rPr>
        <w:t xml:space="preserve"> 56.35 are met, and the Company may lawfully require the Complainant to enter into a payment agreement based on the entire balance, which may include amounts originally billed </w:t>
      </w:r>
      <w:r w:rsidR="008556EE" w:rsidRPr="00E06AB5">
        <w:rPr>
          <w:sz w:val="26"/>
          <w:szCs w:val="26"/>
        </w:rPr>
        <w:t xml:space="preserve">over four years prior to the date of the </w:t>
      </w:r>
      <w:r w:rsidRPr="00E06AB5">
        <w:rPr>
          <w:sz w:val="26"/>
          <w:szCs w:val="26"/>
        </w:rPr>
        <w:t xml:space="preserve">most recent </w:t>
      </w:r>
      <w:r w:rsidR="008556EE" w:rsidRPr="00E06AB5">
        <w:rPr>
          <w:sz w:val="26"/>
          <w:szCs w:val="26"/>
        </w:rPr>
        <w:t>transfer</w:t>
      </w:r>
      <w:r w:rsidR="00A34BBC" w:rsidRPr="00E06AB5">
        <w:rPr>
          <w:sz w:val="26"/>
          <w:szCs w:val="26"/>
        </w:rPr>
        <w:t>, as a condition of furnishing new service to the Complainant.</w:t>
      </w:r>
      <w:r w:rsidR="003A42CF" w:rsidRPr="00E06AB5">
        <w:rPr>
          <w:sz w:val="26"/>
          <w:szCs w:val="26"/>
        </w:rPr>
        <w:t xml:space="preserve">  However, we </w:t>
      </w:r>
      <w:r w:rsidR="004C1CD6" w:rsidRPr="00E06AB5">
        <w:rPr>
          <w:sz w:val="26"/>
          <w:szCs w:val="26"/>
        </w:rPr>
        <w:t>do not view</w:t>
      </w:r>
      <w:r w:rsidR="008556EE" w:rsidRPr="00E06AB5">
        <w:rPr>
          <w:sz w:val="26"/>
          <w:szCs w:val="26"/>
        </w:rPr>
        <w:t xml:space="preserve"> the act of transferring a customer’s</w:t>
      </w:r>
      <w:r w:rsidR="006D6DD6" w:rsidRPr="00E06AB5">
        <w:rPr>
          <w:sz w:val="26"/>
          <w:szCs w:val="26"/>
        </w:rPr>
        <w:t xml:space="preserve"> total</w:t>
      </w:r>
      <w:r w:rsidR="008556EE" w:rsidRPr="00E06AB5">
        <w:rPr>
          <w:sz w:val="26"/>
          <w:szCs w:val="26"/>
        </w:rPr>
        <w:t xml:space="preserve"> balance from a</w:t>
      </w:r>
      <w:r w:rsidR="00243EFA" w:rsidRPr="00E06AB5">
        <w:rPr>
          <w:sz w:val="26"/>
          <w:szCs w:val="26"/>
        </w:rPr>
        <w:t xml:space="preserve"> prior </w:t>
      </w:r>
      <w:r w:rsidR="008556EE" w:rsidRPr="00E06AB5">
        <w:rPr>
          <w:sz w:val="26"/>
          <w:szCs w:val="26"/>
        </w:rPr>
        <w:t>account</w:t>
      </w:r>
      <w:r w:rsidR="00243EFA" w:rsidRPr="00E06AB5">
        <w:rPr>
          <w:sz w:val="26"/>
          <w:szCs w:val="26"/>
        </w:rPr>
        <w:t xml:space="preserve"> to a new account at a different address </w:t>
      </w:r>
      <w:r w:rsidR="004C1CD6" w:rsidRPr="00E06AB5">
        <w:rPr>
          <w:sz w:val="26"/>
          <w:szCs w:val="26"/>
        </w:rPr>
        <w:t xml:space="preserve">as changing the original accrual date of any of the individual component amounts of that total balance.  Thus, </w:t>
      </w:r>
      <w:r w:rsidRPr="00E06AB5">
        <w:rPr>
          <w:sz w:val="26"/>
          <w:szCs w:val="26"/>
        </w:rPr>
        <w:t xml:space="preserve">we conclude that </w:t>
      </w:r>
      <w:r w:rsidR="004C1CD6" w:rsidRPr="00E06AB5">
        <w:rPr>
          <w:sz w:val="26"/>
          <w:szCs w:val="26"/>
        </w:rPr>
        <w:t>amounts originally billed more than four years prior to</w:t>
      </w:r>
      <w:r w:rsidR="006D6DD6" w:rsidRPr="00E06AB5">
        <w:rPr>
          <w:sz w:val="26"/>
          <w:szCs w:val="26"/>
        </w:rPr>
        <w:t xml:space="preserve"> a request for new service must not be </w:t>
      </w:r>
      <w:r w:rsidR="006C7F0E" w:rsidRPr="00E06AB5">
        <w:rPr>
          <w:sz w:val="26"/>
          <w:szCs w:val="26"/>
        </w:rPr>
        <w:t>included in any payment arrangement required as a condition for establishing that service, in accordance with Section 56.35.</w:t>
      </w:r>
      <w:r w:rsidR="00CD4868" w:rsidRPr="00E06AB5">
        <w:rPr>
          <w:sz w:val="26"/>
          <w:szCs w:val="26"/>
        </w:rPr>
        <w:t xml:space="preserve"> </w:t>
      </w:r>
      <w:r w:rsidRPr="00E06AB5">
        <w:rPr>
          <w:sz w:val="26"/>
          <w:szCs w:val="26"/>
        </w:rPr>
        <w:t xml:space="preserve"> PECO’</w:t>
      </w:r>
      <w:r w:rsidR="00BD43D6" w:rsidRPr="00E06AB5">
        <w:rPr>
          <w:sz w:val="26"/>
          <w:szCs w:val="26"/>
        </w:rPr>
        <w:t>s imposition of</w:t>
      </w:r>
      <w:r w:rsidRPr="00E06AB5">
        <w:rPr>
          <w:sz w:val="26"/>
          <w:szCs w:val="26"/>
        </w:rPr>
        <w:t xml:space="preserve"> such a condition on the Complainant when she requested new serv</w:t>
      </w:r>
      <w:r w:rsidR="00B52746" w:rsidRPr="00E06AB5">
        <w:rPr>
          <w:sz w:val="26"/>
          <w:szCs w:val="26"/>
        </w:rPr>
        <w:t xml:space="preserve">ice at Aspen Avenue </w:t>
      </w:r>
      <w:r w:rsidRPr="00E06AB5">
        <w:rPr>
          <w:sz w:val="26"/>
          <w:szCs w:val="26"/>
        </w:rPr>
        <w:t xml:space="preserve">was, therefore, improper, and </w:t>
      </w:r>
      <w:r w:rsidR="00494A6A" w:rsidRPr="00E06AB5">
        <w:rPr>
          <w:sz w:val="26"/>
          <w:szCs w:val="26"/>
        </w:rPr>
        <w:t xml:space="preserve">a </w:t>
      </w:r>
      <w:r w:rsidRPr="00E06AB5">
        <w:rPr>
          <w:sz w:val="26"/>
          <w:szCs w:val="26"/>
        </w:rPr>
        <w:t>violation of Section 56.35.</w:t>
      </w:r>
    </w:p>
    <w:p w:rsidR="004C30C3" w:rsidRPr="00E06AB5" w:rsidRDefault="004C30C3" w:rsidP="004C30C3">
      <w:pPr>
        <w:widowControl/>
        <w:spacing w:line="360" w:lineRule="auto"/>
        <w:rPr>
          <w:sz w:val="26"/>
          <w:szCs w:val="26"/>
        </w:rPr>
      </w:pPr>
    </w:p>
    <w:p w:rsidR="008C09DC" w:rsidRPr="00E06AB5" w:rsidRDefault="00584250" w:rsidP="008C09DC">
      <w:pPr>
        <w:widowControl/>
        <w:spacing w:line="360" w:lineRule="auto"/>
        <w:rPr>
          <w:sz w:val="26"/>
          <w:szCs w:val="26"/>
        </w:rPr>
      </w:pPr>
      <w:r w:rsidRPr="00E06AB5">
        <w:rPr>
          <w:sz w:val="26"/>
          <w:szCs w:val="26"/>
        </w:rPr>
        <w:tab/>
      </w:r>
      <w:r w:rsidRPr="00E06AB5">
        <w:rPr>
          <w:sz w:val="26"/>
          <w:szCs w:val="26"/>
        </w:rPr>
        <w:tab/>
        <w:t>However,</w:t>
      </w:r>
      <w:r w:rsidR="000A69EE" w:rsidRPr="00E06AB5">
        <w:rPr>
          <w:sz w:val="26"/>
          <w:szCs w:val="26"/>
        </w:rPr>
        <w:t xml:space="preserve"> our determination</w:t>
      </w:r>
      <w:r w:rsidR="004C30C3" w:rsidRPr="00E06AB5">
        <w:rPr>
          <w:sz w:val="26"/>
          <w:szCs w:val="26"/>
        </w:rPr>
        <w:t xml:space="preserve"> that PECO violated </w:t>
      </w:r>
      <w:r w:rsidR="00E45A8F" w:rsidRPr="00E06AB5">
        <w:rPr>
          <w:sz w:val="26"/>
          <w:szCs w:val="26"/>
        </w:rPr>
        <w:t>52 Pa. Code § </w:t>
      </w:r>
      <w:r w:rsidR="0027308C" w:rsidRPr="00E06AB5">
        <w:rPr>
          <w:sz w:val="26"/>
          <w:szCs w:val="26"/>
        </w:rPr>
        <w:t>56.35</w:t>
      </w:r>
      <w:r w:rsidRPr="00E06AB5">
        <w:rPr>
          <w:sz w:val="26"/>
          <w:szCs w:val="26"/>
        </w:rPr>
        <w:t xml:space="preserve"> does not excuse</w:t>
      </w:r>
      <w:r w:rsidR="004C30C3" w:rsidRPr="00E06AB5">
        <w:rPr>
          <w:sz w:val="26"/>
          <w:szCs w:val="26"/>
        </w:rPr>
        <w:t xml:space="preserve"> </w:t>
      </w:r>
      <w:r w:rsidRPr="00E06AB5">
        <w:rPr>
          <w:sz w:val="26"/>
          <w:szCs w:val="26"/>
        </w:rPr>
        <w:t xml:space="preserve">the Complainant </w:t>
      </w:r>
      <w:r w:rsidR="004C30C3" w:rsidRPr="00E06AB5">
        <w:rPr>
          <w:sz w:val="26"/>
          <w:szCs w:val="26"/>
        </w:rPr>
        <w:t xml:space="preserve">from her obligation to pay that part of her total balance that accrued four years prior to the beginning of her </w:t>
      </w:r>
      <w:r w:rsidR="00AB553C" w:rsidRPr="00E06AB5">
        <w:rPr>
          <w:sz w:val="26"/>
          <w:szCs w:val="26"/>
        </w:rPr>
        <w:t>utility service at</w:t>
      </w:r>
      <w:r w:rsidR="004C30C3" w:rsidRPr="00E06AB5">
        <w:rPr>
          <w:sz w:val="26"/>
          <w:szCs w:val="26"/>
        </w:rPr>
        <w:t xml:space="preserve"> Aspen Avenue.  A</w:t>
      </w:r>
      <w:r w:rsidR="00BA5C3E" w:rsidRPr="00E06AB5">
        <w:rPr>
          <w:sz w:val="26"/>
          <w:szCs w:val="26"/>
        </w:rPr>
        <w:t xml:space="preserve">s we pointed out in </w:t>
      </w:r>
      <w:r w:rsidR="00F379FD" w:rsidRPr="00E06AB5">
        <w:rPr>
          <w:i/>
          <w:sz w:val="26"/>
          <w:szCs w:val="26"/>
        </w:rPr>
        <w:t>Brown</w:t>
      </w:r>
      <w:r w:rsidR="00F379FD" w:rsidRPr="00E06AB5">
        <w:rPr>
          <w:sz w:val="26"/>
          <w:szCs w:val="26"/>
        </w:rPr>
        <w:t>,</w:t>
      </w:r>
      <w:r w:rsidR="002A2664" w:rsidRPr="00E06AB5">
        <w:rPr>
          <w:sz w:val="26"/>
          <w:szCs w:val="26"/>
        </w:rPr>
        <w:t xml:space="preserve"> Section</w:t>
      </w:r>
      <w:r w:rsidR="0027308C" w:rsidRPr="00E06AB5">
        <w:rPr>
          <w:sz w:val="26"/>
          <w:szCs w:val="26"/>
        </w:rPr>
        <w:t xml:space="preserve"> 56.35</w:t>
      </w:r>
      <w:r w:rsidR="00465236" w:rsidRPr="00E06AB5">
        <w:rPr>
          <w:sz w:val="26"/>
          <w:szCs w:val="26"/>
        </w:rPr>
        <w:t xml:space="preserve"> </w:t>
      </w:r>
      <w:r w:rsidR="008C09DC" w:rsidRPr="00E06AB5">
        <w:rPr>
          <w:sz w:val="26"/>
          <w:szCs w:val="26"/>
        </w:rPr>
        <w:t xml:space="preserve">does not prohibit a utility from </w:t>
      </w:r>
      <w:r w:rsidR="00167D77" w:rsidRPr="00E06AB5">
        <w:rPr>
          <w:sz w:val="26"/>
          <w:szCs w:val="26"/>
        </w:rPr>
        <w:t>holdi</w:t>
      </w:r>
      <w:r w:rsidR="002A2D29" w:rsidRPr="00E06AB5">
        <w:rPr>
          <w:sz w:val="26"/>
          <w:szCs w:val="26"/>
        </w:rPr>
        <w:t>ng a customer responsible for a total</w:t>
      </w:r>
      <w:r w:rsidR="00167D77" w:rsidRPr="00E06AB5">
        <w:rPr>
          <w:sz w:val="26"/>
          <w:szCs w:val="26"/>
        </w:rPr>
        <w:t xml:space="preserve"> account balance that includes amounts that are over four years old.</w:t>
      </w:r>
      <w:r w:rsidR="008552CF" w:rsidRPr="00E06AB5">
        <w:rPr>
          <w:sz w:val="26"/>
          <w:szCs w:val="26"/>
        </w:rPr>
        <w:t xml:space="preserve">  Rather, </w:t>
      </w:r>
      <w:r w:rsidR="002A2D29" w:rsidRPr="00E06AB5">
        <w:rPr>
          <w:sz w:val="26"/>
          <w:szCs w:val="26"/>
        </w:rPr>
        <w:t>it prohibits a utility from requiring an applicant for</w:t>
      </w:r>
      <w:r w:rsidR="00F379FD" w:rsidRPr="00E06AB5">
        <w:rPr>
          <w:sz w:val="26"/>
          <w:szCs w:val="26"/>
        </w:rPr>
        <w:t xml:space="preserve"> new</w:t>
      </w:r>
      <w:r w:rsidR="002A2D29" w:rsidRPr="00E06AB5">
        <w:rPr>
          <w:sz w:val="26"/>
          <w:szCs w:val="26"/>
        </w:rPr>
        <w:t xml:space="preserve"> service to pay any outstanding balance that accrued longer than four years prior to the request for service, as</w:t>
      </w:r>
      <w:r w:rsidR="008552CF" w:rsidRPr="00E06AB5">
        <w:rPr>
          <w:sz w:val="26"/>
          <w:szCs w:val="26"/>
        </w:rPr>
        <w:t xml:space="preserve"> a condition of furnishing </w:t>
      </w:r>
      <w:r w:rsidR="002A2D29" w:rsidRPr="00E06AB5">
        <w:rPr>
          <w:sz w:val="26"/>
          <w:szCs w:val="26"/>
        </w:rPr>
        <w:t xml:space="preserve">that </w:t>
      </w:r>
      <w:r w:rsidR="008552CF" w:rsidRPr="00E06AB5">
        <w:rPr>
          <w:sz w:val="26"/>
          <w:szCs w:val="26"/>
        </w:rPr>
        <w:t>service</w:t>
      </w:r>
      <w:r w:rsidR="00F379FD" w:rsidRPr="00E06AB5">
        <w:rPr>
          <w:sz w:val="26"/>
          <w:szCs w:val="26"/>
        </w:rPr>
        <w:t xml:space="preserve"> to the applicant.  </w:t>
      </w:r>
      <w:r w:rsidR="00F379FD" w:rsidRPr="00E06AB5">
        <w:rPr>
          <w:i/>
          <w:sz w:val="26"/>
          <w:szCs w:val="26"/>
        </w:rPr>
        <w:t>See Brown</w:t>
      </w:r>
      <w:r w:rsidR="00F379FD" w:rsidRPr="00E06AB5">
        <w:rPr>
          <w:sz w:val="26"/>
          <w:szCs w:val="26"/>
        </w:rPr>
        <w:t xml:space="preserve"> at 9.</w:t>
      </w:r>
      <w:r w:rsidR="00CB661B" w:rsidRPr="00E06AB5">
        <w:rPr>
          <w:sz w:val="26"/>
          <w:szCs w:val="26"/>
        </w:rPr>
        <w:t xml:space="preserve">  Thus, </w:t>
      </w:r>
      <w:r w:rsidR="002A2664" w:rsidRPr="00E06AB5">
        <w:rPr>
          <w:sz w:val="26"/>
          <w:szCs w:val="26"/>
        </w:rPr>
        <w:t>even though we have</w:t>
      </w:r>
      <w:r w:rsidR="00184FEC" w:rsidRPr="00E06AB5">
        <w:rPr>
          <w:sz w:val="26"/>
          <w:szCs w:val="26"/>
        </w:rPr>
        <w:t xml:space="preserve"> determine</w:t>
      </w:r>
      <w:r w:rsidR="002A2664" w:rsidRPr="00E06AB5">
        <w:rPr>
          <w:sz w:val="26"/>
          <w:szCs w:val="26"/>
        </w:rPr>
        <w:t>d</w:t>
      </w:r>
      <w:r w:rsidR="00184FEC" w:rsidRPr="00E06AB5">
        <w:rPr>
          <w:sz w:val="26"/>
          <w:szCs w:val="26"/>
        </w:rPr>
        <w:t xml:space="preserve"> that PECO improperly conditioned the establishment </w:t>
      </w:r>
      <w:r w:rsidR="00D07BB6" w:rsidRPr="00E06AB5">
        <w:rPr>
          <w:sz w:val="26"/>
          <w:szCs w:val="26"/>
        </w:rPr>
        <w:t>of service at Aspen Avenue</w:t>
      </w:r>
      <w:r w:rsidR="005A35C1" w:rsidRPr="00E06AB5">
        <w:rPr>
          <w:sz w:val="26"/>
          <w:szCs w:val="26"/>
        </w:rPr>
        <w:t xml:space="preserve"> upon the payment of amounts that had</w:t>
      </w:r>
      <w:r w:rsidR="00D07BB6" w:rsidRPr="00E06AB5">
        <w:rPr>
          <w:sz w:val="26"/>
          <w:szCs w:val="26"/>
        </w:rPr>
        <w:t xml:space="preserve"> accrued four years prior to the Complainant’s</w:t>
      </w:r>
      <w:r w:rsidR="005A35C1" w:rsidRPr="00E06AB5">
        <w:rPr>
          <w:sz w:val="26"/>
          <w:szCs w:val="26"/>
        </w:rPr>
        <w:t xml:space="preserve"> request for service there, we must still hold the Complainant </w:t>
      </w:r>
      <w:r w:rsidR="005A35C1" w:rsidRPr="00E06AB5">
        <w:rPr>
          <w:sz w:val="26"/>
          <w:szCs w:val="26"/>
        </w:rPr>
        <w:lastRenderedPageBreak/>
        <w:t>ultimately responsible for her total balance, regardless of when that balance accrued.</w:t>
      </w:r>
      <w:r w:rsidR="00340F68" w:rsidRPr="00E06AB5">
        <w:rPr>
          <w:rStyle w:val="FootnoteReference"/>
          <w:sz w:val="26"/>
          <w:szCs w:val="26"/>
        </w:rPr>
        <w:footnoteReference w:id="15"/>
      </w:r>
      <w:r w:rsidR="005A35C1" w:rsidRPr="00E06AB5">
        <w:rPr>
          <w:sz w:val="26"/>
          <w:szCs w:val="26"/>
        </w:rPr>
        <w:t xml:space="preserve">  </w:t>
      </w:r>
      <w:r w:rsidR="009D5F60" w:rsidRPr="00E06AB5">
        <w:rPr>
          <w:sz w:val="26"/>
          <w:szCs w:val="26"/>
        </w:rPr>
        <w:t xml:space="preserve">We find nothing on the record to indicate that </w:t>
      </w:r>
      <w:r w:rsidR="00B57E94" w:rsidRPr="00E06AB5">
        <w:rPr>
          <w:sz w:val="26"/>
          <w:szCs w:val="26"/>
        </w:rPr>
        <w:t xml:space="preserve">the </w:t>
      </w:r>
      <w:r w:rsidR="009D5F60" w:rsidRPr="00E06AB5">
        <w:rPr>
          <w:sz w:val="26"/>
          <w:szCs w:val="26"/>
        </w:rPr>
        <w:t>amounts comprising the Complainant’s total account balance—either those that had been previously transferred from prior accounts or those that accumulated at her current address—were not properly calculated or billed to the Complainant.  Moreover, we agree with PECO that the Complainant is time-barred by the statute of limitations in Section 3314(a) of the Code from challenging those account balances that accumulated at prior addresses and subsequently were transferred to new accounts more than three</w:t>
      </w:r>
      <w:r w:rsidR="00981B5F" w:rsidRPr="00E06AB5">
        <w:rPr>
          <w:sz w:val="26"/>
          <w:szCs w:val="26"/>
        </w:rPr>
        <w:t xml:space="preserve"> </w:t>
      </w:r>
      <w:r w:rsidR="009D5F60" w:rsidRPr="00E06AB5">
        <w:rPr>
          <w:sz w:val="26"/>
          <w:szCs w:val="26"/>
        </w:rPr>
        <w:t>years prior to the filing of the Complaint on January 14, 2015.</w:t>
      </w:r>
      <w:r w:rsidR="00295380" w:rsidRPr="00E06AB5">
        <w:rPr>
          <w:rStyle w:val="FootnoteReference"/>
          <w:sz w:val="26"/>
          <w:szCs w:val="26"/>
        </w:rPr>
        <w:footnoteReference w:id="16"/>
      </w:r>
      <w:r w:rsidR="00596D56" w:rsidRPr="00E06AB5">
        <w:rPr>
          <w:sz w:val="26"/>
          <w:szCs w:val="26"/>
        </w:rPr>
        <w:t xml:space="preserve">  </w:t>
      </w:r>
      <w:r w:rsidR="00AC5A38" w:rsidRPr="00E06AB5">
        <w:rPr>
          <w:sz w:val="26"/>
          <w:szCs w:val="26"/>
        </w:rPr>
        <w:t>Thus</w:t>
      </w:r>
      <w:r w:rsidR="005A35C1" w:rsidRPr="00E06AB5">
        <w:rPr>
          <w:sz w:val="26"/>
          <w:szCs w:val="26"/>
        </w:rPr>
        <w:t xml:space="preserve">, </w:t>
      </w:r>
      <w:r w:rsidR="00774225" w:rsidRPr="00E06AB5">
        <w:rPr>
          <w:sz w:val="26"/>
          <w:szCs w:val="26"/>
        </w:rPr>
        <w:t xml:space="preserve">we see no reason to require PECO to recalculate the Complainant’s balance to exclude charges that predated November 20, </w:t>
      </w:r>
      <w:r w:rsidR="00CD4868" w:rsidRPr="00E06AB5">
        <w:rPr>
          <w:sz w:val="26"/>
          <w:szCs w:val="26"/>
        </w:rPr>
        <w:t>2009, as the ALJ directed</w:t>
      </w:r>
      <w:r w:rsidR="003F57DF" w:rsidRPr="00E06AB5">
        <w:rPr>
          <w:sz w:val="26"/>
          <w:szCs w:val="26"/>
        </w:rPr>
        <w:t xml:space="preserve">.  </w:t>
      </w:r>
      <w:r w:rsidR="00774225" w:rsidRPr="00E06AB5">
        <w:rPr>
          <w:sz w:val="26"/>
          <w:szCs w:val="26"/>
        </w:rPr>
        <w:t>I.D. at 27.</w:t>
      </w:r>
      <w:r w:rsidR="001D7E3B" w:rsidRPr="00E06AB5">
        <w:rPr>
          <w:sz w:val="26"/>
          <w:szCs w:val="26"/>
        </w:rPr>
        <w:t xml:space="preserve">  </w:t>
      </w:r>
      <w:r w:rsidR="00AC5A38" w:rsidRPr="00E06AB5">
        <w:rPr>
          <w:sz w:val="26"/>
          <w:szCs w:val="26"/>
        </w:rPr>
        <w:t>Accordingly</w:t>
      </w:r>
      <w:r w:rsidR="00B24BF8" w:rsidRPr="00E06AB5">
        <w:rPr>
          <w:sz w:val="26"/>
          <w:szCs w:val="26"/>
        </w:rPr>
        <w:t>, we find that the Co</w:t>
      </w:r>
      <w:r w:rsidR="00C12C89" w:rsidRPr="00E06AB5">
        <w:rPr>
          <w:sz w:val="26"/>
          <w:szCs w:val="26"/>
        </w:rPr>
        <w:t>mplainant is responsible for her total account balance, which was $16,128.37 at the time of the June 2, 2015 hearing.  Tr. at 139.</w:t>
      </w:r>
    </w:p>
    <w:p w:rsidR="006F7BF9" w:rsidRPr="00E06AB5" w:rsidRDefault="006F7BF9" w:rsidP="008C09DC">
      <w:pPr>
        <w:widowControl/>
        <w:spacing w:line="360" w:lineRule="auto"/>
        <w:rPr>
          <w:sz w:val="26"/>
          <w:szCs w:val="26"/>
        </w:rPr>
      </w:pPr>
    </w:p>
    <w:p w:rsidR="006F7BF9" w:rsidRDefault="006F7BF9" w:rsidP="008C09DC">
      <w:pPr>
        <w:widowControl/>
        <w:spacing w:line="360" w:lineRule="auto"/>
        <w:rPr>
          <w:sz w:val="26"/>
          <w:szCs w:val="26"/>
        </w:rPr>
      </w:pPr>
      <w:r w:rsidRPr="00E06AB5">
        <w:rPr>
          <w:sz w:val="26"/>
          <w:szCs w:val="26"/>
        </w:rPr>
        <w:tab/>
      </w:r>
      <w:r w:rsidRPr="00E06AB5">
        <w:rPr>
          <w:sz w:val="26"/>
          <w:szCs w:val="26"/>
        </w:rPr>
        <w:tab/>
        <w:t>Consistent with the above discussion,</w:t>
      </w:r>
      <w:r w:rsidR="00203A6A" w:rsidRPr="00E06AB5">
        <w:rPr>
          <w:sz w:val="26"/>
          <w:szCs w:val="26"/>
        </w:rPr>
        <w:t xml:space="preserve"> we will adopt the Initial Decision with regard to its finding that PECO violated 52 Pa. Code § 56.35, but will reverse the Initial Decision to the extent it det</w:t>
      </w:r>
      <w:r w:rsidR="00AC5A38" w:rsidRPr="00E06AB5">
        <w:rPr>
          <w:sz w:val="26"/>
          <w:szCs w:val="26"/>
        </w:rPr>
        <w:t>ermined that the Complainant is</w:t>
      </w:r>
      <w:r w:rsidR="00203A6A" w:rsidRPr="00E06AB5">
        <w:rPr>
          <w:sz w:val="26"/>
          <w:szCs w:val="26"/>
        </w:rPr>
        <w:t xml:space="preserve"> not ultimately </w:t>
      </w:r>
      <w:r w:rsidR="00203A6A" w:rsidRPr="00E06AB5">
        <w:rPr>
          <w:sz w:val="26"/>
          <w:szCs w:val="26"/>
        </w:rPr>
        <w:lastRenderedPageBreak/>
        <w:t xml:space="preserve">responsible for her </w:t>
      </w:r>
      <w:r w:rsidR="00B67749" w:rsidRPr="00E06AB5">
        <w:rPr>
          <w:sz w:val="26"/>
          <w:szCs w:val="26"/>
        </w:rPr>
        <w:t xml:space="preserve">total </w:t>
      </w:r>
      <w:r w:rsidR="003F57DF" w:rsidRPr="00E06AB5">
        <w:rPr>
          <w:sz w:val="26"/>
          <w:szCs w:val="26"/>
        </w:rPr>
        <w:t xml:space="preserve">accumulated balance.  </w:t>
      </w:r>
      <w:r w:rsidR="00B57E94" w:rsidRPr="00E06AB5">
        <w:rPr>
          <w:sz w:val="26"/>
          <w:szCs w:val="26"/>
        </w:rPr>
        <w:t>Accordingly</w:t>
      </w:r>
      <w:r w:rsidR="00203A6A" w:rsidRPr="00E06AB5">
        <w:rPr>
          <w:sz w:val="26"/>
          <w:szCs w:val="26"/>
        </w:rPr>
        <w:t>, we will grant, in part, and deny, in part, PECO’s Exceptions on this issue.</w:t>
      </w:r>
    </w:p>
    <w:p w:rsidR="0041295A" w:rsidRDefault="0041295A" w:rsidP="0081527D">
      <w:pPr>
        <w:widowControl/>
        <w:spacing w:line="360" w:lineRule="auto"/>
        <w:rPr>
          <w:sz w:val="26"/>
          <w:szCs w:val="26"/>
        </w:rPr>
      </w:pPr>
    </w:p>
    <w:p w:rsidR="0041295A" w:rsidRPr="002909DC" w:rsidRDefault="002909DC" w:rsidP="00AB553C">
      <w:pPr>
        <w:keepNext/>
        <w:widowControl/>
        <w:spacing w:line="360" w:lineRule="auto"/>
        <w:rPr>
          <w:b/>
          <w:sz w:val="26"/>
          <w:szCs w:val="26"/>
        </w:rPr>
      </w:pPr>
      <w:r>
        <w:rPr>
          <w:sz w:val="26"/>
          <w:szCs w:val="26"/>
        </w:rPr>
        <w:tab/>
      </w:r>
      <w:r w:rsidRPr="002909DC">
        <w:rPr>
          <w:b/>
          <w:sz w:val="26"/>
          <w:szCs w:val="26"/>
        </w:rPr>
        <w:t>4.</w:t>
      </w:r>
      <w:r w:rsidRPr="002909DC">
        <w:rPr>
          <w:b/>
          <w:sz w:val="26"/>
          <w:szCs w:val="26"/>
        </w:rPr>
        <w:tab/>
        <w:t xml:space="preserve">PECO’s </w:t>
      </w:r>
      <w:r w:rsidR="00E43DDC">
        <w:rPr>
          <w:b/>
          <w:sz w:val="26"/>
          <w:szCs w:val="26"/>
        </w:rPr>
        <w:t>Service Denial Notice</w:t>
      </w:r>
    </w:p>
    <w:p w:rsidR="002909DC" w:rsidRDefault="002909DC" w:rsidP="00AB553C">
      <w:pPr>
        <w:keepNext/>
        <w:widowControl/>
        <w:spacing w:line="360" w:lineRule="auto"/>
        <w:rPr>
          <w:sz w:val="26"/>
          <w:szCs w:val="26"/>
        </w:rPr>
      </w:pPr>
    </w:p>
    <w:p w:rsidR="002909DC" w:rsidRPr="002909DC" w:rsidRDefault="002909DC" w:rsidP="00AB553C">
      <w:pPr>
        <w:keepNext/>
        <w:widowControl/>
        <w:spacing w:line="360" w:lineRule="auto"/>
        <w:rPr>
          <w:b/>
          <w:sz w:val="26"/>
          <w:szCs w:val="26"/>
        </w:rPr>
      </w:pPr>
      <w:r>
        <w:rPr>
          <w:sz w:val="26"/>
          <w:szCs w:val="26"/>
        </w:rPr>
        <w:tab/>
      </w:r>
      <w:r>
        <w:rPr>
          <w:sz w:val="26"/>
          <w:szCs w:val="26"/>
        </w:rPr>
        <w:tab/>
      </w:r>
      <w:r w:rsidRPr="002909DC">
        <w:rPr>
          <w:b/>
          <w:sz w:val="26"/>
          <w:szCs w:val="26"/>
        </w:rPr>
        <w:t>a.</w:t>
      </w:r>
      <w:r w:rsidRPr="002909DC">
        <w:rPr>
          <w:b/>
          <w:sz w:val="26"/>
          <w:szCs w:val="26"/>
        </w:rPr>
        <w:tab/>
        <w:t>ALJ’s Initial Decision</w:t>
      </w:r>
    </w:p>
    <w:p w:rsidR="002909DC" w:rsidRPr="0034196F" w:rsidRDefault="002909DC" w:rsidP="00AB553C">
      <w:pPr>
        <w:keepNext/>
        <w:widowControl/>
        <w:spacing w:line="360" w:lineRule="auto"/>
        <w:rPr>
          <w:sz w:val="26"/>
          <w:szCs w:val="26"/>
        </w:rPr>
      </w:pPr>
    </w:p>
    <w:p w:rsidR="002909DC" w:rsidRDefault="002909DC" w:rsidP="002909DC">
      <w:pPr>
        <w:widowControl/>
        <w:spacing w:line="360" w:lineRule="auto"/>
        <w:rPr>
          <w:sz w:val="26"/>
          <w:szCs w:val="26"/>
        </w:rPr>
      </w:pPr>
      <w:r>
        <w:rPr>
          <w:sz w:val="26"/>
          <w:szCs w:val="26"/>
        </w:rPr>
        <w:tab/>
      </w:r>
      <w:r>
        <w:rPr>
          <w:sz w:val="26"/>
          <w:szCs w:val="26"/>
        </w:rPr>
        <w:tab/>
      </w:r>
      <w:r w:rsidRPr="00460F38">
        <w:rPr>
          <w:sz w:val="26"/>
          <w:szCs w:val="26"/>
        </w:rPr>
        <w:t>As noted</w:t>
      </w:r>
      <w:r w:rsidR="00A522D1" w:rsidRPr="00460F38">
        <w:rPr>
          <w:sz w:val="26"/>
          <w:szCs w:val="26"/>
        </w:rPr>
        <w:t xml:space="preserve"> above</w:t>
      </w:r>
      <w:r w:rsidRPr="00460F38">
        <w:rPr>
          <w:sz w:val="26"/>
          <w:szCs w:val="26"/>
        </w:rPr>
        <w:t xml:space="preserve">, </w:t>
      </w:r>
      <w:r w:rsidR="00A522D1" w:rsidRPr="00460F38">
        <w:rPr>
          <w:sz w:val="26"/>
          <w:szCs w:val="26"/>
        </w:rPr>
        <w:t>when the Complainant applied for utili</w:t>
      </w:r>
      <w:r w:rsidR="00984DB4">
        <w:rPr>
          <w:sz w:val="26"/>
          <w:szCs w:val="26"/>
        </w:rPr>
        <w:t>ty service at her Aspen Avenue a</w:t>
      </w:r>
      <w:r w:rsidR="00A522D1" w:rsidRPr="00460F38">
        <w:rPr>
          <w:sz w:val="26"/>
          <w:szCs w:val="26"/>
        </w:rPr>
        <w:t xml:space="preserve">ddress, </w:t>
      </w:r>
      <w:r w:rsidRPr="00460F38">
        <w:rPr>
          <w:sz w:val="26"/>
          <w:szCs w:val="26"/>
        </w:rPr>
        <w:t>PECO</w:t>
      </w:r>
      <w:r w:rsidR="00A522D1" w:rsidRPr="00460F38">
        <w:rPr>
          <w:sz w:val="26"/>
          <w:szCs w:val="26"/>
        </w:rPr>
        <w:t xml:space="preserve"> sent her</w:t>
      </w:r>
      <w:r w:rsidR="006B2465" w:rsidRPr="00460F38">
        <w:rPr>
          <w:sz w:val="26"/>
          <w:szCs w:val="26"/>
        </w:rPr>
        <w:t xml:space="preserve"> a </w:t>
      </w:r>
      <w:r w:rsidR="00E43DDC">
        <w:rPr>
          <w:sz w:val="26"/>
          <w:szCs w:val="26"/>
        </w:rPr>
        <w:t>Service Denial Notice</w:t>
      </w:r>
      <w:r w:rsidR="006B2465" w:rsidRPr="00460F38">
        <w:rPr>
          <w:sz w:val="26"/>
          <w:szCs w:val="26"/>
        </w:rPr>
        <w:t xml:space="preserve"> dated</w:t>
      </w:r>
      <w:r w:rsidR="00A522D1" w:rsidRPr="00460F38">
        <w:rPr>
          <w:sz w:val="26"/>
          <w:szCs w:val="26"/>
        </w:rPr>
        <w:t xml:space="preserve"> October 29, 2013</w:t>
      </w:r>
      <w:r w:rsidR="006B2465" w:rsidRPr="00460F38">
        <w:rPr>
          <w:sz w:val="26"/>
          <w:szCs w:val="26"/>
        </w:rPr>
        <w:t xml:space="preserve">, which, </w:t>
      </w:r>
      <w:r w:rsidR="006B2465" w:rsidRPr="00460F38">
        <w:rPr>
          <w:i/>
          <w:sz w:val="26"/>
          <w:szCs w:val="26"/>
        </w:rPr>
        <w:t>inter alia</w:t>
      </w:r>
      <w:r w:rsidR="006B2465" w:rsidRPr="00460F38">
        <w:rPr>
          <w:sz w:val="26"/>
          <w:szCs w:val="26"/>
        </w:rPr>
        <w:t>, indicated that she had an outstanding balance of $12,121.35 from her prior, 2</w:t>
      </w:r>
      <w:r w:rsidR="006B2465" w:rsidRPr="00460F38">
        <w:rPr>
          <w:sz w:val="26"/>
          <w:szCs w:val="26"/>
          <w:vertAlign w:val="superscript"/>
        </w:rPr>
        <w:t>nd</w:t>
      </w:r>
      <w:r w:rsidR="00652422">
        <w:rPr>
          <w:sz w:val="26"/>
          <w:szCs w:val="26"/>
        </w:rPr>
        <w:t xml:space="preserve"> Avenue</w:t>
      </w:r>
      <w:r w:rsidR="00984DB4">
        <w:rPr>
          <w:sz w:val="26"/>
          <w:szCs w:val="26"/>
        </w:rPr>
        <w:t xml:space="preserve"> address.  </w:t>
      </w:r>
      <w:r w:rsidR="006B2465" w:rsidRPr="00460F38">
        <w:rPr>
          <w:sz w:val="26"/>
          <w:szCs w:val="26"/>
        </w:rPr>
        <w:t>PECO Exh. 7.</w:t>
      </w:r>
      <w:r w:rsidR="00460F38">
        <w:rPr>
          <w:sz w:val="26"/>
          <w:szCs w:val="26"/>
        </w:rPr>
        <w:t xml:space="preserve">  </w:t>
      </w:r>
      <w:r w:rsidR="00984DB4">
        <w:rPr>
          <w:sz w:val="26"/>
          <w:szCs w:val="26"/>
        </w:rPr>
        <w:t>However, t</w:t>
      </w:r>
      <w:r>
        <w:rPr>
          <w:sz w:val="26"/>
          <w:szCs w:val="26"/>
        </w:rPr>
        <w:t xml:space="preserve">he ALJ found PECO’s October 29, 2013 </w:t>
      </w:r>
      <w:r w:rsidR="00E43DDC">
        <w:rPr>
          <w:sz w:val="26"/>
          <w:szCs w:val="26"/>
        </w:rPr>
        <w:t>Service Denial Notice</w:t>
      </w:r>
      <w:r>
        <w:rPr>
          <w:sz w:val="26"/>
          <w:szCs w:val="26"/>
        </w:rPr>
        <w:t xml:space="preserve"> to be defective because the </w:t>
      </w:r>
      <w:r w:rsidRPr="000F39F3">
        <w:rPr>
          <w:sz w:val="26"/>
          <w:szCs w:val="26"/>
        </w:rPr>
        <w:t>$12,121.35 balance</w:t>
      </w:r>
      <w:r>
        <w:rPr>
          <w:sz w:val="26"/>
          <w:szCs w:val="26"/>
        </w:rPr>
        <w:t xml:space="preserve"> referenced therein did not accrue at the 2</w:t>
      </w:r>
      <w:r w:rsidRPr="000F39F3">
        <w:rPr>
          <w:sz w:val="26"/>
          <w:szCs w:val="26"/>
          <w:vertAlign w:val="superscript"/>
        </w:rPr>
        <w:t>nd</w:t>
      </w:r>
      <w:r>
        <w:rPr>
          <w:sz w:val="26"/>
          <w:szCs w:val="26"/>
        </w:rPr>
        <w:t xml:space="preserve"> Avenue address in less than two years as indicated in the Notice, but was a compilation of balance transfers from multiple addresses.  I.D. at 22 (citing PECO Exh. 7; Finding of Fact 60, Table 3).  The ALJ asserted that PECO failed to detail these various addresses and related final balances in its </w:t>
      </w:r>
      <w:r w:rsidR="00E43DDC">
        <w:rPr>
          <w:sz w:val="26"/>
          <w:szCs w:val="26"/>
        </w:rPr>
        <w:t>Service Denial Notice</w:t>
      </w:r>
      <w:r>
        <w:rPr>
          <w:sz w:val="26"/>
          <w:szCs w:val="26"/>
        </w:rPr>
        <w:t>, whereby the Complainant could have challenged the balances as being outside the four-year limitation period specified in  52 Pa. Code § 56.35(a).  Thus, the ALJ concluded that the Company violated Section 56.36(b)(1)</w:t>
      </w:r>
      <w:r w:rsidR="009539AF">
        <w:rPr>
          <w:rStyle w:val="FootnoteReference"/>
          <w:sz w:val="26"/>
          <w:szCs w:val="26"/>
        </w:rPr>
        <w:footnoteReference w:id="17"/>
      </w:r>
      <w:r>
        <w:rPr>
          <w:sz w:val="26"/>
          <w:szCs w:val="26"/>
        </w:rPr>
        <w:t xml:space="preserve"> of the Commission’s Regulations and the reasonable service provisions of Section 1501 of the Code.  I.D. at 22.</w:t>
      </w:r>
    </w:p>
    <w:p w:rsidR="0081527D" w:rsidRDefault="0081527D" w:rsidP="00674DE5">
      <w:pPr>
        <w:widowControl/>
        <w:spacing w:line="360" w:lineRule="auto"/>
        <w:rPr>
          <w:sz w:val="26"/>
          <w:szCs w:val="26"/>
        </w:rPr>
      </w:pPr>
    </w:p>
    <w:p w:rsidR="004D385E" w:rsidRPr="008648BD" w:rsidRDefault="004D385E" w:rsidP="004D385E">
      <w:pPr>
        <w:keepNext/>
        <w:widowControl/>
        <w:spacing w:line="360" w:lineRule="auto"/>
        <w:rPr>
          <w:b/>
          <w:sz w:val="26"/>
          <w:szCs w:val="26"/>
        </w:rPr>
      </w:pPr>
      <w:r>
        <w:rPr>
          <w:b/>
          <w:sz w:val="26"/>
          <w:szCs w:val="26"/>
        </w:rPr>
        <w:lastRenderedPageBreak/>
        <w:tab/>
      </w:r>
      <w:r>
        <w:rPr>
          <w:b/>
          <w:sz w:val="26"/>
          <w:szCs w:val="26"/>
        </w:rPr>
        <w:tab/>
        <w:t>b</w:t>
      </w:r>
      <w:r w:rsidRPr="008648BD">
        <w:rPr>
          <w:b/>
          <w:sz w:val="26"/>
          <w:szCs w:val="26"/>
        </w:rPr>
        <w:t>.</w:t>
      </w:r>
      <w:r w:rsidRPr="008648BD">
        <w:rPr>
          <w:b/>
          <w:sz w:val="26"/>
          <w:szCs w:val="26"/>
        </w:rPr>
        <w:tab/>
        <w:t>PECO’s Exceptions</w:t>
      </w:r>
    </w:p>
    <w:p w:rsidR="004D385E" w:rsidRPr="00394793" w:rsidRDefault="004D385E" w:rsidP="004D385E">
      <w:pPr>
        <w:keepNext/>
        <w:widowControl/>
        <w:spacing w:line="360" w:lineRule="auto"/>
        <w:rPr>
          <w:sz w:val="26"/>
          <w:szCs w:val="26"/>
        </w:rPr>
      </w:pPr>
    </w:p>
    <w:p w:rsidR="004D385E" w:rsidRDefault="004D385E" w:rsidP="006C581A">
      <w:pPr>
        <w:widowControl/>
        <w:spacing w:line="360" w:lineRule="auto"/>
        <w:rPr>
          <w:sz w:val="26"/>
          <w:szCs w:val="26"/>
        </w:rPr>
      </w:pPr>
      <w:r w:rsidRPr="00394793">
        <w:rPr>
          <w:sz w:val="26"/>
          <w:szCs w:val="26"/>
        </w:rPr>
        <w:tab/>
      </w:r>
      <w:r w:rsidRPr="00394793">
        <w:rPr>
          <w:sz w:val="26"/>
          <w:szCs w:val="26"/>
        </w:rPr>
        <w:tab/>
        <w:t xml:space="preserve">PECO </w:t>
      </w:r>
      <w:r>
        <w:rPr>
          <w:sz w:val="26"/>
          <w:szCs w:val="26"/>
        </w:rPr>
        <w:t xml:space="preserve">takes issue with the ALJ’s finding that the October 29, 2013 </w:t>
      </w:r>
      <w:r w:rsidR="00E43DDC">
        <w:rPr>
          <w:sz w:val="26"/>
          <w:szCs w:val="26"/>
        </w:rPr>
        <w:t>Service Denial Notice</w:t>
      </w:r>
      <w:r>
        <w:rPr>
          <w:sz w:val="26"/>
          <w:szCs w:val="26"/>
        </w:rPr>
        <w:t xml:space="preserve"> was defective.  PECO reiterates that the amount of the balance stated in the Notice was accurate and did not exceed the four-year limitation period for the reasons discussed above.  Exc. at 15.  PECO also disagrees with the ALJ that the Complainant was unable to challenge the balances with respect to the four-year limitation period.  PECO asserts that the Complainant was aware that her total balance included final balances from prior addresses that had been transferred to her current account and that the </w:t>
      </w:r>
      <w:r w:rsidR="00E43DDC">
        <w:rPr>
          <w:sz w:val="26"/>
          <w:szCs w:val="26"/>
        </w:rPr>
        <w:t>Service Denial Notice</w:t>
      </w:r>
      <w:r>
        <w:rPr>
          <w:sz w:val="26"/>
          <w:szCs w:val="26"/>
        </w:rPr>
        <w:t xml:space="preserve"> “hid nothing from her about the genesis or nature of those balances.”  </w:t>
      </w:r>
      <w:r w:rsidRPr="00C07413">
        <w:rPr>
          <w:i/>
          <w:sz w:val="26"/>
          <w:szCs w:val="26"/>
        </w:rPr>
        <w:t>Id</w:t>
      </w:r>
      <w:r>
        <w:rPr>
          <w:sz w:val="26"/>
          <w:szCs w:val="26"/>
        </w:rPr>
        <w:t xml:space="preserve">. at 15-16.   </w:t>
      </w:r>
    </w:p>
    <w:p w:rsidR="004D385E" w:rsidRDefault="004D385E" w:rsidP="004D385E">
      <w:pPr>
        <w:widowControl/>
        <w:spacing w:line="360" w:lineRule="auto"/>
        <w:rPr>
          <w:sz w:val="26"/>
          <w:szCs w:val="26"/>
        </w:rPr>
      </w:pPr>
    </w:p>
    <w:p w:rsidR="004D385E" w:rsidRPr="00B42B90" w:rsidRDefault="004D385E" w:rsidP="004D385E">
      <w:pPr>
        <w:keepNext/>
        <w:widowControl/>
        <w:spacing w:line="360" w:lineRule="auto"/>
        <w:rPr>
          <w:b/>
          <w:sz w:val="26"/>
          <w:szCs w:val="26"/>
        </w:rPr>
      </w:pPr>
      <w:r w:rsidRPr="00317695">
        <w:rPr>
          <w:sz w:val="26"/>
          <w:szCs w:val="26"/>
        </w:rPr>
        <w:tab/>
      </w:r>
      <w:r w:rsidRPr="00317695">
        <w:rPr>
          <w:sz w:val="26"/>
          <w:szCs w:val="26"/>
        </w:rPr>
        <w:tab/>
      </w:r>
      <w:r>
        <w:rPr>
          <w:b/>
          <w:sz w:val="26"/>
          <w:szCs w:val="26"/>
        </w:rPr>
        <w:t>c</w:t>
      </w:r>
      <w:r w:rsidRPr="00B42B90">
        <w:rPr>
          <w:b/>
          <w:sz w:val="26"/>
          <w:szCs w:val="26"/>
        </w:rPr>
        <w:t>.</w:t>
      </w:r>
      <w:r w:rsidRPr="00B42B90">
        <w:rPr>
          <w:b/>
          <w:sz w:val="26"/>
          <w:szCs w:val="26"/>
        </w:rPr>
        <w:tab/>
        <w:t>Complainant’s Replies to PECO’s Exceptions</w:t>
      </w:r>
    </w:p>
    <w:p w:rsidR="004D385E" w:rsidRDefault="004D385E" w:rsidP="004D385E">
      <w:pPr>
        <w:keepNext/>
        <w:widowControl/>
        <w:spacing w:line="360" w:lineRule="auto"/>
        <w:rPr>
          <w:sz w:val="26"/>
          <w:szCs w:val="26"/>
        </w:rPr>
      </w:pPr>
    </w:p>
    <w:p w:rsidR="004D385E" w:rsidRPr="00317695" w:rsidRDefault="004D385E" w:rsidP="004D385E">
      <w:pPr>
        <w:widowControl/>
        <w:spacing w:line="360" w:lineRule="auto"/>
        <w:rPr>
          <w:sz w:val="26"/>
          <w:szCs w:val="26"/>
        </w:rPr>
      </w:pPr>
      <w:r>
        <w:rPr>
          <w:sz w:val="26"/>
          <w:szCs w:val="26"/>
        </w:rPr>
        <w:tab/>
      </w:r>
      <w:r>
        <w:rPr>
          <w:sz w:val="26"/>
          <w:szCs w:val="26"/>
        </w:rPr>
        <w:tab/>
        <w:t>The Complainant did not reply to PECO’s Exception on this issue.</w:t>
      </w:r>
    </w:p>
    <w:p w:rsidR="004D385E" w:rsidRDefault="004D385E" w:rsidP="004D385E">
      <w:pPr>
        <w:widowControl/>
        <w:spacing w:line="360" w:lineRule="auto"/>
        <w:rPr>
          <w:sz w:val="26"/>
          <w:szCs w:val="26"/>
          <w:highlight w:val="green"/>
        </w:rPr>
      </w:pPr>
    </w:p>
    <w:p w:rsidR="004D385E" w:rsidRPr="00F70B8D" w:rsidRDefault="004D385E" w:rsidP="002847E8">
      <w:pPr>
        <w:keepNext/>
        <w:keepLines/>
        <w:widowControl/>
        <w:spacing w:line="360" w:lineRule="auto"/>
        <w:rPr>
          <w:b/>
          <w:sz w:val="26"/>
          <w:szCs w:val="26"/>
        </w:rPr>
      </w:pPr>
      <w:r>
        <w:rPr>
          <w:b/>
          <w:sz w:val="26"/>
          <w:szCs w:val="26"/>
        </w:rPr>
        <w:tab/>
      </w:r>
      <w:r>
        <w:rPr>
          <w:b/>
          <w:sz w:val="26"/>
          <w:szCs w:val="26"/>
        </w:rPr>
        <w:tab/>
        <w:t>d</w:t>
      </w:r>
      <w:r w:rsidRPr="00F70B8D">
        <w:rPr>
          <w:b/>
          <w:sz w:val="26"/>
          <w:szCs w:val="26"/>
        </w:rPr>
        <w:t>.</w:t>
      </w:r>
      <w:r w:rsidRPr="00F70B8D">
        <w:rPr>
          <w:b/>
          <w:sz w:val="26"/>
          <w:szCs w:val="26"/>
        </w:rPr>
        <w:tab/>
        <w:t>Disposition</w:t>
      </w:r>
    </w:p>
    <w:p w:rsidR="004D385E" w:rsidRDefault="004D385E" w:rsidP="002847E8">
      <w:pPr>
        <w:keepNext/>
        <w:keepLines/>
        <w:widowControl/>
        <w:spacing w:line="360" w:lineRule="auto"/>
        <w:rPr>
          <w:sz w:val="26"/>
          <w:szCs w:val="26"/>
        </w:rPr>
      </w:pPr>
    </w:p>
    <w:p w:rsidR="0081527D" w:rsidRDefault="005F36C4" w:rsidP="00674DE5">
      <w:pPr>
        <w:widowControl/>
        <w:spacing w:line="360" w:lineRule="auto"/>
        <w:rPr>
          <w:sz w:val="26"/>
          <w:szCs w:val="26"/>
        </w:rPr>
      </w:pPr>
      <w:r>
        <w:rPr>
          <w:sz w:val="26"/>
          <w:szCs w:val="26"/>
        </w:rPr>
        <w:tab/>
      </w:r>
      <w:r>
        <w:rPr>
          <w:sz w:val="26"/>
          <w:szCs w:val="26"/>
        </w:rPr>
        <w:tab/>
      </w:r>
      <w:r w:rsidRPr="004922B1">
        <w:rPr>
          <w:sz w:val="26"/>
          <w:szCs w:val="26"/>
        </w:rPr>
        <w:t xml:space="preserve">We agree with the ALJ that the </w:t>
      </w:r>
      <w:r w:rsidR="00860B01" w:rsidRPr="004922B1">
        <w:rPr>
          <w:sz w:val="26"/>
          <w:szCs w:val="26"/>
        </w:rPr>
        <w:t xml:space="preserve">October 29, 2013 </w:t>
      </w:r>
      <w:r w:rsidR="0014400F" w:rsidRPr="004922B1">
        <w:rPr>
          <w:sz w:val="26"/>
          <w:szCs w:val="26"/>
        </w:rPr>
        <w:t>Service Denial Notice</w:t>
      </w:r>
      <w:r w:rsidR="00860B01" w:rsidRPr="004922B1">
        <w:rPr>
          <w:sz w:val="26"/>
          <w:szCs w:val="26"/>
        </w:rPr>
        <w:t xml:space="preserve"> </w:t>
      </w:r>
      <w:r w:rsidR="00C6028F" w:rsidRPr="004922B1">
        <w:rPr>
          <w:sz w:val="26"/>
          <w:szCs w:val="26"/>
        </w:rPr>
        <w:t>did not conform to the requirements of 52 Pa. Code § 56.36(b)(1), because</w:t>
      </w:r>
      <w:r w:rsidR="0016216C" w:rsidRPr="004922B1">
        <w:rPr>
          <w:sz w:val="26"/>
          <w:szCs w:val="26"/>
        </w:rPr>
        <w:t xml:space="preserve"> it misrepresented</w:t>
      </w:r>
      <w:r w:rsidR="00CA0B3D" w:rsidRPr="004922B1">
        <w:rPr>
          <w:sz w:val="26"/>
          <w:szCs w:val="26"/>
        </w:rPr>
        <w:t xml:space="preserve"> the amount of the unpaid balance that the Complainant</w:t>
      </w:r>
      <w:r w:rsidR="0016216C" w:rsidRPr="004922B1">
        <w:rPr>
          <w:sz w:val="26"/>
          <w:szCs w:val="26"/>
        </w:rPr>
        <w:t xml:space="preserve"> was lawfully required to pay in order to receive utility service from PECO</w:t>
      </w:r>
      <w:r w:rsidR="00CA0B3D" w:rsidRPr="004922B1">
        <w:rPr>
          <w:sz w:val="26"/>
          <w:szCs w:val="26"/>
        </w:rPr>
        <w:t xml:space="preserve">.  As we determined above, </w:t>
      </w:r>
      <w:r w:rsidR="0099417E" w:rsidRPr="004922B1">
        <w:rPr>
          <w:sz w:val="26"/>
          <w:szCs w:val="26"/>
        </w:rPr>
        <w:t xml:space="preserve">the outstanding balance </w:t>
      </w:r>
      <w:r w:rsidR="00C6028F" w:rsidRPr="004922B1">
        <w:rPr>
          <w:sz w:val="26"/>
          <w:szCs w:val="26"/>
        </w:rPr>
        <w:t>of $12,121.35 identified</w:t>
      </w:r>
      <w:r w:rsidR="00CA0B3D" w:rsidRPr="004922B1">
        <w:rPr>
          <w:sz w:val="26"/>
          <w:szCs w:val="26"/>
        </w:rPr>
        <w:t xml:space="preserve"> in the</w:t>
      </w:r>
      <w:r w:rsidR="00C6028F" w:rsidRPr="004922B1">
        <w:rPr>
          <w:sz w:val="26"/>
          <w:szCs w:val="26"/>
        </w:rPr>
        <w:t xml:space="preserve"> </w:t>
      </w:r>
      <w:r w:rsidR="0014400F" w:rsidRPr="004922B1">
        <w:rPr>
          <w:sz w:val="26"/>
          <w:szCs w:val="26"/>
        </w:rPr>
        <w:t>Service Denial Notice</w:t>
      </w:r>
      <w:r w:rsidR="00CA0B3D" w:rsidRPr="004922B1">
        <w:rPr>
          <w:sz w:val="26"/>
          <w:szCs w:val="26"/>
        </w:rPr>
        <w:t xml:space="preserve"> </w:t>
      </w:r>
      <w:r w:rsidR="00C6028F" w:rsidRPr="004922B1">
        <w:rPr>
          <w:sz w:val="26"/>
          <w:szCs w:val="26"/>
        </w:rPr>
        <w:t>included amounts that had accrued more than four years prior to the date of the Complainant’s request for service</w:t>
      </w:r>
      <w:r w:rsidR="00CA0B3D" w:rsidRPr="004922B1">
        <w:rPr>
          <w:sz w:val="26"/>
          <w:szCs w:val="26"/>
        </w:rPr>
        <w:t>.</w:t>
      </w:r>
      <w:r w:rsidR="00AD211C" w:rsidRPr="004922B1">
        <w:rPr>
          <w:sz w:val="26"/>
          <w:szCs w:val="26"/>
        </w:rPr>
        <w:t xml:space="preserve">  </w:t>
      </w:r>
      <w:r w:rsidR="00C6028F" w:rsidRPr="004922B1">
        <w:rPr>
          <w:sz w:val="26"/>
          <w:szCs w:val="26"/>
        </w:rPr>
        <w:t>Because PECO was prohibited by 52 Pa. Code §</w:t>
      </w:r>
      <w:r w:rsidR="00AD211C" w:rsidRPr="004922B1">
        <w:rPr>
          <w:sz w:val="26"/>
          <w:szCs w:val="26"/>
        </w:rPr>
        <w:t> </w:t>
      </w:r>
      <w:r w:rsidR="00C6028F" w:rsidRPr="004922B1">
        <w:rPr>
          <w:sz w:val="26"/>
          <w:szCs w:val="26"/>
        </w:rPr>
        <w:t xml:space="preserve">56.35(a) from requiring the Complainant to satisfy that total balance before providing service to her at Aspen Avenue, the inclusion </w:t>
      </w:r>
      <w:r w:rsidR="00CA0B3D" w:rsidRPr="004922B1">
        <w:rPr>
          <w:sz w:val="26"/>
          <w:szCs w:val="26"/>
        </w:rPr>
        <w:t xml:space="preserve">of that amount in the </w:t>
      </w:r>
      <w:r w:rsidR="0014400F" w:rsidRPr="004922B1">
        <w:rPr>
          <w:sz w:val="26"/>
          <w:szCs w:val="26"/>
        </w:rPr>
        <w:t>Service Denial Notice</w:t>
      </w:r>
      <w:r w:rsidR="00CA0B3D" w:rsidRPr="004922B1">
        <w:rPr>
          <w:sz w:val="26"/>
          <w:szCs w:val="26"/>
        </w:rPr>
        <w:t xml:space="preserve"> was improper.</w:t>
      </w:r>
      <w:r w:rsidR="00A31025" w:rsidRPr="004922B1">
        <w:rPr>
          <w:sz w:val="26"/>
          <w:szCs w:val="26"/>
        </w:rPr>
        <w:t xml:space="preserve">  Accordingly, we will deny PECO’s Exceptions on this issue and adopt the findings of the Initial Decision.</w:t>
      </w:r>
    </w:p>
    <w:p w:rsidR="00D332E7" w:rsidRPr="00D332E7" w:rsidRDefault="00D332E7" w:rsidP="00FF357A">
      <w:pPr>
        <w:keepNext/>
        <w:widowControl/>
        <w:spacing w:line="360" w:lineRule="auto"/>
        <w:rPr>
          <w:b/>
          <w:sz w:val="26"/>
          <w:szCs w:val="26"/>
        </w:rPr>
      </w:pPr>
      <w:r>
        <w:rPr>
          <w:sz w:val="26"/>
          <w:szCs w:val="26"/>
        </w:rPr>
        <w:lastRenderedPageBreak/>
        <w:tab/>
      </w:r>
      <w:r w:rsidR="00C90502">
        <w:rPr>
          <w:b/>
          <w:sz w:val="26"/>
          <w:szCs w:val="26"/>
        </w:rPr>
        <w:t>5</w:t>
      </w:r>
      <w:r w:rsidRPr="00D332E7">
        <w:rPr>
          <w:b/>
          <w:sz w:val="26"/>
          <w:szCs w:val="26"/>
        </w:rPr>
        <w:t>.</w:t>
      </w:r>
      <w:r w:rsidRPr="00D332E7">
        <w:rPr>
          <w:b/>
          <w:sz w:val="26"/>
          <w:szCs w:val="26"/>
        </w:rPr>
        <w:tab/>
        <w:t>Investigation of High Bill Complaint</w:t>
      </w:r>
    </w:p>
    <w:p w:rsidR="00D332E7" w:rsidRDefault="00D332E7" w:rsidP="00FF357A">
      <w:pPr>
        <w:keepNext/>
        <w:widowControl/>
        <w:spacing w:line="360" w:lineRule="auto"/>
        <w:rPr>
          <w:sz w:val="26"/>
          <w:szCs w:val="26"/>
        </w:rPr>
      </w:pPr>
    </w:p>
    <w:p w:rsidR="0023153A" w:rsidRPr="0023153A" w:rsidRDefault="0023153A" w:rsidP="00FF357A">
      <w:pPr>
        <w:keepNext/>
        <w:widowControl/>
        <w:spacing w:line="360" w:lineRule="auto"/>
        <w:rPr>
          <w:b/>
          <w:sz w:val="26"/>
          <w:szCs w:val="26"/>
        </w:rPr>
      </w:pPr>
      <w:r>
        <w:rPr>
          <w:sz w:val="26"/>
          <w:szCs w:val="26"/>
        </w:rPr>
        <w:tab/>
      </w:r>
      <w:r>
        <w:rPr>
          <w:sz w:val="26"/>
          <w:szCs w:val="26"/>
        </w:rPr>
        <w:tab/>
      </w:r>
      <w:r w:rsidRPr="0023153A">
        <w:rPr>
          <w:b/>
          <w:sz w:val="26"/>
          <w:szCs w:val="26"/>
        </w:rPr>
        <w:t>a.</w:t>
      </w:r>
      <w:r w:rsidRPr="0023153A">
        <w:rPr>
          <w:b/>
          <w:sz w:val="26"/>
          <w:szCs w:val="26"/>
        </w:rPr>
        <w:tab/>
        <w:t>ALJ’s Initial Decision</w:t>
      </w:r>
    </w:p>
    <w:p w:rsidR="0023153A" w:rsidRDefault="0023153A" w:rsidP="00FF357A">
      <w:pPr>
        <w:keepNext/>
        <w:widowControl/>
        <w:spacing w:line="360" w:lineRule="auto"/>
        <w:rPr>
          <w:sz w:val="26"/>
          <w:szCs w:val="26"/>
        </w:rPr>
      </w:pPr>
    </w:p>
    <w:p w:rsidR="004D485B" w:rsidRDefault="0023153A" w:rsidP="0074563B">
      <w:pPr>
        <w:widowControl/>
        <w:spacing w:line="360" w:lineRule="auto"/>
        <w:rPr>
          <w:sz w:val="26"/>
          <w:szCs w:val="26"/>
        </w:rPr>
      </w:pPr>
      <w:r>
        <w:rPr>
          <w:sz w:val="26"/>
          <w:szCs w:val="26"/>
        </w:rPr>
        <w:tab/>
      </w:r>
      <w:r>
        <w:rPr>
          <w:sz w:val="26"/>
          <w:szCs w:val="26"/>
        </w:rPr>
        <w:tab/>
        <w:t>The ALJ also</w:t>
      </w:r>
      <w:r w:rsidR="00205386">
        <w:rPr>
          <w:sz w:val="26"/>
          <w:szCs w:val="26"/>
        </w:rPr>
        <w:t xml:space="preserve"> addressed the question of whether PECO </w:t>
      </w:r>
      <w:r w:rsidR="00965D14">
        <w:rPr>
          <w:sz w:val="26"/>
          <w:szCs w:val="26"/>
        </w:rPr>
        <w:t>properly investigate</w:t>
      </w:r>
      <w:r w:rsidR="00205386">
        <w:rPr>
          <w:sz w:val="26"/>
          <w:szCs w:val="26"/>
        </w:rPr>
        <w:t>d</w:t>
      </w:r>
      <w:r w:rsidR="00965D14">
        <w:rPr>
          <w:sz w:val="26"/>
          <w:szCs w:val="26"/>
        </w:rPr>
        <w:t xml:space="preserve"> calls by the Com</w:t>
      </w:r>
      <w:r w:rsidR="00205386">
        <w:rPr>
          <w:sz w:val="26"/>
          <w:szCs w:val="26"/>
        </w:rPr>
        <w:t>plainant question</w:t>
      </w:r>
      <w:r w:rsidR="007145F8">
        <w:rPr>
          <w:sz w:val="26"/>
          <w:szCs w:val="26"/>
        </w:rPr>
        <w:t xml:space="preserve">ing why her bills were so high.  </w:t>
      </w:r>
      <w:r w:rsidR="00465A00">
        <w:rPr>
          <w:sz w:val="26"/>
          <w:szCs w:val="26"/>
        </w:rPr>
        <w:t>In this regard, the ALJ noted</w:t>
      </w:r>
      <w:r w:rsidR="00F03558">
        <w:rPr>
          <w:sz w:val="26"/>
          <w:szCs w:val="26"/>
        </w:rPr>
        <w:t xml:space="preserve"> that Section </w:t>
      </w:r>
      <w:r w:rsidR="00195016" w:rsidRPr="007A6E19">
        <w:rPr>
          <w:sz w:val="26"/>
          <w:szCs w:val="26"/>
        </w:rPr>
        <w:t>56.151</w:t>
      </w:r>
      <w:r w:rsidR="00F03558">
        <w:rPr>
          <w:sz w:val="26"/>
          <w:szCs w:val="26"/>
        </w:rPr>
        <w:t xml:space="preserve"> of the Commission’s Regulations</w:t>
      </w:r>
      <w:r w:rsidR="004D485B">
        <w:rPr>
          <w:sz w:val="26"/>
          <w:szCs w:val="26"/>
        </w:rPr>
        <w:t xml:space="preserve"> provide</w:t>
      </w:r>
      <w:r w:rsidR="009B6EB7">
        <w:rPr>
          <w:sz w:val="26"/>
          <w:szCs w:val="26"/>
        </w:rPr>
        <w:t>s</w:t>
      </w:r>
      <w:r w:rsidR="004D485B">
        <w:rPr>
          <w:sz w:val="26"/>
          <w:szCs w:val="26"/>
        </w:rPr>
        <w:t>, in part, as follows:</w:t>
      </w:r>
    </w:p>
    <w:p w:rsidR="007145F8" w:rsidRDefault="007145F8" w:rsidP="0074563B">
      <w:pPr>
        <w:widowControl/>
        <w:spacing w:line="360" w:lineRule="auto"/>
        <w:rPr>
          <w:sz w:val="26"/>
          <w:szCs w:val="26"/>
        </w:rPr>
      </w:pPr>
    </w:p>
    <w:p w:rsidR="00465A00" w:rsidRDefault="00465A00" w:rsidP="0004514A">
      <w:pPr>
        <w:keepNext/>
        <w:widowControl/>
        <w:ind w:left="1440" w:right="1440"/>
        <w:rPr>
          <w:sz w:val="26"/>
          <w:szCs w:val="26"/>
        </w:rPr>
      </w:pPr>
      <w:r w:rsidRPr="00465A00">
        <w:rPr>
          <w:sz w:val="26"/>
          <w:szCs w:val="26"/>
        </w:rPr>
        <w:t>Upon initiation of a dispute covered by this section, the utility shall:</w:t>
      </w:r>
    </w:p>
    <w:p w:rsidR="00465A00" w:rsidRPr="00465A00" w:rsidRDefault="00465A00" w:rsidP="0004514A">
      <w:pPr>
        <w:keepNext/>
        <w:widowControl/>
        <w:ind w:left="1440" w:right="1440"/>
        <w:rPr>
          <w:sz w:val="26"/>
          <w:szCs w:val="26"/>
        </w:rPr>
      </w:pPr>
    </w:p>
    <w:p w:rsidR="00465A00" w:rsidRPr="00465A00" w:rsidRDefault="00465A00" w:rsidP="00195016">
      <w:pPr>
        <w:widowControl/>
        <w:ind w:left="1440" w:right="1440"/>
        <w:jc w:val="center"/>
        <w:rPr>
          <w:sz w:val="26"/>
          <w:szCs w:val="26"/>
        </w:rPr>
      </w:pPr>
      <w:r w:rsidRPr="00465A00">
        <w:rPr>
          <w:sz w:val="26"/>
          <w:szCs w:val="26"/>
        </w:rPr>
        <w:t>…</w:t>
      </w:r>
    </w:p>
    <w:p w:rsidR="00465A00" w:rsidRPr="00465A00" w:rsidRDefault="00465A00" w:rsidP="00195016">
      <w:pPr>
        <w:widowControl/>
        <w:ind w:left="1440" w:right="1440"/>
        <w:rPr>
          <w:sz w:val="26"/>
          <w:szCs w:val="26"/>
        </w:rPr>
      </w:pPr>
      <w:r w:rsidRPr="00465A00">
        <w:rPr>
          <w:sz w:val="26"/>
          <w:szCs w:val="26"/>
        </w:rPr>
        <w:tab/>
      </w:r>
      <w:r w:rsidRPr="00465A00">
        <w:rPr>
          <w:sz w:val="26"/>
          <w:szCs w:val="26"/>
        </w:rPr>
        <w:tab/>
      </w:r>
    </w:p>
    <w:p w:rsidR="00465A00" w:rsidRPr="00465A00" w:rsidRDefault="00195016" w:rsidP="00195016">
      <w:pPr>
        <w:widowControl/>
        <w:ind w:left="1440" w:right="1440"/>
        <w:rPr>
          <w:sz w:val="26"/>
          <w:szCs w:val="26"/>
        </w:rPr>
      </w:pPr>
      <w:r>
        <w:rPr>
          <w:sz w:val="26"/>
          <w:szCs w:val="26"/>
        </w:rPr>
        <w:tab/>
      </w:r>
      <w:r w:rsidR="00465A00" w:rsidRPr="00465A00">
        <w:rPr>
          <w:sz w:val="26"/>
          <w:szCs w:val="26"/>
        </w:rPr>
        <w:t>(2) Investigate the matter using methods reasonable under the</w:t>
      </w:r>
      <w:r w:rsidR="00465A00">
        <w:rPr>
          <w:sz w:val="26"/>
          <w:szCs w:val="26"/>
        </w:rPr>
        <w:t xml:space="preserve"> </w:t>
      </w:r>
      <w:r w:rsidR="00465A00" w:rsidRPr="00465A00">
        <w:rPr>
          <w:sz w:val="26"/>
          <w:szCs w:val="26"/>
        </w:rPr>
        <w:t xml:space="preserve">circumstances, which may include telephone or personal conferences, or both with the ratepayer or occupant. </w:t>
      </w:r>
    </w:p>
    <w:p w:rsidR="00465A00" w:rsidRPr="00465A00" w:rsidRDefault="00465A00" w:rsidP="00195016">
      <w:pPr>
        <w:widowControl/>
        <w:ind w:left="1440" w:right="1440"/>
        <w:rPr>
          <w:sz w:val="26"/>
          <w:szCs w:val="26"/>
        </w:rPr>
      </w:pPr>
    </w:p>
    <w:p w:rsidR="00465A00" w:rsidRDefault="00465A00" w:rsidP="00195016">
      <w:pPr>
        <w:widowControl/>
        <w:ind w:left="1440" w:right="1440"/>
        <w:jc w:val="center"/>
        <w:rPr>
          <w:sz w:val="26"/>
          <w:szCs w:val="26"/>
        </w:rPr>
      </w:pPr>
      <w:r w:rsidRPr="00465A00">
        <w:rPr>
          <w:sz w:val="26"/>
          <w:szCs w:val="26"/>
        </w:rPr>
        <w:t>…</w:t>
      </w:r>
    </w:p>
    <w:p w:rsidR="00465A00" w:rsidRPr="00465A00" w:rsidRDefault="00465A00" w:rsidP="00195016">
      <w:pPr>
        <w:widowControl/>
        <w:ind w:left="1440" w:right="1440"/>
        <w:rPr>
          <w:sz w:val="26"/>
          <w:szCs w:val="26"/>
        </w:rPr>
      </w:pPr>
    </w:p>
    <w:p w:rsidR="00465A00" w:rsidRPr="00465A00" w:rsidRDefault="00195016" w:rsidP="00195016">
      <w:pPr>
        <w:widowControl/>
        <w:ind w:left="1440" w:right="1440"/>
        <w:rPr>
          <w:sz w:val="26"/>
          <w:szCs w:val="26"/>
        </w:rPr>
      </w:pPr>
      <w:r>
        <w:rPr>
          <w:sz w:val="26"/>
          <w:szCs w:val="26"/>
        </w:rPr>
        <w:tab/>
      </w:r>
      <w:r w:rsidR="00465A00" w:rsidRPr="00465A00">
        <w:rPr>
          <w:sz w:val="26"/>
          <w:szCs w:val="26"/>
        </w:rPr>
        <w:t>(5) Within 30 days of the initiation of the disp</w:t>
      </w:r>
      <w:r w:rsidR="00465A00">
        <w:rPr>
          <w:sz w:val="26"/>
          <w:szCs w:val="26"/>
        </w:rPr>
        <w:t xml:space="preserve">ute, issue its report to the complaining </w:t>
      </w:r>
      <w:r w:rsidR="00465A00" w:rsidRPr="00465A00">
        <w:rPr>
          <w:sz w:val="26"/>
          <w:szCs w:val="26"/>
        </w:rPr>
        <w:t>party.  The public utility shall inform the complai</w:t>
      </w:r>
      <w:r w:rsidR="00465A00">
        <w:rPr>
          <w:sz w:val="26"/>
          <w:szCs w:val="26"/>
        </w:rPr>
        <w:t xml:space="preserve">ning party that the report is </w:t>
      </w:r>
      <w:r w:rsidR="00465A00" w:rsidRPr="00465A00">
        <w:rPr>
          <w:sz w:val="26"/>
          <w:szCs w:val="26"/>
        </w:rPr>
        <w:t>available upon request.</w:t>
      </w:r>
    </w:p>
    <w:p w:rsidR="00465A00" w:rsidRPr="00465A00" w:rsidRDefault="00465A00" w:rsidP="00195016">
      <w:pPr>
        <w:widowControl/>
        <w:ind w:left="1440" w:right="1440"/>
        <w:rPr>
          <w:sz w:val="26"/>
          <w:szCs w:val="26"/>
        </w:rPr>
      </w:pPr>
    </w:p>
    <w:p w:rsidR="00465A00" w:rsidRDefault="00465A00" w:rsidP="00195016">
      <w:pPr>
        <w:widowControl/>
        <w:ind w:left="2160" w:right="1440"/>
        <w:rPr>
          <w:bCs/>
          <w:sz w:val="26"/>
          <w:szCs w:val="26"/>
        </w:rPr>
      </w:pPr>
      <w:r w:rsidRPr="00465A00">
        <w:rPr>
          <w:sz w:val="26"/>
          <w:szCs w:val="26"/>
        </w:rPr>
        <w:t xml:space="preserve">(i)   If the complainant is not satisfied with the dispute resolution, the utility company report must be in writing and conform to § 56.152 (relating to contents of the public utility company report).  Further, in these instances the written report shall be sent to the complaining party if requested or if the public utility deems it necessary. </w:t>
      </w:r>
      <w:r w:rsidRPr="00465A00">
        <w:rPr>
          <w:bCs/>
          <w:sz w:val="26"/>
          <w:szCs w:val="26"/>
        </w:rPr>
        <w:tab/>
      </w:r>
    </w:p>
    <w:p w:rsidR="00195016" w:rsidRDefault="00195016" w:rsidP="00195016">
      <w:pPr>
        <w:widowControl/>
        <w:rPr>
          <w:bCs/>
          <w:sz w:val="26"/>
          <w:szCs w:val="26"/>
        </w:rPr>
      </w:pPr>
    </w:p>
    <w:p w:rsidR="00195016" w:rsidRDefault="00195016" w:rsidP="00195016">
      <w:pPr>
        <w:widowControl/>
        <w:rPr>
          <w:bCs/>
          <w:sz w:val="26"/>
          <w:szCs w:val="26"/>
        </w:rPr>
      </w:pPr>
    </w:p>
    <w:p w:rsidR="00DD55BD" w:rsidRDefault="009B6EB7" w:rsidP="0074563B">
      <w:pPr>
        <w:widowControl/>
        <w:spacing w:line="360" w:lineRule="auto"/>
        <w:rPr>
          <w:sz w:val="26"/>
          <w:szCs w:val="26"/>
        </w:rPr>
      </w:pPr>
      <w:r>
        <w:rPr>
          <w:sz w:val="26"/>
          <w:szCs w:val="26"/>
        </w:rPr>
        <w:t>I.D. at 27-28</w:t>
      </w:r>
      <w:r w:rsidR="00ED5070">
        <w:rPr>
          <w:sz w:val="26"/>
          <w:szCs w:val="26"/>
        </w:rPr>
        <w:t xml:space="preserve"> (</w:t>
      </w:r>
      <w:r w:rsidR="00D41D77">
        <w:rPr>
          <w:sz w:val="26"/>
          <w:szCs w:val="26"/>
        </w:rPr>
        <w:t>q</w:t>
      </w:r>
      <w:r w:rsidR="00ED5070">
        <w:rPr>
          <w:sz w:val="26"/>
          <w:szCs w:val="26"/>
        </w:rPr>
        <w:t>uoting</w:t>
      </w:r>
      <w:r w:rsidR="00F03558">
        <w:rPr>
          <w:sz w:val="26"/>
          <w:szCs w:val="26"/>
        </w:rPr>
        <w:t xml:space="preserve"> </w:t>
      </w:r>
      <w:r w:rsidR="00F03558" w:rsidRPr="007A6E19">
        <w:rPr>
          <w:sz w:val="26"/>
          <w:szCs w:val="26"/>
        </w:rPr>
        <w:t>52 Pa</w:t>
      </w:r>
      <w:r w:rsidR="00F03558">
        <w:rPr>
          <w:sz w:val="26"/>
          <w:szCs w:val="26"/>
        </w:rPr>
        <w:t xml:space="preserve">. </w:t>
      </w:r>
      <w:r w:rsidR="00F03558" w:rsidRPr="007A6E19">
        <w:rPr>
          <w:sz w:val="26"/>
          <w:szCs w:val="26"/>
        </w:rPr>
        <w:t>Code §</w:t>
      </w:r>
      <w:r w:rsidR="00F03558">
        <w:rPr>
          <w:sz w:val="26"/>
          <w:szCs w:val="26"/>
        </w:rPr>
        <w:t>§</w:t>
      </w:r>
      <w:r w:rsidR="00F03558" w:rsidRPr="007A6E19">
        <w:rPr>
          <w:sz w:val="26"/>
          <w:szCs w:val="26"/>
        </w:rPr>
        <w:t xml:space="preserve"> 56.151</w:t>
      </w:r>
      <w:r w:rsidR="00F03558">
        <w:rPr>
          <w:sz w:val="26"/>
          <w:szCs w:val="26"/>
        </w:rPr>
        <w:t>(2) and (5)(i)).</w:t>
      </w:r>
    </w:p>
    <w:p w:rsidR="007145F8" w:rsidRDefault="007145F8" w:rsidP="0074563B">
      <w:pPr>
        <w:widowControl/>
        <w:spacing w:line="360" w:lineRule="auto"/>
        <w:rPr>
          <w:sz w:val="26"/>
          <w:szCs w:val="26"/>
        </w:rPr>
      </w:pPr>
    </w:p>
    <w:p w:rsidR="0082661F" w:rsidRDefault="00E1031D" w:rsidP="0074563B">
      <w:pPr>
        <w:widowControl/>
        <w:spacing w:line="360" w:lineRule="auto"/>
        <w:rPr>
          <w:sz w:val="26"/>
          <w:szCs w:val="26"/>
        </w:rPr>
      </w:pPr>
      <w:r>
        <w:rPr>
          <w:sz w:val="26"/>
          <w:szCs w:val="26"/>
        </w:rPr>
        <w:lastRenderedPageBreak/>
        <w:tab/>
      </w:r>
      <w:r>
        <w:rPr>
          <w:sz w:val="26"/>
          <w:szCs w:val="26"/>
        </w:rPr>
        <w:tab/>
      </w:r>
      <w:r w:rsidR="00205386">
        <w:rPr>
          <w:sz w:val="26"/>
          <w:szCs w:val="26"/>
        </w:rPr>
        <w:t>The ALJ</w:t>
      </w:r>
      <w:r w:rsidR="00B87381">
        <w:rPr>
          <w:sz w:val="26"/>
          <w:szCs w:val="26"/>
        </w:rPr>
        <w:t xml:space="preserve"> found</w:t>
      </w:r>
      <w:r w:rsidR="0061547C">
        <w:rPr>
          <w:sz w:val="26"/>
          <w:szCs w:val="26"/>
        </w:rPr>
        <w:t xml:space="preserve"> that from December 2013 to June</w:t>
      </w:r>
      <w:r w:rsidR="00205386">
        <w:rPr>
          <w:sz w:val="26"/>
          <w:szCs w:val="26"/>
        </w:rPr>
        <w:t xml:space="preserve"> 2014, the Complainant’s electric bills were inordinately high for a small, two-bedroom mobile home occupied by one adult and two minors.  </w:t>
      </w:r>
      <w:r w:rsidR="00FE0350">
        <w:rPr>
          <w:sz w:val="26"/>
          <w:szCs w:val="26"/>
        </w:rPr>
        <w:t>The ALJ stated</w:t>
      </w:r>
      <w:r w:rsidR="00205386">
        <w:rPr>
          <w:sz w:val="26"/>
          <w:szCs w:val="26"/>
        </w:rPr>
        <w:t xml:space="preserve"> that although the Complainant repeatedly called PECO about her bills, the Company </w:t>
      </w:r>
      <w:r w:rsidR="0011355A">
        <w:rPr>
          <w:sz w:val="26"/>
          <w:szCs w:val="26"/>
        </w:rPr>
        <w:t xml:space="preserve">failed to perform a meter test or </w:t>
      </w:r>
      <w:r w:rsidR="0011355A" w:rsidRPr="00B87381">
        <w:rPr>
          <w:sz w:val="26"/>
          <w:szCs w:val="26"/>
        </w:rPr>
        <w:t>conduct a consumption investigation.</w:t>
      </w:r>
      <w:r w:rsidR="00251481" w:rsidRPr="00B87381">
        <w:rPr>
          <w:sz w:val="26"/>
          <w:szCs w:val="26"/>
        </w:rPr>
        <w:t xml:space="preserve">  </w:t>
      </w:r>
      <w:r w:rsidR="00FC7A2F" w:rsidRPr="00B87381">
        <w:rPr>
          <w:sz w:val="26"/>
          <w:szCs w:val="26"/>
        </w:rPr>
        <w:t xml:space="preserve">I.D. at 28.  </w:t>
      </w:r>
    </w:p>
    <w:p w:rsidR="0082661F" w:rsidRDefault="0082661F" w:rsidP="0074563B">
      <w:pPr>
        <w:widowControl/>
        <w:spacing w:line="360" w:lineRule="auto"/>
        <w:rPr>
          <w:sz w:val="26"/>
          <w:szCs w:val="26"/>
        </w:rPr>
      </w:pPr>
    </w:p>
    <w:p w:rsidR="0074563B" w:rsidRDefault="0082661F" w:rsidP="0074563B">
      <w:pPr>
        <w:widowControl/>
        <w:spacing w:line="360" w:lineRule="auto"/>
        <w:rPr>
          <w:sz w:val="26"/>
          <w:szCs w:val="26"/>
        </w:rPr>
      </w:pPr>
      <w:r>
        <w:rPr>
          <w:sz w:val="26"/>
          <w:szCs w:val="26"/>
        </w:rPr>
        <w:tab/>
      </w:r>
      <w:r>
        <w:rPr>
          <w:sz w:val="26"/>
          <w:szCs w:val="26"/>
        </w:rPr>
        <w:tab/>
      </w:r>
      <w:r w:rsidR="00251481" w:rsidRPr="00B87381">
        <w:rPr>
          <w:sz w:val="26"/>
          <w:szCs w:val="26"/>
        </w:rPr>
        <w:t xml:space="preserve">According to the ALJ, the Complainant’s bill dropped significantly after </w:t>
      </w:r>
      <w:r w:rsidR="0074563B" w:rsidRPr="00B87381">
        <w:rPr>
          <w:sz w:val="26"/>
          <w:szCs w:val="26"/>
        </w:rPr>
        <w:t xml:space="preserve">an unidentified person performed an energy efficiency check and made adjustments to her </w:t>
      </w:r>
      <w:r w:rsidR="00CF13B5" w:rsidRPr="00B87381">
        <w:rPr>
          <w:sz w:val="26"/>
          <w:szCs w:val="26"/>
        </w:rPr>
        <w:t xml:space="preserve">electrical </w:t>
      </w:r>
      <w:r w:rsidR="0074563B" w:rsidRPr="00B87381">
        <w:rPr>
          <w:sz w:val="26"/>
          <w:szCs w:val="26"/>
        </w:rPr>
        <w:t>fixtures during the summer of 2014.</w:t>
      </w:r>
      <w:r w:rsidR="00B25863" w:rsidRPr="00B87381">
        <w:rPr>
          <w:sz w:val="26"/>
          <w:szCs w:val="26"/>
          <w:vertAlign w:val="superscript"/>
        </w:rPr>
        <w:footnoteReference w:id="18"/>
      </w:r>
      <w:r>
        <w:rPr>
          <w:sz w:val="26"/>
          <w:szCs w:val="26"/>
        </w:rPr>
        <w:t xml:space="preserve">  I.D.</w:t>
      </w:r>
      <w:r w:rsidR="00AB7A07">
        <w:rPr>
          <w:sz w:val="26"/>
          <w:szCs w:val="26"/>
        </w:rPr>
        <w:t xml:space="preserve"> </w:t>
      </w:r>
      <w:r>
        <w:rPr>
          <w:sz w:val="26"/>
          <w:szCs w:val="26"/>
        </w:rPr>
        <w:t>at 28</w:t>
      </w:r>
      <w:r w:rsidR="00CF13B5" w:rsidRPr="00B87381">
        <w:rPr>
          <w:sz w:val="26"/>
          <w:szCs w:val="26"/>
        </w:rPr>
        <w:t xml:space="preserve"> (citing </w:t>
      </w:r>
      <w:r w:rsidR="0074563B" w:rsidRPr="00B87381">
        <w:rPr>
          <w:sz w:val="26"/>
          <w:szCs w:val="26"/>
        </w:rPr>
        <w:t xml:space="preserve">Tr. </w:t>
      </w:r>
      <w:r w:rsidR="00CF13B5" w:rsidRPr="00B87381">
        <w:rPr>
          <w:sz w:val="26"/>
          <w:szCs w:val="26"/>
        </w:rPr>
        <w:t>at 29).</w:t>
      </w:r>
      <w:r w:rsidR="00B25863" w:rsidRPr="00B87381">
        <w:rPr>
          <w:sz w:val="26"/>
          <w:szCs w:val="26"/>
        </w:rPr>
        <w:t xml:space="preserve"> </w:t>
      </w:r>
      <w:r w:rsidR="0074563B" w:rsidRPr="00B87381">
        <w:rPr>
          <w:sz w:val="26"/>
          <w:szCs w:val="26"/>
        </w:rPr>
        <w:t xml:space="preserve"> </w:t>
      </w:r>
      <w:r w:rsidR="00B87381" w:rsidRPr="00B87381">
        <w:rPr>
          <w:sz w:val="26"/>
          <w:szCs w:val="26"/>
        </w:rPr>
        <w:t xml:space="preserve">Specifically, the ALJ found that although the Complainant did nothing </w:t>
      </w:r>
      <w:r w:rsidR="0074563B" w:rsidRPr="00B87381">
        <w:rPr>
          <w:sz w:val="26"/>
          <w:szCs w:val="26"/>
        </w:rPr>
        <w:t>differently in her home</w:t>
      </w:r>
      <w:r w:rsidR="00B87381" w:rsidRPr="00B87381">
        <w:rPr>
          <w:sz w:val="26"/>
          <w:szCs w:val="26"/>
        </w:rPr>
        <w:t>, her electric bill dropped from $122.50 for August/September of 2014 to $69.39 for September/October of 2014</w:t>
      </w:r>
      <w:r w:rsidR="00B87381">
        <w:rPr>
          <w:sz w:val="26"/>
          <w:szCs w:val="26"/>
        </w:rPr>
        <w:t>, after the adjustments to her fixtures were made</w:t>
      </w:r>
      <w:r w:rsidR="00B87381" w:rsidRPr="00B87381">
        <w:rPr>
          <w:sz w:val="26"/>
          <w:szCs w:val="26"/>
        </w:rPr>
        <w:t xml:space="preserve">.  I.D. at 28 (citing Tr. at 32; </w:t>
      </w:r>
      <w:r w:rsidR="00A32BE6">
        <w:rPr>
          <w:sz w:val="26"/>
          <w:szCs w:val="26"/>
        </w:rPr>
        <w:t xml:space="preserve">Table 1 from </w:t>
      </w:r>
      <w:r w:rsidR="007739E9">
        <w:rPr>
          <w:sz w:val="26"/>
          <w:szCs w:val="26"/>
        </w:rPr>
        <w:t xml:space="preserve">Finding of Fact </w:t>
      </w:r>
      <w:r w:rsidR="00AB7A07">
        <w:rPr>
          <w:sz w:val="26"/>
          <w:szCs w:val="26"/>
        </w:rPr>
        <w:t xml:space="preserve">No. </w:t>
      </w:r>
      <w:r w:rsidR="007739E9">
        <w:rPr>
          <w:sz w:val="26"/>
          <w:szCs w:val="26"/>
        </w:rPr>
        <w:t>5</w:t>
      </w:r>
      <w:r w:rsidR="00AB7A07">
        <w:rPr>
          <w:sz w:val="26"/>
          <w:szCs w:val="26"/>
        </w:rPr>
        <w:t>)</w:t>
      </w:r>
      <w:r w:rsidR="00981B5F">
        <w:rPr>
          <w:sz w:val="26"/>
          <w:szCs w:val="26"/>
        </w:rPr>
        <w:t>.</w:t>
      </w:r>
      <w:r w:rsidR="005B25BD">
        <w:rPr>
          <w:rStyle w:val="FootnoteReference"/>
          <w:sz w:val="26"/>
          <w:szCs w:val="26"/>
        </w:rPr>
        <w:footnoteReference w:id="19"/>
      </w:r>
      <w:r w:rsidR="00981B5F">
        <w:rPr>
          <w:sz w:val="26"/>
          <w:szCs w:val="26"/>
        </w:rPr>
        <w:t xml:space="preserve"> </w:t>
      </w:r>
      <w:r w:rsidR="00140E72">
        <w:rPr>
          <w:sz w:val="26"/>
          <w:szCs w:val="26"/>
        </w:rPr>
        <w:t xml:space="preserve"> The ALJ also determined that there was a consistent drop in the Complainant’</w:t>
      </w:r>
      <w:r w:rsidR="00A32BE6">
        <w:rPr>
          <w:sz w:val="26"/>
          <w:szCs w:val="26"/>
        </w:rPr>
        <w:t>s electric consumption</w:t>
      </w:r>
      <w:r w:rsidR="00140E72">
        <w:rPr>
          <w:sz w:val="26"/>
          <w:szCs w:val="26"/>
        </w:rPr>
        <w:t xml:space="preserve"> </w:t>
      </w:r>
      <w:r w:rsidR="00A32BE6">
        <w:rPr>
          <w:sz w:val="26"/>
          <w:szCs w:val="26"/>
        </w:rPr>
        <w:t xml:space="preserve">when comparing usage for the months of </w:t>
      </w:r>
      <w:r w:rsidR="00685202">
        <w:rPr>
          <w:sz w:val="26"/>
          <w:szCs w:val="26"/>
        </w:rPr>
        <w:t>December</w:t>
      </w:r>
      <w:r w:rsidR="00A32BE6" w:rsidRPr="007A6E19">
        <w:rPr>
          <w:sz w:val="26"/>
          <w:szCs w:val="26"/>
        </w:rPr>
        <w:t xml:space="preserve"> 2013 through </w:t>
      </w:r>
      <w:r w:rsidR="00685202">
        <w:rPr>
          <w:sz w:val="26"/>
          <w:szCs w:val="26"/>
        </w:rPr>
        <w:t>April</w:t>
      </w:r>
      <w:r w:rsidR="00A32BE6" w:rsidRPr="007A6E19">
        <w:rPr>
          <w:sz w:val="26"/>
          <w:szCs w:val="26"/>
        </w:rPr>
        <w:t xml:space="preserve"> 2014, with</w:t>
      </w:r>
      <w:r w:rsidR="00424288">
        <w:rPr>
          <w:sz w:val="26"/>
          <w:szCs w:val="26"/>
        </w:rPr>
        <w:t xml:space="preserve"> the parallel</w:t>
      </w:r>
      <w:r w:rsidR="00A32BE6" w:rsidRPr="007A6E19">
        <w:rPr>
          <w:sz w:val="26"/>
          <w:szCs w:val="26"/>
        </w:rPr>
        <w:t xml:space="preserve"> usage for the months of </w:t>
      </w:r>
      <w:r w:rsidR="00685202">
        <w:rPr>
          <w:sz w:val="26"/>
          <w:szCs w:val="26"/>
        </w:rPr>
        <w:t>December</w:t>
      </w:r>
      <w:r w:rsidR="00A32BE6" w:rsidRPr="007A6E19">
        <w:rPr>
          <w:sz w:val="26"/>
          <w:szCs w:val="26"/>
        </w:rPr>
        <w:t xml:space="preserve"> 2014 through </w:t>
      </w:r>
      <w:r w:rsidR="00685202">
        <w:rPr>
          <w:sz w:val="26"/>
          <w:szCs w:val="26"/>
        </w:rPr>
        <w:t>April</w:t>
      </w:r>
      <w:r w:rsidR="00A32BE6" w:rsidRPr="007A6E19">
        <w:rPr>
          <w:sz w:val="26"/>
          <w:szCs w:val="26"/>
        </w:rPr>
        <w:t xml:space="preserve"> 2015.  I.D. at 28 (citing Table 1 from Finding of Fact </w:t>
      </w:r>
      <w:r w:rsidR="00AB7A07">
        <w:rPr>
          <w:sz w:val="26"/>
          <w:szCs w:val="26"/>
        </w:rPr>
        <w:t xml:space="preserve">No. </w:t>
      </w:r>
      <w:r w:rsidR="00A32BE6" w:rsidRPr="007A6E19">
        <w:rPr>
          <w:sz w:val="26"/>
          <w:szCs w:val="26"/>
        </w:rPr>
        <w:t>5).</w:t>
      </w:r>
      <w:r w:rsidR="00EB5D2C" w:rsidRPr="007A6E19">
        <w:rPr>
          <w:sz w:val="26"/>
          <w:szCs w:val="26"/>
        </w:rPr>
        <w:t xml:space="preserve">  The ALJ asserted that “[h]</w:t>
      </w:r>
      <w:r w:rsidR="0074563B" w:rsidRPr="007A6E19">
        <w:rPr>
          <w:sz w:val="26"/>
          <w:szCs w:val="26"/>
        </w:rPr>
        <w:t>ad PECO investigated Ms. Trivelpiece’s concern about her usage in December 2013, she may have been able to reduce her usage earlier than September 2014.</w:t>
      </w:r>
      <w:r w:rsidR="007A6E19" w:rsidRPr="007A6E19">
        <w:rPr>
          <w:sz w:val="26"/>
          <w:szCs w:val="26"/>
        </w:rPr>
        <w:t xml:space="preserve">” </w:t>
      </w:r>
      <w:r w:rsidR="00AB7A07">
        <w:rPr>
          <w:sz w:val="26"/>
          <w:szCs w:val="26"/>
        </w:rPr>
        <w:t xml:space="preserve"> </w:t>
      </w:r>
      <w:r w:rsidR="007A6E19" w:rsidRPr="007A6E19">
        <w:rPr>
          <w:sz w:val="26"/>
          <w:szCs w:val="26"/>
        </w:rPr>
        <w:t>I.D. at 29.  The ALJ concluded that because PECO did not conduct an investigation, the Company</w:t>
      </w:r>
      <w:r w:rsidR="0074563B" w:rsidRPr="007A6E19">
        <w:rPr>
          <w:sz w:val="26"/>
          <w:szCs w:val="26"/>
        </w:rPr>
        <w:t xml:space="preserve"> failed</w:t>
      </w:r>
      <w:r w:rsidR="007A6E19" w:rsidRPr="007A6E19">
        <w:rPr>
          <w:sz w:val="26"/>
          <w:szCs w:val="26"/>
        </w:rPr>
        <w:t xml:space="preserve"> to comply with</w:t>
      </w:r>
      <w:r w:rsidR="00E1031D">
        <w:rPr>
          <w:sz w:val="26"/>
          <w:szCs w:val="26"/>
        </w:rPr>
        <w:t xml:space="preserve"> Section 56.151 of</w:t>
      </w:r>
      <w:r w:rsidR="00E1031D" w:rsidRPr="00E1031D">
        <w:rPr>
          <w:sz w:val="26"/>
          <w:szCs w:val="26"/>
        </w:rPr>
        <w:t xml:space="preserve"> </w:t>
      </w:r>
      <w:r w:rsidR="00E1031D">
        <w:rPr>
          <w:sz w:val="26"/>
          <w:szCs w:val="26"/>
        </w:rPr>
        <w:t>the Commission’s Regulations.</w:t>
      </w:r>
      <w:r w:rsidR="00BC2C62">
        <w:rPr>
          <w:sz w:val="26"/>
          <w:szCs w:val="26"/>
        </w:rPr>
        <w:t xml:space="preserve">  I.D. at 29.</w:t>
      </w:r>
    </w:p>
    <w:p w:rsidR="00755F90" w:rsidRDefault="00755F90" w:rsidP="0074563B">
      <w:pPr>
        <w:widowControl/>
        <w:spacing w:line="360" w:lineRule="auto"/>
        <w:rPr>
          <w:sz w:val="26"/>
          <w:szCs w:val="26"/>
        </w:rPr>
      </w:pPr>
    </w:p>
    <w:p w:rsidR="0023153A" w:rsidRPr="008648BD" w:rsidRDefault="0023153A" w:rsidP="0023153A">
      <w:pPr>
        <w:keepNext/>
        <w:widowControl/>
        <w:spacing w:line="360" w:lineRule="auto"/>
        <w:rPr>
          <w:b/>
          <w:sz w:val="26"/>
          <w:szCs w:val="26"/>
        </w:rPr>
      </w:pPr>
      <w:r>
        <w:rPr>
          <w:b/>
          <w:sz w:val="26"/>
          <w:szCs w:val="26"/>
        </w:rPr>
        <w:lastRenderedPageBreak/>
        <w:tab/>
      </w:r>
      <w:r>
        <w:rPr>
          <w:b/>
          <w:sz w:val="26"/>
          <w:szCs w:val="26"/>
        </w:rPr>
        <w:tab/>
        <w:t>b</w:t>
      </w:r>
      <w:r w:rsidRPr="008648BD">
        <w:rPr>
          <w:b/>
          <w:sz w:val="26"/>
          <w:szCs w:val="26"/>
        </w:rPr>
        <w:t>.</w:t>
      </w:r>
      <w:r w:rsidRPr="008648BD">
        <w:rPr>
          <w:b/>
          <w:sz w:val="26"/>
          <w:szCs w:val="26"/>
        </w:rPr>
        <w:tab/>
        <w:t>PECO’s Exceptions</w:t>
      </w:r>
    </w:p>
    <w:p w:rsidR="0023153A" w:rsidRPr="00394793" w:rsidRDefault="0023153A" w:rsidP="0023153A">
      <w:pPr>
        <w:keepNext/>
        <w:widowControl/>
        <w:spacing w:line="360" w:lineRule="auto"/>
        <w:rPr>
          <w:sz w:val="26"/>
          <w:szCs w:val="26"/>
        </w:rPr>
      </w:pPr>
    </w:p>
    <w:p w:rsidR="0023153A" w:rsidRDefault="0023153A" w:rsidP="0023153A">
      <w:pPr>
        <w:widowControl/>
        <w:spacing w:line="360" w:lineRule="auto"/>
        <w:rPr>
          <w:sz w:val="26"/>
          <w:szCs w:val="26"/>
        </w:rPr>
      </w:pPr>
      <w:r w:rsidRPr="00394793">
        <w:rPr>
          <w:sz w:val="26"/>
          <w:szCs w:val="26"/>
        </w:rPr>
        <w:tab/>
      </w:r>
      <w:r w:rsidRPr="00394793">
        <w:rPr>
          <w:sz w:val="26"/>
          <w:szCs w:val="26"/>
        </w:rPr>
        <w:tab/>
        <w:t>PEC</w:t>
      </w:r>
      <w:r>
        <w:rPr>
          <w:sz w:val="26"/>
          <w:szCs w:val="26"/>
        </w:rPr>
        <w:t xml:space="preserve">O excepts to the ALJ’s determination that it was required to conduct a high bill investigation at the Complainant’s residence during the period of December 2013 to June 2014.  PECO argues that no high bill or usage issue was raised in the Complaint, the subsequent mediation, or discussions with the Complainant’s counsel, and that it was not made clear at the hearing that the parties intended to litigate this issue.  Moreover, PECO contends that while the Complainant provided testimony regarding numerous issues about which she called PECO, she did not testify that she called PECO to complain that her usage was too high.  Exc. at 17-18.  PECO argues that none of the issues raised by the Complainant in her calls to PECO should have triggered the need for PECO to perform a meter test </w:t>
      </w:r>
      <w:r w:rsidR="004742FA">
        <w:rPr>
          <w:sz w:val="26"/>
          <w:szCs w:val="26"/>
        </w:rPr>
        <w:t xml:space="preserve">or consumption investigation.  Moreover, PECO contends that </w:t>
      </w:r>
      <w:r>
        <w:rPr>
          <w:sz w:val="26"/>
          <w:szCs w:val="26"/>
        </w:rPr>
        <w:t xml:space="preserve">neither a meter test nor a consumption investigation would have addressed the concern raised by the Complainant in this proceeding regarding whether balances from prior addresses had been appropriately transferred.  </w:t>
      </w:r>
      <w:r w:rsidRPr="00AA68F2">
        <w:rPr>
          <w:i/>
          <w:sz w:val="26"/>
          <w:szCs w:val="26"/>
        </w:rPr>
        <w:t>Id</w:t>
      </w:r>
      <w:r>
        <w:rPr>
          <w:sz w:val="26"/>
          <w:szCs w:val="26"/>
        </w:rPr>
        <w:t>. at 18-19.</w:t>
      </w:r>
    </w:p>
    <w:p w:rsidR="0023153A" w:rsidRDefault="0023153A" w:rsidP="0023153A">
      <w:pPr>
        <w:keepNext/>
        <w:widowControl/>
        <w:spacing w:line="360" w:lineRule="auto"/>
        <w:rPr>
          <w:sz w:val="26"/>
          <w:szCs w:val="26"/>
        </w:rPr>
      </w:pPr>
    </w:p>
    <w:p w:rsidR="0023153A" w:rsidRDefault="0023153A" w:rsidP="0023153A">
      <w:pPr>
        <w:keepNext/>
        <w:widowControl/>
        <w:spacing w:line="360" w:lineRule="auto"/>
        <w:rPr>
          <w:sz w:val="26"/>
          <w:szCs w:val="26"/>
        </w:rPr>
      </w:pPr>
      <w:r>
        <w:rPr>
          <w:sz w:val="26"/>
          <w:szCs w:val="26"/>
        </w:rPr>
        <w:tab/>
      </w:r>
      <w:r>
        <w:rPr>
          <w:sz w:val="26"/>
          <w:szCs w:val="26"/>
        </w:rPr>
        <w:tab/>
        <w:t>In addition, PECO avers that even if the Complainant had called about high usage during the period in question, that would not have triggered a requirement for PECO to conduct an energy efficiency investigation such as the LIURP investigation conducted in June of 2014.  PECO explains that LIURP is reserved for low-income customers, and the Complainant was not verified as a low-income customer and placed on CAP until June 2014, which is when PECO conducted the LIURP investigation at the Complainant’s residence.  Exc. at 19.</w:t>
      </w:r>
    </w:p>
    <w:p w:rsidR="0023153A" w:rsidRDefault="0023153A" w:rsidP="0023153A">
      <w:pPr>
        <w:widowControl/>
        <w:spacing w:line="360" w:lineRule="auto"/>
        <w:rPr>
          <w:sz w:val="26"/>
          <w:szCs w:val="26"/>
        </w:rPr>
      </w:pPr>
    </w:p>
    <w:p w:rsidR="0023153A" w:rsidRPr="00B42B90" w:rsidRDefault="0023153A" w:rsidP="0023153A">
      <w:pPr>
        <w:keepNext/>
        <w:widowControl/>
        <w:spacing w:line="360" w:lineRule="auto"/>
        <w:rPr>
          <w:b/>
          <w:sz w:val="26"/>
          <w:szCs w:val="26"/>
        </w:rPr>
      </w:pPr>
      <w:r w:rsidRPr="00317695">
        <w:rPr>
          <w:sz w:val="26"/>
          <w:szCs w:val="26"/>
        </w:rPr>
        <w:tab/>
      </w:r>
      <w:r w:rsidRPr="00317695">
        <w:rPr>
          <w:sz w:val="26"/>
          <w:szCs w:val="26"/>
        </w:rPr>
        <w:tab/>
      </w:r>
      <w:r>
        <w:rPr>
          <w:b/>
          <w:sz w:val="26"/>
          <w:szCs w:val="26"/>
        </w:rPr>
        <w:t>c</w:t>
      </w:r>
      <w:r w:rsidRPr="00B42B90">
        <w:rPr>
          <w:b/>
          <w:sz w:val="26"/>
          <w:szCs w:val="26"/>
        </w:rPr>
        <w:t>.</w:t>
      </w:r>
      <w:r w:rsidRPr="00B42B90">
        <w:rPr>
          <w:b/>
          <w:sz w:val="26"/>
          <w:szCs w:val="26"/>
        </w:rPr>
        <w:tab/>
        <w:t>Complainant’s Replies to PECO’s Exceptions</w:t>
      </w:r>
    </w:p>
    <w:p w:rsidR="0023153A" w:rsidRDefault="0023153A" w:rsidP="0023153A">
      <w:pPr>
        <w:keepNext/>
        <w:widowControl/>
        <w:spacing w:line="360" w:lineRule="auto"/>
        <w:rPr>
          <w:sz w:val="26"/>
          <w:szCs w:val="26"/>
        </w:rPr>
      </w:pPr>
    </w:p>
    <w:p w:rsidR="0023153A" w:rsidRDefault="0023153A" w:rsidP="0023153A">
      <w:pPr>
        <w:widowControl/>
        <w:spacing w:line="360" w:lineRule="auto"/>
        <w:rPr>
          <w:sz w:val="26"/>
          <w:szCs w:val="26"/>
        </w:rPr>
      </w:pPr>
      <w:r>
        <w:rPr>
          <w:sz w:val="26"/>
          <w:szCs w:val="26"/>
        </w:rPr>
        <w:tab/>
      </w:r>
      <w:r>
        <w:rPr>
          <w:sz w:val="26"/>
          <w:szCs w:val="26"/>
        </w:rPr>
        <w:tab/>
      </w:r>
      <w:r w:rsidRPr="00317695">
        <w:rPr>
          <w:sz w:val="26"/>
          <w:szCs w:val="26"/>
        </w:rPr>
        <w:t>In her Replies to PECO’s Exceptions</w:t>
      </w:r>
      <w:r>
        <w:rPr>
          <w:sz w:val="26"/>
          <w:szCs w:val="26"/>
        </w:rPr>
        <w:t xml:space="preserve">, </w:t>
      </w:r>
      <w:r w:rsidRPr="00317695">
        <w:rPr>
          <w:sz w:val="26"/>
          <w:szCs w:val="26"/>
        </w:rPr>
        <w:t>the Complainant</w:t>
      </w:r>
      <w:r>
        <w:rPr>
          <w:sz w:val="26"/>
          <w:szCs w:val="26"/>
        </w:rPr>
        <w:t xml:space="preserve"> disagrees with PECO that she did not raise a high bill and usage issue in her Complaint.  The Complainant avers that she “was constantly wondering about her electric usage,” and that </w:t>
      </w:r>
      <w:r>
        <w:rPr>
          <w:sz w:val="26"/>
          <w:szCs w:val="26"/>
        </w:rPr>
        <w:lastRenderedPageBreak/>
        <w:t>“PECO did nothing from December 2013 to June 2014, t</w:t>
      </w:r>
      <w:r w:rsidR="000E204D">
        <w:rPr>
          <w:sz w:val="26"/>
          <w:szCs w:val="26"/>
        </w:rPr>
        <w:t>o investigate the problem.”  R. </w:t>
      </w:r>
      <w:r>
        <w:rPr>
          <w:sz w:val="26"/>
          <w:szCs w:val="26"/>
        </w:rPr>
        <w:t>Exc. at 2.  The Complainant also states that “to argue that PECO was not awar</w:t>
      </w:r>
      <w:r w:rsidR="004742FA">
        <w:rPr>
          <w:sz w:val="26"/>
          <w:szCs w:val="26"/>
        </w:rPr>
        <w:t>e of her income until June 2014,</w:t>
      </w:r>
      <w:r>
        <w:rPr>
          <w:sz w:val="26"/>
          <w:szCs w:val="26"/>
        </w:rPr>
        <w:t xml:space="preserve"> is clearly false, and ignores the evidence of the prior payment arrangements, and prior entrees [</w:t>
      </w:r>
      <w:r w:rsidRPr="00A50128">
        <w:rPr>
          <w:i/>
          <w:sz w:val="26"/>
          <w:szCs w:val="26"/>
        </w:rPr>
        <w:t>sic</w:t>
      </w:r>
      <w:r>
        <w:rPr>
          <w:sz w:val="26"/>
          <w:szCs w:val="26"/>
        </w:rPr>
        <w:t>] into the CAP program.”</w:t>
      </w:r>
      <w:r w:rsidR="0085193A">
        <w:rPr>
          <w:sz w:val="26"/>
          <w:szCs w:val="26"/>
        </w:rPr>
        <w:t xml:space="preserve">  </w:t>
      </w:r>
      <w:r w:rsidR="0085193A" w:rsidRPr="0085193A">
        <w:rPr>
          <w:i/>
          <w:sz w:val="26"/>
          <w:szCs w:val="26"/>
        </w:rPr>
        <w:t>Id</w:t>
      </w:r>
      <w:r w:rsidR="0085193A">
        <w:rPr>
          <w:sz w:val="26"/>
          <w:szCs w:val="26"/>
        </w:rPr>
        <w:t>.</w:t>
      </w:r>
    </w:p>
    <w:p w:rsidR="0023153A" w:rsidRDefault="0023153A" w:rsidP="0023153A">
      <w:pPr>
        <w:widowControl/>
        <w:spacing w:line="360" w:lineRule="auto"/>
        <w:rPr>
          <w:sz w:val="26"/>
          <w:szCs w:val="26"/>
        </w:rPr>
      </w:pPr>
    </w:p>
    <w:p w:rsidR="0023153A" w:rsidRPr="00F70B8D" w:rsidRDefault="0023153A" w:rsidP="00AA2239">
      <w:pPr>
        <w:keepNext/>
        <w:keepLines/>
        <w:widowControl/>
        <w:spacing w:line="360" w:lineRule="auto"/>
        <w:rPr>
          <w:b/>
          <w:sz w:val="26"/>
          <w:szCs w:val="26"/>
        </w:rPr>
      </w:pPr>
      <w:r>
        <w:rPr>
          <w:b/>
          <w:sz w:val="26"/>
          <w:szCs w:val="26"/>
        </w:rPr>
        <w:tab/>
      </w:r>
      <w:r>
        <w:rPr>
          <w:b/>
          <w:sz w:val="26"/>
          <w:szCs w:val="26"/>
        </w:rPr>
        <w:tab/>
        <w:t>d</w:t>
      </w:r>
      <w:r w:rsidRPr="00F70B8D">
        <w:rPr>
          <w:b/>
          <w:sz w:val="26"/>
          <w:szCs w:val="26"/>
        </w:rPr>
        <w:t>.</w:t>
      </w:r>
      <w:r w:rsidRPr="00F70B8D">
        <w:rPr>
          <w:b/>
          <w:sz w:val="26"/>
          <w:szCs w:val="26"/>
        </w:rPr>
        <w:tab/>
        <w:t>Disposition</w:t>
      </w:r>
    </w:p>
    <w:p w:rsidR="0023153A" w:rsidRDefault="0023153A" w:rsidP="00AA2239">
      <w:pPr>
        <w:keepNext/>
        <w:keepLines/>
        <w:widowControl/>
        <w:spacing w:line="360" w:lineRule="auto"/>
        <w:rPr>
          <w:sz w:val="26"/>
          <w:szCs w:val="26"/>
        </w:rPr>
      </w:pPr>
    </w:p>
    <w:p w:rsidR="00215497" w:rsidRDefault="005D2C2D" w:rsidP="0023153A">
      <w:pPr>
        <w:widowControl/>
        <w:spacing w:line="360" w:lineRule="auto"/>
        <w:rPr>
          <w:sz w:val="26"/>
          <w:szCs w:val="26"/>
        </w:rPr>
      </w:pPr>
      <w:r>
        <w:rPr>
          <w:sz w:val="26"/>
          <w:szCs w:val="26"/>
        </w:rPr>
        <w:tab/>
      </w:r>
      <w:r>
        <w:rPr>
          <w:sz w:val="26"/>
          <w:szCs w:val="26"/>
        </w:rPr>
        <w:tab/>
      </w:r>
      <w:r w:rsidR="005E1E81">
        <w:rPr>
          <w:sz w:val="26"/>
          <w:szCs w:val="26"/>
        </w:rPr>
        <w:t xml:space="preserve">Upon our review of the evidence in this proceeding, we </w:t>
      </w:r>
      <w:r w:rsidR="00215497">
        <w:rPr>
          <w:sz w:val="26"/>
          <w:szCs w:val="26"/>
        </w:rPr>
        <w:t>do not agree with the ALJ that PECO should have conducted a high bill/</w:t>
      </w:r>
      <w:r w:rsidR="000E204D">
        <w:rPr>
          <w:sz w:val="26"/>
          <w:szCs w:val="26"/>
        </w:rPr>
        <w:t xml:space="preserve">high </w:t>
      </w:r>
      <w:r w:rsidR="00215497">
        <w:rPr>
          <w:sz w:val="26"/>
          <w:szCs w:val="26"/>
        </w:rPr>
        <w:t xml:space="preserve">usage investigation at the Complainant’s residence in this case.  </w:t>
      </w:r>
      <w:r>
        <w:rPr>
          <w:sz w:val="26"/>
          <w:szCs w:val="26"/>
        </w:rPr>
        <w:t>We agree with PECO that nothing in the original Complaint indicated that the Complai</w:t>
      </w:r>
      <w:r w:rsidR="00753A83">
        <w:rPr>
          <w:sz w:val="26"/>
          <w:szCs w:val="26"/>
        </w:rPr>
        <w:t xml:space="preserve">nant was concerned </w:t>
      </w:r>
      <w:r>
        <w:rPr>
          <w:sz w:val="26"/>
          <w:szCs w:val="26"/>
        </w:rPr>
        <w:t xml:space="preserve">about her utility </w:t>
      </w:r>
      <w:r w:rsidR="005E1E81">
        <w:rPr>
          <w:sz w:val="26"/>
          <w:szCs w:val="26"/>
        </w:rPr>
        <w:t>usage.  While the Complaint alleged that PECO would n</w:t>
      </w:r>
      <w:r w:rsidR="000E204D">
        <w:rPr>
          <w:sz w:val="26"/>
          <w:szCs w:val="26"/>
        </w:rPr>
        <w:t>ot explain why the Complainant’s</w:t>
      </w:r>
      <w:r w:rsidR="005E1E81">
        <w:rPr>
          <w:sz w:val="26"/>
          <w:szCs w:val="26"/>
        </w:rPr>
        <w:t xml:space="preserve"> bills were so high, a full reading of the Complaint makes it clear that the Complainant’s billing concerns were focused on what she believed to be late payment fees and charges relating to service from prior addresses.  There is no mention in the Complaint of any metering or usage concerns.  </w:t>
      </w:r>
    </w:p>
    <w:p w:rsidR="00215497" w:rsidRDefault="00215497" w:rsidP="0023153A">
      <w:pPr>
        <w:widowControl/>
        <w:spacing w:line="360" w:lineRule="auto"/>
        <w:rPr>
          <w:sz w:val="26"/>
          <w:szCs w:val="26"/>
        </w:rPr>
      </w:pPr>
    </w:p>
    <w:p w:rsidR="0023153A" w:rsidRDefault="00215497" w:rsidP="0023153A">
      <w:pPr>
        <w:widowControl/>
        <w:spacing w:line="360" w:lineRule="auto"/>
        <w:rPr>
          <w:sz w:val="26"/>
          <w:szCs w:val="26"/>
        </w:rPr>
      </w:pPr>
      <w:r>
        <w:rPr>
          <w:sz w:val="26"/>
          <w:szCs w:val="26"/>
        </w:rPr>
        <w:tab/>
      </w:r>
      <w:r>
        <w:rPr>
          <w:sz w:val="26"/>
          <w:szCs w:val="26"/>
        </w:rPr>
        <w:tab/>
      </w:r>
      <w:r w:rsidR="005E1E81">
        <w:rPr>
          <w:sz w:val="26"/>
          <w:szCs w:val="26"/>
        </w:rPr>
        <w:t xml:space="preserve">In addition, </w:t>
      </w:r>
      <w:r>
        <w:rPr>
          <w:sz w:val="26"/>
          <w:szCs w:val="26"/>
        </w:rPr>
        <w:t xml:space="preserve">we find nothing on the record to indicate that the Complainant raised any metering or high usage concerns during the hearing.  Although the Complainant testified that her bills appeared to decrease after </w:t>
      </w:r>
      <w:r w:rsidR="0025568D">
        <w:rPr>
          <w:sz w:val="26"/>
          <w:szCs w:val="26"/>
        </w:rPr>
        <w:t xml:space="preserve">certain energy efficiency measures were installed at her residence, </w:t>
      </w:r>
      <w:r w:rsidR="00286ECC">
        <w:rPr>
          <w:sz w:val="26"/>
          <w:szCs w:val="26"/>
        </w:rPr>
        <w:t>there is nothing on the record to support a finding that</w:t>
      </w:r>
      <w:r w:rsidR="00513179">
        <w:rPr>
          <w:sz w:val="26"/>
          <w:szCs w:val="26"/>
        </w:rPr>
        <w:t xml:space="preserve"> she was disputing the level of usage for which she was billed before those measures were installed.</w:t>
      </w:r>
      <w:r w:rsidR="00C60BBE">
        <w:rPr>
          <w:sz w:val="26"/>
          <w:szCs w:val="26"/>
        </w:rPr>
        <w:t xml:space="preserve">  Rather, it appears that the Complainant’s testimony in this regard was meant to support her belief that she had been enrolled in CAP at the time of the energy efficiency evaluation, and that the energy efficiency measures were installed as part of</w:t>
      </w:r>
      <w:r w:rsidR="008042C1">
        <w:rPr>
          <w:sz w:val="26"/>
          <w:szCs w:val="26"/>
        </w:rPr>
        <w:t xml:space="preserve"> her</w:t>
      </w:r>
      <w:r w:rsidR="00C60BBE">
        <w:rPr>
          <w:sz w:val="26"/>
          <w:szCs w:val="26"/>
        </w:rPr>
        <w:t xml:space="preserve"> acceptance into that program.</w:t>
      </w:r>
      <w:r w:rsidR="00513179">
        <w:rPr>
          <w:sz w:val="26"/>
          <w:szCs w:val="26"/>
        </w:rPr>
        <w:t xml:space="preserve">  </w:t>
      </w:r>
      <w:r w:rsidR="00A37C3C">
        <w:rPr>
          <w:sz w:val="26"/>
          <w:szCs w:val="26"/>
        </w:rPr>
        <w:t xml:space="preserve">Tr. at </w:t>
      </w:r>
      <w:r w:rsidR="00286ECC">
        <w:rPr>
          <w:sz w:val="26"/>
          <w:szCs w:val="26"/>
        </w:rPr>
        <w:t>28-29, 32.  Moreover</w:t>
      </w:r>
      <w:r w:rsidR="00C60BBE">
        <w:rPr>
          <w:sz w:val="26"/>
          <w:szCs w:val="26"/>
        </w:rPr>
        <w:t xml:space="preserve">, when PECO’s counsel objected to the Complainant’s testimony on the grounds of relevancy, the Complainant’s counsel responded that “I was just having her testify about her situation in the trailer and the background of her electric bill.”  </w:t>
      </w:r>
      <w:r w:rsidR="00C60BBE" w:rsidRPr="00C60BBE">
        <w:rPr>
          <w:i/>
          <w:sz w:val="26"/>
          <w:szCs w:val="26"/>
        </w:rPr>
        <w:t>Id</w:t>
      </w:r>
      <w:r w:rsidR="00C60BBE">
        <w:rPr>
          <w:sz w:val="26"/>
          <w:szCs w:val="26"/>
        </w:rPr>
        <w:t xml:space="preserve">. at 30.  There was no </w:t>
      </w:r>
      <w:r w:rsidR="00E22B56">
        <w:rPr>
          <w:sz w:val="26"/>
          <w:szCs w:val="26"/>
        </w:rPr>
        <w:t xml:space="preserve">assertion by </w:t>
      </w:r>
      <w:r w:rsidR="00E22B56">
        <w:rPr>
          <w:sz w:val="26"/>
          <w:szCs w:val="26"/>
        </w:rPr>
        <w:lastRenderedPageBreak/>
        <w:t>either the Complainant or her attorney that the Complainant had an issue with her meter readings or with the electric or gas usage recorded by PECO.</w:t>
      </w:r>
    </w:p>
    <w:p w:rsidR="008042C1" w:rsidRDefault="008042C1" w:rsidP="0023153A">
      <w:pPr>
        <w:widowControl/>
        <w:spacing w:line="360" w:lineRule="auto"/>
        <w:rPr>
          <w:sz w:val="26"/>
          <w:szCs w:val="26"/>
        </w:rPr>
      </w:pPr>
    </w:p>
    <w:p w:rsidR="00F45A59" w:rsidRDefault="008042C1" w:rsidP="008042C1">
      <w:pPr>
        <w:widowControl/>
        <w:spacing w:line="360" w:lineRule="auto"/>
        <w:rPr>
          <w:sz w:val="26"/>
          <w:szCs w:val="26"/>
        </w:rPr>
      </w:pPr>
      <w:r>
        <w:rPr>
          <w:sz w:val="26"/>
          <w:szCs w:val="26"/>
        </w:rPr>
        <w:tab/>
      </w:r>
      <w:r>
        <w:rPr>
          <w:sz w:val="26"/>
          <w:szCs w:val="26"/>
        </w:rPr>
        <w:tab/>
        <w:t>We also find no record support for the ALJ’</w:t>
      </w:r>
      <w:r w:rsidR="002D32A2">
        <w:rPr>
          <w:sz w:val="26"/>
          <w:szCs w:val="26"/>
        </w:rPr>
        <w:t>s conclusion</w:t>
      </w:r>
      <w:r>
        <w:rPr>
          <w:sz w:val="26"/>
          <w:szCs w:val="26"/>
        </w:rPr>
        <w:t xml:space="preserve"> that from December 2013 to June 2014, the Complainant’s electric bills were inordinately high for a small, two-bedroom mobile home occupied by one adult and two minors.  </w:t>
      </w:r>
      <w:r w:rsidR="009A7A9C">
        <w:rPr>
          <w:sz w:val="26"/>
          <w:szCs w:val="26"/>
        </w:rPr>
        <w:t>No evidence</w:t>
      </w:r>
      <w:r w:rsidR="002D32A2">
        <w:rPr>
          <w:sz w:val="26"/>
          <w:szCs w:val="26"/>
        </w:rPr>
        <w:t xml:space="preserve"> was provided as to what levels of electric usage or billing would represent a normal range of consumption for the Complainant’s residence and occupancy, and what levels would constitute usage that was inordinately high.</w:t>
      </w:r>
      <w:r w:rsidR="00424288">
        <w:rPr>
          <w:sz w:val="26"/>
          <w:szCs w:val="26"/>
        </w:rPr>
        <w:t xml:space="preserve">  </w:t>
      </w:r>
    </w:p>
    <w:p w:rsidR="00AA2239" w:rsidRDefault="00AA2239" w:rsidP="008042C1">
      <w:pPr>
        <w:widowControl/>
        <w:spacing w:line="360" w:lineRule="auto"/>
        <w:rPr>
          <w:sz w:val="26"/>
          <w:szCs w:val="26"/>
        </w:rPr>
      </w:pPr>
    </w:p>
    <w:p w:rsidR="00F52858" w:rsidRDefault="009A7A9C" w:rsidP="000E2B40">
      <w:pPr>
        <w:widowControl/>
        <w:spacing w:line="360" w:lineRule="auto"/>
        <w:rPr>
          <w:sz w:val="26"/>
          <w:szCs w:val="26"/>
        </w:rPr>
      </w:pPr>
      <w:r>
        <w:rPr>
          <w:sz w:val="26"/>
          <w:szCs w:val="26"/>
        </w:rPr>
        <w:tab/>
      </w:r>
      <w:r>
        <w:rPr>
          <w:sz w:val="26"/>
          <w:szCs w:val="26"/>
        </w:rPr>
        <w:tab/>
        <w:t xml:space="preserve">We also do not agree with the conclusion that a high bill investigation </w:t>
      </w:r>
      <w:r w:rsidR="00F52858">
        <w:rPr>
          <w:sz w:val="26"/>
          <w:szCs w:val="26"/>
        </w:rPr>
        <w:t>would necessarily</w:t>
      </w:r>
      <w:r w:rsidR="00ED53AD">
        <w:rPr>
          <w:sz w:val="26"/>
          <w:szCs w:val="26"/>
        </w:rPr>
        <w:t xml:space="preserve"> have</w:t>
      </w:r>
      <w:r w:rsidR="00F52858">
        <w:rPr>
          <w:sz w:val="26"/>
          <w:szCs w:val="26"/>
        </w:rPr>
        <w:t xml:space="preserve"> resulted in lower bills for the Complainant.  </w:t>
      </w:r>
      <w:r w:rsidR="00424288">
        <w:rPr>
          <w:sz w:val="26"/>
          <w:szCs w:val="26"/>
        </w:rPr>
        <w:t>Using account information provided by PECO</w:t>
      </w:r>
      <w:r w:rsidR="00977631">
        <w:rPr>
          <w:sz w:val="26"/>
          <w:szCs w:val="26"/>
        </w:rPr>
        <w:t xml:space="preserve"> </w:t>
      </w:r>
      <w:r w:rsidR="00424288">
        <w:rPr>
          <w:sz w:val="26"/>
          <w:szCs w:val="26"/>
        </w:rPr>
        <w:t xml:space="preserve">for the Complainant’s utility </w:t>
      </w:r>
      <w:r w:rsidR="00FB7CFB">
        <w:rPr>
          <w:sz w:val="26"/>
          <w:szCs w:val="26"/>
        </w:rPr>
        <w:t xml:space="preserve">service at her </w:t>
      </w:r>
      <w:r w:rsidR="00424288">
        <w:rPr>
          <w:sz w:val="26"/>
          <w:szCs w:val="26"/>
        </w:rPr>
        <w:t xml:space="preserve">Aspen Avenue address, the ALJ determined that the Complainant’s </w:t>
      </w:r>
      <w:r w:rsidR="00FB7CFB">
        <w:rPr>
          <w:sz w:val="26"/>
          <w:szCs w:val="26"/>
        </w:rPr>
        <w:t xml:space="preserve">electric usage had decreased </w:t>
      </w:r>
      <w:r w:rsidR="00977631">
        <w:rPr>
          <w:sz w:val="26"/>
          <w:szCs w:val="26"/>
        </w:rPr>
        <w:t>from the August/September 2014 billing period to the September/October 2014 billing period, and from w</w:t>
      </w:r>
      <w:r w:rsidR="00037FCC">
        <w:rPr>
          <w:sz w:val="26"/>
          <w:szCs w:val="26"/>
        </w:rPr>
        <w:t>inter/spring of 2013/2014 to</w:t>
      </w:r>
      <w:r w:rsidR="00977631">
        <w:rPr>
          <w:sz w:val="26"/>
          <w:szCs w:val="26"/>
        </w:rPr>
        <w:t xml:space="preserve"> winter/spring of 2014/2015. </w:t>
      </w:r>
      <w:r w:rsidR="00977631" w:rsidRPr="00977631">
        <w:rPr>
          <w:sz w:val="26"/>
          <w:szCs w:val="26"/>
        </w:rPr>
        <w:t xml:space="preserve"> </w:t>
      </w:r>
      <w:r w:rsidR="00977631" w:rsidRPr="00B87381">
        <w:rPr>
          <w:sz w:val="26"/>
          <w:szCs w:val="26"/>
        </w:rPr>
        <w:t xml:space="preserve">I.D. at 28 (citing Tr. at 32; </w:t>
      </w:r>
      <w:r w:rsidR="00977631">
        <w:rPr>
          <w:sz w:val="26"/>
          <w:szCs w:val="26"/>
        </w:rPr>
        <w:t xml:space="preserve">Table 1 from Finding of Fact </w:t>
      </w:r>
      <w:r w:rsidR="00AB7A07">
        <w:rPr>
          <w:sz w:val="26"/>
          <w:szCs w:val="26"/>
        </w:rPr>
        <w:t xml:space="preserve">No. </w:t>
      </w:r>
      <w:r w:rsidR="00977631">
        <w:rPr>
          <w:sz w:val="26"/>
          <w:szCs w:val="26"/>
        </w:rPr>
        <w:t>5).</w:t>
      </w:r>
      <w:r w:rsidR="00037FCC">
        <w:rPr>
          <w:sz w:val="26"/>
          <w:szCs w:val="26"/>
        </w:rPr>
        <w:t xml:space="preserve">  The ALJ attributed </w:t>
      </w:r>
      <w:r w:rsidR="00131F16">
        <w:rPr>
          <w:sz w:val="26"/>
          <w:szCs w:val="26"/>
        </w:rPr>
        <w:t>these usage and bill reductions to the energy efficiency measures installed at the Complainant’s residence in the summer of 2014, and concluded that such usage reductions could have occurred earlier if PECO had conducted the proper investigation in December 2013.  I.D. at 29.</w:t>
      </w:r>
      <w:r w:rsidR="00176031">
        <w:rPr>
          <w:sz w:val="26"/>
          <w:szCs w:val="26"/>
        </w:rPr>
        <w:t xml:space="preserve">  However, </w:t>
      </w:r>
      <w:r w:rsidR="00F45A59">
        <w:rPr>
          <w:sz w:val="26"/>
          <w:szCs w:val="26"/>
        </w:rPr>
        <w:t>the data on which the ALJ relied inclu</w:t>
      </w:r>
      <w:r w:rsidR="00ED53AD">
        <w:rPr>
          <w:sz w:val="26"/>
          <w:szCs w:val="26"/>
        </w:rPr>
        <w:t>ded no degree day information, n</w:t>
      </w:r>
      <w:r w:rsidR="00F45A59">
        <w:rPr>
          <w:sz w:val="26"/>
          <w:szCs w:val="26"/>
        </w:rPr>
        <w:t>or any other</w:t>
      </w:r>
      <w:r w:rsidR="00D11001">
        <w:rPr>
          <w:sz w:val="26"/>
          <w:szCs w:val="26"/>
        </w:rPr>
        <w:t xml:space="preserve"> indicators that would allow for an evaluation of the extent to which changes in temperature</w:t>
      </w:r>
      <w:r w:rsidR="00F52858">
        <w:rPr>
          <w:sz w:val="26"/>
          <w:szCs w:val="26"/>
        </w:rPr>
        <w:t xml:space="preserve"> or other relevant factors</w:t>
      </w:r>
      <w:r w:rsidR="00D11001">
        <w:rPr>
          <w:sz w:val="26"/>
          <w:szCs w:val="26"/>
        </w:rPr>
        <w:t xml:space="preserve"> may have affected the Complainant’s usage during the </w:t>
      </w:r>
      <w:r w:rsidR="00D11001" w:rsidRPr="00162BAB">
        <w:rPr>
          <w:sz w:val="26"/>
          <w:szCs w:val="26"/>
        </w:rPr>
        <w:t>time periods considered in the ALJ’s analysis.</w:t>
      </w:r>
      <w:r w:rsidR="00025B53">
        <w:rPr>
          <w:sz w:val="26"/>
          <w:szCs w:val="26"/>
        </w:rPr>
        <w:t xml:space="preserve">  </w:t>
      </w:r>
    </w:p>
    <w:p w:rsidR="00F52858" w:rsidRDefault="00F52858" w:rsidP="000E2B40">
      <w:pPr>
        <w:widowControl/>
        <w:spacing w:line="360" w:lineRule="auto"/>
        <w:rPr>
          <w:sz w:val="26"/>
          <w:szCs w:val="26"/>
        </w:rPr>
      </w:pPr>
    </w:p>
    <w:p w:rsidR="00FB7CFB" w:rsidRDefault="00F52858" w:rsidP="000E2B40">
      <w:pPr>
        <w:widowControl/>
        <w:spacing w:line="360" w:lineRule="auto"/>
        <w:rPr>
          <w:sz w:val="26"/>
          <w:szCs w:val="26"/>
        </w:rPr>
      </w:pPr>
      <w:r>
        <w:rPr>
          <w:sz w:val="26"/>
          <w:szCs w:val="26"/>
        </w:rPr>
        <w:tab/>
      </w:r>
      <w:r>
        <w:rPr>
          <w:sz w:val="26"/>
          <w:szCs w:val="26"/>
        </w:rPr>
        <w:tab/>
      </w:r>
      <w:r w:rsidR="00AB6294">
        <w:rPr>
          <w:sz w:val="26"/>
          <w:szCs w:val="26"/>
        </w:rPr>
        <w:t>In addition</w:t>
      </w:r>
      <w:r w:rsidR="00C10646" w:rsidRPr="00162BAB">
        <w:rPr>
          <w:sz w:val="26"/>
          <w:szCs w:val="26"/>
        </w:rPr>
        <w:t xml:space="preserve">, </w:t>
      </w:r>
      <w:r w:rsidR="009F00B2" w:rsidRPr="00162BAB">
        <w:rPr>
          <w:sz w:val="26"/>
          <w:szCs w:val="26"/>
        </w:rPr>
        <w:t>a reduction in usage due to the installation of energy efficiency measures</w:t>
      </w:r>
      <w:r w:rsidR="00E13EB4">
        <w:rPr>
          <w:sz w:val="26"/>
          <w:szCs w:val="26"/>
        </w:rPr>
        <w:t xml:space="preserve"> </w:t>
      </w:r>
      <w:r w:rsidR="009F00B2" w:rsidRPr="00162BAB">
        <w:rPr>
          <w:sz w:val="26"/>
          <w:szCs w:val="26"/>
        </w:rPr>
        <w:t xml:space="preserve">does not </w:t>
      </w:r>
      <w:r w:rsidR="00162BAB" w:rsidRPr="00162BAB">
        <w:rPr>
          <w:sz w:val="26"/>
          <w:szCs w:val="26"/>
        </w:rPr>
        <w:t>signify</w:t>
      </w:r>
      <w:r w:rsidR="00162BAB">
        <w:rPr>
          <w:sz w:val="26"/>
          <w:szCs w:val="26"/>
        </w:rPr>
        <w:t xml:space="preserve"> that the </w:t>
      </w:r>
      <w:r w:rsidR="0035036A">
        <w:rPr>
          <w:sz w:val="26"/>
          <w:szCs w:val="26"/>
        </w:rPr>
        <w:t xml:space="preserve">recording of the Complainant’s </w:t>
      </w:r>
      <w:r w:rsidR="00162BAB">
        <w:rPr>
          <w:sz w:val="26"/>
          <w:szCs w:val="26"/>
        </w:rPr>
        <w:t>electricity c</w:t>
      </w:r>
      <w:r w:rsidR="0035036A">
        <w:rPr>
          <w:sz w:val="26"/>
          <w:szCs w:val="26"/>
        </w:rPr>
        <w:t>onsumption</w:t>
      </w:r>
      <w:r w:rsidR="00162BAB">
        <w:rPr>
          <w:sz w:val="26"/>
          <w:szCs w:val="26"/>
        </w:rPr>
        <w:t xml:space="preserve"> before the measures were installed was inaccurate and that a high bill investigation was</w:t>
      </w:r>
      <w:r w:rsidR="0035036A">
        <w:rPr>
          <w:sz w:val="26"/>
          <w:szCs w:val="26"/>
        </w:rPr>
        <w:t>,</w:t>
      </w:r>
      <w:r w:rsidR="00162BAB">
        <w:rPr>
          <w:sz w:val="26"/>
          <w:szCs w:val="26"/>
        </w:rPr>
        <w:t xml:space="preserve"> therefore</w:t>
      </w:r>
      <w:r w:rsidR="0035036A">
        <w:rPr>
          <w:sz w:val="26"/>
          <w:szCs w:val="26"/>
        </w:rPr>
        <w:t>,</w:t>
      </w:r>
      <w:r w:rsidR="00162BAB">
        <w:rPr>
          <w:sz w:val="26"/>
          <w:szCs w:val="26"/>
        </w:rPr>
        <w:t xml:space="preserve"> warranted.  It simply </w:t>
      </w:r>
      <w:r w:rsidR="000B22C6">
        <w:rPr>
          <w:sz w:val="26"/>
          <w:szCs w:val="26"/>
        </w:rPr>
        <w:t>suggests</w:t>
      </w:r>
      <w:r w:rsidR="00025B53">
        <w:rPr>
          <w:sz w:val="26"/>
          <w:szCs w:val="26"/>
        </w:rPr>
        <w:t xml:space="preserve"> the effectiveness of the </w:t>
      </w:r>
      <w:r w:rsidR="00025B53">
        <w:rPr>
          <w:sz w:val="26"/>
          <w:szCs w:val="26"/>
        </w:rPr>
        <w:lastRenderedPageBreak/>
        <w:t xml:space="preserve">installed measures.  Moreover, </w:t>
      </w:r>
      <w:r w:rsidR="00814D88">
        <w:rPr>
          <w:sz w:val="26"/>
          <w:szCs w:val="26"/>
        </w:rPr>
        <w:t xml:space="preserve">contrary to the ALJ’s assumption, </w:t>
      </w:r>
      <w:r w:rsidR="00025B53">
        <w:rPr>
          <w:sz w:val="26"/>
          <w:szCs w:val="26"/>
        </w:rPr>
        <w:t xml:space="preserve">a typical high bill investigation would not likely </w:t>
      </w:r>
      <w:r w:rsidR="00814D88">
        <w:rPr>
          <w:sz w:val="26"/>
          <w:szCs w:val="26"/>
        </w:rPr>
        <w:t xml:space="preserve">result in the implementation of the types of energy efficiency measures that apparently were installed as a result of the LIURP investigation at the Complainant’s residence.  Rather, a high bill </w:t>
      </w:r>
      <w:r w:rsidR="000B22C6">
        <w:rPr>
          <w:sz w:val="26"/>
          <w:szCs w:val="26"/>
        </w:rPr>
        <w:t xml:space="preserve">investigation would </w:t>
      </w:r>
      <w:r w:rsidR="00814D88">
        <w:rPr>
          <w:sz w:val="26"/>
          <w:szCs w:val="26"/>
        </w:rPr>
        <w:t xml:space="preserve">determine whether the Complainant had the potential to use the amount of energy for which she was </w:t>
      </w:r>
      <w:r w:rsidR="0078176F">
        <w:rPr>
          <w:sz w:val="26"/>
          <w:szCs w:val="26"/>
        </w:rPr>
        <w:t>billed, based on t</w:t>
      </w:r>
      <w:r w:rsidR="00E13EB4">
        <w:rPr>
          <w:sz w:val="26"/>
          <w:szCs w:val="26"/>
        </w:rPr>
        <w:t>he appliances found in the home</w:t>
      </w:r>
      <w:r w:rsidR="0078176F">
        <w:rPr>
          <w:sz w:val="26"/>
          <w:szCs w:val="26"/>
        </w:rPr>
        <w:t xml:space="preserve"> and the Complainant’s usage habits.  Thus, even if a high bill investigation had been conducted in December 2013, </w:t>
      </w:r>
      <w:r w:rsidR="000E2B40">
        <w:rPr>
          <w:sz w:val="26"/>
          <w:szCs w:val="26"/>
        </w:rPr>
        <w:t>it would only have determined whether the Complainant’s energy consumption was in line with her usage potential, and would not necessarily have resulted in the Complainant reducing her consumption earlier than September 2014 as the</w:t>
      </w:r>
      <w:r w:rsidR="00E13EB4">
        <w:rPr>
          <w:sz w:val="26"/>
          <w:szCs w:val="26"/>
        </w:rPr>
        <w:t xml:space="preserve"> ALJ asserted.</w:t>
      </w:r>
    </w:p>
    <w:p w:rsidR="00F6259A" w:rsidRDefault="00F6259A" w:rsidP="000E2B40">
      <w:pPr>
        <w:widowControl/>
        <w:spacing w:line="360" w:lineRule="auto"/>
        <w:rPr>
          <w:sz w:val="26"/>
          <w:szCs w:val="26"/>
        </w:rPr>
      </w:pPr>
    </w:p>
    <w:p w:rsidR="00FB7CFB" w:rsidRDefault="00F6259A" w:rsidP="0074563B">
      <w:pPr>
        <w:widowControl/>
        <w:spacing w:line="360" w:lineRule="auto"/>
        <w:rPr>
          <w:sz w:val="26"/>
          <w:szCs w:val="26"/>
        </w:rPr>
      </w:pPr>
      <w:r>
        <w:rPr>
          <w:sz w:val="26"/>
          <w:szCs w:val="26"/>
        </w:rPr>
        <w:tab/>
      </w:r>
      <w:r>
        <w:rPr>
          <w:sz w:val="26"/>
          <w:szCs w:val="26"/>
        </w:rPr>
        <w:tab/>
      </w:r>
      <w:r w:rsidR="004265E2">
        <w:rPr>
          <w:sz w:val="26"/>
          <w:szCs w:val="26"/>
        </w:rPr>
        <w:t xml:space="preserve">For the above-stated reasons, we </w:t>
      </w:r>
      <w:r w:rsidR="000C521F">
        <w:rPr>
          <w:sz w:val="26"/>
          <w:szCs w:val="26"/>
        </w:rPr>
        <w:t>conclude</w:t>
      </w:r>
      <w:r w:rsidR="00F52858">
        <w:rPr>
          <w:sz w:val="26"/>
          <w:szCs w:val="26"/>
        </w:rPr>
        <w:t xml:space="preserve"> that a high usage/high bill investigation was neither requested nor warranted under the circumstan</w:t>
      </w:r>
      <w:r w:rsidR="000C521F">
        <w:rPr>
          <w:sz w:val="26"/>
          <w:szCs w:val="26"/>
        </w:rPr>
        <w:t>ces described.  Accordingly, we find no violation of 52 Pa. Code § 56.151, and will grant PECO’s Exceptions and reverse</w:t>
      </w:r>
      <w:r w:rsidR="00E231EE">
        <w:rPr>
          <w:sz w:val="26"/>
          <w:szCs w:val="26"/>
        </w:rPr>
        <w:t xml:space="preserve"> the</w:t>
      </w:r>
      <w:r w:rsidR="00CF3980">
        <w:rPr>
          <w:sz w:val="26"/>
          <w:szCs w:val="26"/>
        </w:rPr>
        <w:t xml:space="preserve"> Initial Dec</w:t>
      </w:r>
      <w:r w:rsidR="000C521F">
        <w:rPr>
          <w:sz w:val="26"/>
          <w:szCs w:val="26"/>
        </w:rPr>
        <w:t>ision on this issue</w:t>
      </w:r>
      <w:r w:rsidR="00F52858">
        <w:rPr>
          <w:sz w:val="26"/>
          <w:szCs w:val="26"/>
        </w:rPr>
        <w:t>.</w:t>
      </w:r>
    </w:p>
    <w:p w:rsidR="0023153A" w:rsidRDefault="0023153A" w:rsidP="0074563B">
      <w:pPr>
        <w:widowControl/>
        <w:spacing w:line="360" w:lineRule="auto"/>
        <w:rPr>
          <w:sz w:val="26"/>
          <w:szCs w:val="26"/>
        </w:rPr>
      </w:pPr>
    </w:p>
    <w:p w:rsidR="00755F90" w:rsidRPr="00755F90" w:rsidRDefault="00755F90" w:rsidP="000C0632">
      <w:pPr>
        <w:keepNext/>
        <w:widowControl/>
        <w:spacing w:line="360" w:lineRule="auto"/>
        <w:rPr>
          <w:b/>
          <w:sz w:val="26"/>
          <w:szCs w:val="26"/>
        </w:rPr>
      </w:pPr>
      <w:r>
        <w:rPr>
          <w:sz w:val="26"/>
          <w:szCs w:val="26"/>
        </w:rPr>
        <w:tab/>
      </w:r>
      <w:r w:rsidR="00C90502">
        <w:rPr>
          <w:b/>
          <w:sz w:val="26"/>
          <w:szCs w:val="26"/>
        </w:rPr>
        <w:t>6</w:t>
      </w:r>
      <w:r w:rsidRPr="00755F90">
        <w:rPr>
          <w:b/>
          <w:sz w:val="26"/>
          <w:szCs w:val="26"/>
        </w:rPr>
        <w:t>.</w:t>
      </w:r>
      <w:r w:rsidRPr="00755F90">
        <w:rPr>
          <w:b/>
          <w:sz w:val="26"/>
          <w:szCs w:val="26"/>
        </w:rPr>
        <w:tab/>
        <w:t>Explanation of Charges on Bill</w:t>
      </w:r>
    </w:p>
    <w:p w:rsidR="00755F90" w:rsidRDefault="00755F90" w:rsidP="000C0632">
      <w:pPr>
        <w:keepNext/>
        <w:widowControl/>
        <w:spacing w:line="360" w:lineRule="auto"/>
        <w:rPr>
          <w:sz w:val="26"/>
          <w:szCs w:val="26"/>
        </w:rPr>
      </w:pPr>
    </w:p>
    <w:p w:rsidR="00DD08AB" w:rsidRPr="00DD08AB" w:rsidRDefault="00DD08AB" w:rsidP="000C0632">
      <w:pPr>
        <w:keepNext/>
        <w:widowControl/>
        <w:spacing w:line="360" w:lineRule="auto"/>
        <w:rPr>
          <w:b/>
          <w:sz w:val="26"/>
          <w:szCs w:val="26"/>
        </w:rPr>
      </w:pPr>
      <w:r>
        <w:rPr>
          <w:sz w:val="26"/>
          <w:szCs w:val="26"/>
        </w:rPr>
        <w:tab/>
      </w:r>
      <w:r>
        <w:rPr>
          <w:sz w:val="26"/>
          <w:szCs w:val="26"/>
        </w:rPr>
        <w:tab/>
      </w:r>
      <w:r w:rsidRPr="00DD08AB">
        <w:rPr>
          <w:b/>
          <w:sz w:val="26"/>
          <w:szCs w:val="26"/>
        </w:rPr>
        <w:t>a.</w:t>
      </w:r>
      <w:r w:rsidRPr="00DD08AB">
        <w:rPr>
          <w:b/>
          <w:sz w:val="26"/>
          <w:szCs w:val="26"/>
        </w:rPr>
        <w:tab/>
        <w:t>ALJ’s Initial Decision</w:t>
      </w:r>
    </w:p>
    <w:p w:rsidR="00DD08AB" w:rsidRDefault="00DD08AB" w:rsidP="000C0632">
      <w:pPr>
        <w:keepNext/>
        <w:widowControl/>
        <w:spacing w:line="360" w:lineRule="auto"/>
        <w:rPr>
          <w:sz w:val="26"/>
          <w:szCs w:val="26"/>
        </w:rPr>
      </w:pPr>
    </w:p>
    <w:p w:rsidR="001C18BA" w:rsidRDefault="00755F90" w:rsidP="0074563B">
      <w:pPr>
        <w:widowControl/>
        <w:spacing w:line="360" w:lineRule="auto"/>
        <w:rPr>
          <w:sz w:val="26"/>
          <w:szCs w:val="26"/>
        </w:rPr>
      </w:pPr>
      <w:r>
        <w:rPr>
          <w:sz w:val="26"/>
          <w:szCs w:val="26"/>
        </w:rPr>
        <w:tab/>
      </w:r>
      <w:r>
        <w:rPr>
          <w:sz w:val="26"/>
          <w:szCs w:val="26"/>
        </w:rPr>
        <w:tab/>
        <w:t>The ALJ</w:t>
      </w:r>
      <w:r w:rsidR="001A5404">
        <w:rPr>
          <w:sz w:val="26"/>
          <w:szCs w:val="26"/>
        </w:rPr>
        <w:t xml:space="preserve"> also addressed the question of whether PECO provided the Complainant with a satisfactory explanation of certain charges that </w:t>
      </w:r>
      <w:r w:rsidR="001C18BA">
        <w:rPr>
          <w:sz w:val="26"/>
          <w:szCs w:val="26"/>
        </w:rPr>
        <w:t>appeared</w:t>
      </w:r>
      <w:r w:rsidR="001A5404">
        <w:rPr>
          <w:sz w:val="26"/>
          <w:szCs w:val="26"/>
        </w:rPr>
        <w:t xml:space="preserve"> on her utility bills</w:t>
      </w:r>
      <w:r w:rsidR="00D63350">
        <w:rPr>
          <w:sz w:val="26"/>
          <w:szCs w:val="26"/>
        </w:rPr>
        <w:t xml:space="preserve"> for service at her Aspen Avenue address.  </w:t>
      </w:r>
      <w:r w:rsidR="00D63350" w:rsidRPr="00852E36">
        <w:rPr>
          <w:sz w:val="26"/>
          <w:szCs w:val="26"/>
        </w:rPr>
        <w:t>Specifically, the ALJ</w:t>
      </w:r>
      <w:r w:rsidR="00852E36" w:rsidRPr="00852E36">
        <w:rPr>
          <w:sz w:val="26"/>
          <w:szCs w:val="26"/>
        </w:rPr>
        <w:t xml:space="preserve"> noted that sometime after the Complainant began to receive service at that address in November 2013, she began receiving bills listing multiple charges labeled “Reinstate bad debt – GAS SERVICE,” “</w:t>
      </w:r>
      <w:r w:rsidR="00852E36" w:rsidRPr="008354D0">
        <w:rPr>
          <w:sz w:val="26"/>
          <w:szCs w:val="26"/>
        </w:rPr>
        <w:t xml:space="preserve">Reinstate bad debt – Service,” and </w:t>
      </w:r>
      <w:r w:rsidR="00615F2E" w:rsidRPr="008354D0">
        <w:rPr>
          <w:sz w:val="26"/>
          <w:szCs w:val="26"/>
        </w:rPr>
        <w:t>“</w:t>
      </w:r>
      <w:r w:rsidR="00852E36" w:rsidRPr="008354D0">
        <w:rPr>
          <w:sz w:val="26"/>
          <w:szCs w:val="26"/>
        </w:rPr>
        <w:t>Reinstate bad debt –</w:t>
      </w:r>
      <w:r w:rsidR="005309BD">
        <w:rPr>
          <w:sz w:val="26"/>
          <w:szCs w:val="26"/>
        </w:rPr>
        <w:t xml:space="preserve"> </w:t>
      </w:r>
      <w:r w:rsidR="00852E36" w:rsidRPr="008354D0">
        <w:rPr>
          <w:sz w:val="26"/>
          <w:szCs w:val="26"/>
        </w:rPr>
        <w:t xml:space="preserve">Misc. business.”  I.D. at 14-15, </w:t>
      </w:r>
      <w:r w:rsidR="00DC6195" w:rsidRPr="008354D0">
        <w:rPr>
          <w:sz w:val="26"/>
          <w:szCs w:val="26"/>
        </w:rPr>
        <w:t>29 (citing Tr</w:t>
      </w:r>
      <w:r w:rsidR="008354D0" w:rsidRPr="008354D0">
        <w:rPr>
          <w:sz w:val="26"/>
          <w:szCs w:val="26"/>
        </w:rPr>
        <w:t xml:space="preserve">. at 33-34; Complainant Exh. C).  </w:t>
      </w:r>
      <w:r w:rsidR="00977FDA">
        <w:rPr>
          <w:sz w:val="26"/>
          <w:szCs w:val="26"/>
        </w:rPr>
        <w:t>According to the ALJ,</w:t>
      </w:r>
      <w:r w:rsidR="008354D0" w:rsidRPr="008354D0">
        <w:rPr>
          <w:sz w:val="26"/>
          <w:szCs w:val="26"/>
        </w:rPr>
        <w:t xml:space="preserve"> the Complainant </w:t>
      </w:r>
      <w:r w:rsidR="001C18BA" w:rsidRPr="008354D0">
        <w:rPr>
          <w:sz w:val="26"/>
          <w:szCs w:val="26"/>
        </w:rPr>
        <w:t xml:space="preserve"> repeatedly conta</w:t>
      </w:r>
      <w:r w:rsidR="00977FDA">
        <w:rPr>
          <w:sz w:val="26"/>
          <w:szCs w:val="26"/>
        </w:rPr>
        <w:t>cted PECO for an explanation of</w:t>
      </w:r>
      <w:r w:rsidR="001C18BA" w:rsidRPr="008354D0">
        <w:rPr>
          <w:sz w:val="26"/>
          <w:szCs w:val="26"/>
        </w:rPr>
        <w:t xml:space="preserve"> these charge</w:t>
      </w:r>
      <w:r w:rsidR="008354D0" w:rsidRPr="008354D0">
        <w:rPr>
          <w:sz w:val="26"/>
          <w:szCs w:val="26"/>
        </w:rPr>
        <w:t xml:space="preserve">s </w:t>
      </w:r>
      <w:r w:rsidR="008354D0" w:rsidRPr="008354D0">
        <w:rPr>
          <w:sz w:val="26"/>
          <w:szCs w:val="26"/>
        </w:rPr>
        <w:lastRenderedPageBreak/>
        <w:t>but PECO provided no explanation until after the</w:t>
      </w:r>
      <w:r w:rsidR="001C18BA" w:rsidRPr="008354D0">
        <w:rPr>
          <w:sz w:val="26"/>
          <w:szCs w:val="26"/>
        </w:rPr>
        <w:t xml:space="preserve"> Complaint</w:t>
      </w:r>
      <w:r w:rsidR="008354D0" w:rsidRPr="008354D0">
        <w:rPr>
          <w:sz w:val="26"/>
          <w:szCs w:val="26"/>
        </w:rPr>
        <w:t xml:space="preserve"> was filed</w:t>
      </w:r>
      <w:r w:rsidR="001C18BA" w:rsidRPr="008354D0">
        <w:rPr>
          <w:sz w:val="26"/>
          <w:szCs w:val="26"/>
        </w:rPr>
        <w:t xml:space="preserve"> in </w:t>
      </w:r>
      <w:r w:rsidR="00685202">
        <w:rPr>
          <w:sz w:val="26"/>
          <w:szCs w:val="26"/>
        </w:rPr>
        <w:t>January</w:t>
      </w:r>
      <w:r w:rsidR="001C18BA" w:rsidRPr="008354D0">
        <w:rPr>
          <w:sz w:val="26"/>
          <w:szCs w:val="26"/>
        </w:rPr>
        <w:t xml:space="preserve"> 2015.  </w:t>
      </w:r>
      <w:r w:rsidR="0015284C">
        <w:rPr>
          <w:sz w:val="26"/>
          <w:szCs w:val="26"/>
        </w:rPr>
        <w:t xml:space="preserve">I.D. at 29 </w:t>
      </w:r>
      <w:r w:rsidR="001C18BA" w:rsidRPr="008354D0">
        <w:rPr>
          <w:sz w:val="26"/>
          <w:szCs w:val="26"/>
        </w:rPr>
        <w:t>(</w:t>
      </w:r>
      <w:r w:rsidR="0015284C">
        <w:rPr>
          <w:sz w:val="26"/>
          <w:szCs w:val="26"/>
        </w:rPr>
        <w:t xml:space="preserve">citing </w:t>
      </w:r>
      <w:r w:rsidR="001C18BA" w:rsidRPr="008354D0">
        <w:rPr>
          <w:sz w:val="26"/>
          <w:szCs w:val="26"/>
        </w:rPr>
        <w:t>Tr.</w:t>
      </w:r>
      <w:r w:rsidR="0015284C">
        <w:rPr>
          <w:sz w:val="26"/>
          <w:szCs w:val="26"/>
        </w:rPr>
        <w:t xml:space="preserve"> at</w:t>
      </w:r>
      <w:r w:rsidR="001C18BA" w:rsidRPr="008354D0">
        <w:rPr>
          <w:sz w:val="26"/>
          <w:szCs w:val="26"/>
        </w:rPr>
        <w:t xml:space="preserve"> 34,</w:t>
      </w:r>
      <w:r w:rsidR="0015284C">
        <w:rPr>
          <w:sz w:val="26"/>
          <w:szCs w:val="26"/>
        </w:rPr>
        <w:t xml:space="preserve"> 42,</w:t>
      </w:r>
      <w:r w:rsidR="001C18BA" w:rsidRPr="008354D0">
        <w:rPr>
          <w:sz w:val="26"/>
          <w:szCs w:val="26"/>
        </w:rPr>
        <w:t xml:space="preserve"> 107-108.)  </w:t>
      </w:r>
    </w:p>
    <w:p w:rsidR="005309BD" w:rsidRDefault="005309BD" w:rsidP="0074563B">
      <w:pPr>
        <w:widowControl/>
        <w:spacing w:line="360" w:lineRule="auto"/>
        <w:rPr>
          <w:sz w:val="26"/>
          <w:szCs w:val="26"/>
        </w:rPr>
      </w:pPr>
    </w:p>
    <w:p w:rsidR="00755F90" w:rsidRDefault="005309BD" w:rsidP="00755F90">
      <w:pPr>
        <w:widowControl/>
        <w:spacing w:line="360" w:lineRule="auto"/>
        <w:rPr>
          <w:sz w:val="26"/>
          <w:szCs w:val="26"/>
        </w:rPr>
      </w:pPr>
      <w:r>
        <w:rPr>
          <w:sz w:val="26"/>
          <w:szCs w:val="26"/>
        </w:rPr>
        <w:tab/>
      </w:r>
      <w:r>
        <w:rPr>
          <w:sz w:val="26"/>
          <w:szCs w:val="26"/>
        </w:rPr>
        <w:tab/>
      </w:r>
      <w:r w:rsidRPr="005309BD">
        <w:rPr>
          <w:sz w:val="26"/>
          <w:szCs w:val="26"/>
        </w:rPr>
        <w:t>The ALJ noted the testimony of PECO’s witness</w:t>
      </w:r>
      <w:r w:rsidR="00D67761">
        <w:rPr>
          <w:sz w:val="26"/>
          <w:szCs w:val="26"/>
        </w:rPr>
        <w:t>,</w:t>
      </w:r>
      <w:r w:rsidR="001218D6">
        <w:rPr>
          <w:sz w:val="26"/>
          <w:szCs w:val="26"/>
        </w:rPr>
        <w:t xml:space="preserve"> Ms.</w:t>
      </w:r>
      <w:r w:rsidRPr="005309BD">
        <w:rPr>
          <w:sz w:val="26"/>
          <w:szCs w:val="26"/>
        </w:rPr>
        <w:t xml:space="preserve"> Tarpley, who explained that the “reinstate bad debt”</w:t>
      </w:r>
      <w:r>
        <w:rPr>
          <w:sz w:val="26"/>
          <w:szCs w:val="26"/>
        </w:rPr>
        <w:t xml:space="preserve"> charge</w:t>
      </w:r>
      <w:r w:rsidRPr="005309BD">
        <w:rPr>
          <w:sz w:val="26"/>
          <w:szCs w:val="26"/>
        </w:rPr>
        <w:t xml:space="preserve"> will appear as a line i</w:t>
      </w:r>
      <w:r w:rsidR="00130146">
        <w:rPr>
          <w:sz w:val="26"/>
          <w:szCs w:val="26"/>
        </w:rPr>
        <w:t>tem on a customer’s bill if the</w:t>
      </w:r>
      <w:r w:rsidRPr="005309BD">
        <w:rPr>
          <w:sz w:val="26"/>
          <w:szCs w:val="26"/>
        </w:rPr>
        <w:t xml:space="preserve"> customer </w:t>
      </w:r>
      <w:r w:rsidR="00755F90" w:rsidRPr="005309BD">
        <w:rPr>
          <w:sz w:val="26"/>
          <w:szCs w:val="26"/>
        </w:rPr>
        <w:t xml:space="preserve">defaults on </w:t>
      </w:r>
      <w:r w:rsidRPr="005309BD">
        <w:rPr>
          <w:sz w:val="26"/>
          <w:szCs w:val="26"/>
        </w:rPr>
        <w:t>a payment agreement or has</w:t>
      </w:r>
      <w:r w:rsidR="00755F90" w:rsidRPr="005309BD">
        <w:rPr>
          <w:sz w:val="26"/>
          <w:szCs w:val="26"/>
        </w:rPr>
        <w:t xml:space="preserve"> a fo</w:t>
      </w:r>
      <w:r w:rsidRPr="005309BD">
        <w:rPr>
          <w:sz w:val="26"/>
          <w:szCs w:val="26"/>
        </w:rPr>
        <w:t>rmer balance that becomes</w:t>
      </w:r>
      <w:r w:rsidR="00755F90" w:rsidRPr="005309BD">
        <w:rPr>
          <w:sz w:val="26"/>
          <w:szCs w:val="26"/>
        </w:rPr>
        <w:t xml:space="preserve"> due or</w:t>
      </w:r>
      <w:r w:rsidRPr="005309BD">
        <w:rPr>
          <w:sz w:val="26"/>
          <w:szCs w:val="26"/>
        </w:rPr>
        <w:t xml:space="preserve"> is being questioned.  I.D. at 29 (citing Tr. at 106).</w:t>
      </w:r>
      <w:r>
        <w:rPr>
          <w:sz w:val="26"/>
          <w:szCs w:val="26"/>
        </w:rPr>
        <w:t xml:space="preserve">  Ms. Tarpley </w:t>
      </w:r>
      <w:r w:rsidR="002C06A7">
        <w:rPr>
          <w:sz w:val="26"/>
          <w:szCs w:val="26"/>
        </w:rPr>
        <w:t>further testified that</w:t>
      </w:r>
      <w:r w:rsidR="002753DC">
        <w:rPr>
          <w:sz w:val="26"/>
          <w:szCs w:val="26"/>
        </w:rPr>
        <w:t xml:space="preserve"> she</w:t>
      </w:r>
      <w:r w:rsidR="002C06A7">
        <w:rPr>
          <w:sz w:val="26"/>
          <w:szCs w:val="26"/>
        </w:rPr>
        <w:t xml:space="preserve"> sent the Complainant a letter dated February 12, 2015, in which she provided an explanation of the “reinstate bad debt” charges and late payment charges that appeared on the Complainant’s bills.  I.D. at 29 (citing Tr. 107-108</w:t>
      </w:r>
      <w:r w:rsidR="002C06A7" w:rsidRPr="0003548D">
        <w:rPr>
          <w:sz w:val="26"/>
          <w:szCs w:val="26"/>
        </w:rPr>
        <w:t>).</w:t>
      </w:r>
      <w:r w:rsidR="0003548D" w:rsidRPr="0003548D">
        <w:rPr>
          <w:sz w:val="26"/>
          <w:szCs w:val="26"/>
        </w:rPr>
        <w:t xml:space="preserve">  However,</w:t>
      </w:r>
      <w:r w:rsidR="00502085" w:rsidRPr="0003548D">
        <w:rPr>
          <w:sz w:val="26"/>
          <w:szCs w:val="26"/>
        </w:rPr>
        <w:t xml:space="preserve"> the ALJ found that</w:t>
      </w:r>
      <w:r w:rsidR="0003548D" w:rsidRPr="0003548D">
        <w:rPr>
          <w:sz w:val="26"/>
          <w:szCs w:val="26"/>
        </w:rPr>
        <w:t xml:space="preserve"> </w:t>
      </w:r>
      <w:r w:rsidR="00FB3D61">
        <w:rPr>
          <w:sz w:val="26"/>
          <w:szCs w:val="26"/>
        </w:rPr>
        <w:t>the bills provided to the Complainant</w:t>
      </w:r>
      <w:r w:rsidR="00FB3D61" w:rsidRPr="0003548D">
        <w:rPr>
          <w:sz w:val="26"/>
          <w:szCs w:val="26"/>
        </w:rPr>
        <w:t xml:space="preserve"> did not adequately explain that the bad debt referenced therein related to service at previous addresses</w:t>
      </w:r>
      <w:r w:rsidR="00FB3D61">
        <w:rPr>
          <w:sz w:val="26"/>
          <w:szCs w:val="26"/>
        </w:rPr>
        <w:t xml:space="preserve">, and therefore, did not </w:t>
      </w:r>
      <w:r w:rsidR="0003548D">
        <w:rPr>
          <w:sz w:val="26"/>
          <w:szCs w:val="26"/>
        </w:rPr>
        <w:t xml:space="preserve">comply with Section 56.15 of the Commission’s Regulations, which </w:t>
      </w:r>
      <w:r w:rsidR="0003548D" w:rsidRPr="00201B9B">
        <w:rPr>
          <w:sz w:val="26"/>
          <w:szCs w:val="26"/>
        </w:rPr>
        <w:t>requires that billing information be clearly</w:t>
      </w:r>
      <w:r w:rsidR="00FB3D61" w:rsidRPr="00201B9B">
        <w:rPr>
          <w:sz w:val="26"/>
          <w:szCs w:val="26"/>
        </w:rPr>
        <w:t xml:space="preserve"> stated.</w:t>
      </w:r>
      <w:r w:rsidR="009B02F5">
        <w:rPr>
          <w:rStyle w:val="FootnoteReference"/>
          <w:sz w:val="26"/>
          <w:szCs w:val="26"/>
        </w:rPr>
        <w:footnoteReference w:id="20"/>
      </w:r>
      <w:r w:rsidR="00FB3D61" w:rsidRPr="00201B9B">
        <w:rPr>
          <w:sz w:val="26"/>
          <w:szCs w:val="26"/>
        </w:rPr>
        <w:t xml:space="preserve">  </w:t>
      </w:r>
      <w:r w:rsidR="00201B9B" w:rsidRPr="00201B9B">
        <w:rPr>
          <w:sz w:val="26"/>
          <w:szCs w:val="26"/>
        </w:rPr>
        <w:t>Moreover, the ALJ found that PECO’s failure to explain the bad debt charges to the Complainant until</w:t>
      </w:r>
      <w:r w:rsidR="00130146">
        <w:rPr>
          <w:sz w:val="26"/>
          <w:szCs w:val="26"/>
        </w:rPr>
        <w:t xml:space="preserve"> after</w:t>
      </w:r>
      <w:r w:rsidR="00201B9B" w:rsidRPr="00201B9B">
        <w:rPr>
          <w:sz w:val="26"/>
          <w:szCs w:val="26"/>
        </w:rPr>
        <w:t xml:space="preserve"> she filed her Complaint </w:t>
      </w:r>
      <w:r w:rsidR="00755F90" w:rsidRPr="00201B9B">
        <w:rPr>
          <w:sz w:val="26"/>
          <w:szCs w:val="26"/>
        </w:rPr>
        <w:t>constituted unreasonable service</w:t>
      </w:r>
      <w:r w:rsidR="00201B9B" w:rsidRPr="00201B9B">
        <w:rPr>
          <w:sz w:val="26"/>
          <w:szCs w:val="26"/>
        </w:rPr>
        <w:t>,</w:t>
      </w:r>
      <w:r w:rsidR="00755F90" w:rsidRPr="00201B9B">
        <w:rPr>
          <w:sz w:val="26"/>
          <w:szCs w:val="26"/>
        </w:rPr>
        <w:t xml:space="preserve"> in violation of Section 1501 of the Code.</w:t>
      </w:r>
      <w:r w:rsidR="00CA5CC1">
        <w:rPr>
          <w:sz w:val="26"/>
          <w:szCs w:val="26"/>
        </w:rPr>
        <w:t xml:space="preserve">  I.D. at 29-30.</w:t>
      </w:r>
    </w:p>
    <w:p w:rsidR="000C6CCD" w:rsidRDefault="000C6CCD" w:rsidP="00755F90">
      <w:pPr>
        <w:widowControl/>
        <w:spacing w:line="360" w:lineRule="auto"/>
        <w:rPr>
          <w:sz w:val="26"/>
          <w:szCs w:val="26"/>
        </w:rPr>
      </w:pPr>
    </w:p>
    <w:p w:rsidR="00DD08AB" w:rsidRPr="008648BD" w:rsidRDefault="00DD08AB" w:rsidP="00DD08AB">
      <w:pPr>
        <w:keepNext/>
        <w:widowControl/>
        <w:spacing w:line="360" w:lineRule="auto"/>
        <w:rPr>
          <w:b/>
          <w:sz w:val="26"/>
          <w:szCs w:val="26"/>
        </w:rPr>
      </w:pPr>
      <w:r>
        <w:rPr>
          <w:b/>
          <w:sz w:val="26"/>
          <w:szCs w:val="26"/>
        </w:rPr>
        <w:tab/>
      </w:r>
      <w:r>
        <w:rPr>
          <w:b/>
          <w:sz w:val="26"/>
          <w:szCs w:val="26"/>
        </w:rPr>
        <w:tab/>
        <w:t>b</w:t>
      </w:r>
      <w:r w:rsidRPr="008648BD">
        <w:rPr>
          <w:b/>
          <w:sz w:val="26"/>
          <w:szCs w:val="26"/>
        </w:rPr>
        <w:t>.</w:t>
      </w:r>
      <w:r w:rsidRPr="008648BD">
        <w:rPr>
          <w:b/>
          <w:sz w:val="26"/>
          <w:szCs w:val="26"/>
        </w:rPr>
        <w:tab/>
        <w:t>PECO’s Exceptions</w:t>
      </w:r>
    </w:p>
    <w:p w:rsidR="00DD08AB" w:rsidRPr="00394793" w:rsidRDefault="00DD08AB" w:rsidP="00DD08AB">
      <w:pPr>
        <w:keepNext/>
        <w:widowControl/>
        <w:spacing w:line="360" w:lineRule="auto"/>
        <w:rPr>
          <w:sz w:val="26"/>
          <w:szCs w:val="26"/>
        </w:rPr>
      </w:pPr>
    </w:p>
    <w:p w:rsidR="00DD08AB" w:rsidRDefault="00DD08AB" w:rsidP="00DD08AB">
      <w:pPr>
        <w:widowControl/>
        <w:spacing w:line="360" w:lineRule="auto"/>
        <w:rPr>
          <w:sz w:val="26"/>
          <w:szCs w:val="26"/>
        </w:rPr>
      </w:pPr>
      <w:r w:rsidRPr="00394793">
        <w:rPr>
          <w:sz w:val="26"/>
          <w:szCs w:val="26"/>
        </w:rPr>
        <w:tab/>
      </w:r>
      <w:r w:rsidRPr="00394793">
        <w:rPr>
          <w:sz w:val="26"/>
          <w:szCs w:val="26"/>
        </w:rPr>
        <w:tab/>
        <w:t>PEC</w:t>
      </w:r>
      <w:r>
        <w:rPr>
          <w:sz w:val="26"/>
          <w:szCs w:val="26"/>
        </w:rPr>
        <w:t>O excepts to the ALJ’s finding that it violated Section 56.15 of the Commission’s Regulations and provided unreasonable service by failing to properly explain the</w:t>
      </w:r>
      <w:r w:rsidRPr="005309BD">
        <w:rPr>
          <w:sz w:val="26"/>
          <w:szCs w:val="26"/>
        </w:rPr>
        <w:t xml:space="preserve"> “reinstate bad debt”</w:t>
      </w:r>
      <w:r>
        <w:rPr>
          <w:sz w:val="26"/>
          <w:szCs w:val="26"/>
        </w:rPr>
        <w:t xml:space="preserve"> charges that appeared on the Complainant’s bills.  PECO disputes the ALJ’s determination that the Complainant called PECO repeated</w:t>
      </w:r>
      <w:r w:rsidR="006663E5">
        <w:rPr>
          <w:sz w:val="26"/>
          <w:szCs w:val="26"/>
        </w:rPr>
        <w:t>ly to question these charges and</w:t>
      </w:r>
      <w:r>
        <w:rPr>
          <w:sz w:val="26"/>
          <w:szCs w:val="26"/>
        </w:rPr>
        <w:t xml:space="preserve"> that PECO provided her no explanation until after she filed her Complaint.  PECO contends that it discussed the</w:t>
      </w:r>
      <w:r w:rsidR="006663E5">
        <w:rPr>
          <w:sz w:val="26"/>
          <w:szCs w:val="26"/>
        </w:rPr>
        <w:t xml:space="preserve"> “reinstate bad debt” charges at</w:t>
      </w:r>
      <w:r>
        <w:rPr>
          <w:sz w:val="26"/>
          <w:szCs w:val="26"/>
        </w:rPr>
        <w:t xml:space="preserve"> length with the Complainant, but the Complainant simply did not understand or agree with the explanation she received.  Exc. at 20-21.  PECO reiterates that these charges </w:t>
      </w:r>
      <w:r>
        <w:rPr>
          <w:sz w:val="26"/>
          <w:szCs w:val="26"/>
        </w:rPr>
        <w:lastRenderedPageBreak/>
        <w:t xml:space="preserve">related to former unpaid balances on the Complainant’s account that had come due, and asserts that the record contains numerous references to discussions between PECO and the Complainant regarding these transferred balances from prior addresses.  </w:t>
      </w:r>
      <w:r w:rsidRPr="00EF7891">
        <w:rPr>
          <w:i/>
          <w:sz w:val="26"/>
          <w:szCs w:val="26"/>
        </w:rPr>
        <w:t>Id</w:t>
      </w:r>
      <w:r>
        <w:rPr>
          <w:sz w:val="26"/>
          <w:szCs w:val="26"/>
        </w:rPr>
        <w:t>. at 21-22 (citing Tr. at 28, 34, 37, 56, 100, 140; PECO Exhs. 14 and 15).  According to PECO, the Complainant admitted that these conversations occurred, but that she did not understand them.  Exc. at 22 (citing Tr. at 140).  PECO asserts that the record testimony “makes it impossible to reach a conclusion that PECO actually refused to speak to her about her charges for a long period of months, and therefore it is not plausible to conclude that PECO engaged in unreasonable utility service for failure to explain its ‘reinstate bad debt’ charges.”  Exc. at 23.</w:t>
      </w:r>
    </w:p>
    <w:p w:rsidR="00DD08AB" w:rsidRDefault="00DD08AB" w:rsidP="002847E8">
      <w:pPr>
        <w:widowControl/>
        <w:spacing w:line="360" w:lineRule="auto"/>
        <w:rPr>
          <w:sz w:val="26"/>
          <w:szCs w:val="26"/>
        </w:rPr>
      </w:pPr>
    </w:p>
    <w:p w:rsidR="00DD08AB" w:rsidRDefault="00DD08AB" w:rsidP="002847E8">
      <w:pPr>
        <w:widowControl/>
        <w:spacing w:line="360" w:lineRule="auto"/>
        <w:rPr>
          <w:sz w:val="26"/>
          <w:szCs w:val="26"/>
        </w:rPr>
      </w:pPr>
      <w:r>
        <w:rPr>
          <w:sz w:val="26"/>
          <w:szCs w:val="26"/>
        </w:rPr>
        <w:tab/>
      </w:r>
      <w:r>
        <w:rPr>
          <w:sz w:val="26"/>
          <w:szCs w:val="26"/>
        </w:rPr>
        <w:tab/>
        <w:t>With regard to the ALJ’s finding that PECO violated 52 Pa. C</w:t>
      </w:r>
      <w:r w:rsidR="006663E5">
        <w:rPr>
          <w:sz w:val="26"/>
          <w:szCs w:val="26"/>
        </w:rPr>
        <w:t>ode § 56.15, PECO argues</w:t>
      </w:r>
      <w:r>
        <w:rPr>
          <w:sz w:val="26"/>
          <w:szCs w:val="26"/>
        </w:rPr>
        <w:t xml:space="preserve"> that while this regulation requires clarity in billing information, “it is not an omnibus statement regarding bill clarity.”  Exc. at 23.  PECO argues that none of the fourteen specific billing items enumerated in that regulation r</w:t>
      </w:r>
      <w:r w:rsidR="006663E5">
        <w:rPr>
          <w:sz w:val="26"/>
          <w:szCs w:val="26"/>
        </w:rPr>
        <w:t>elate to a required form of</w:t>
      </w:r>
      <w:r>
        <w:rPr>
          <w:sz w:val="26"/>
          <w:szCs w:val="26"/>
        </w:rPr>
        <w:t xml:space="preserve"> language that is to be used in reporting past due amounts, and no claim can be made that PECO violated any of the those fourteen items.  Moreover, PECO contends that even if an omnibus clarity requirement is read into the regulation, it would not warrant a finding that PECO violated that requirement.  PECO submits that “the concept of ‘reinstate bad debt’ is not a complex concept – the customer had a prior bad debt with PECO, and it is being reinstated on the bill.”  </w:t>
      </w:r>
      <w:r w:rsidRPr="00722BB9">
        <w:rPr>
          <w:i/>
          <w:sz w:val="26"/>
          <w:szCs w:val="26"/>
        </w:rPr>
        <w:t>Id</w:t>
      </w:r>
      <w:r>
        <w:rPr>
          <w:sz w:val="26"/>
          <w:szCs w:val="26"/>
        </w:rPr>
        <w:t xml:space="preserve">.  PECO argues that bill language cannot be found to be unclear merely because a customer testifies that she does not understand it.  According to PECO, “[t]hat approach would effectively give any customer a carte blanche opportunity to avoid paying their bills by the simple expedient of claiming that they do not understand why they owe them.”  </w:t>
      </w:r>
      <w:r w:rsidRPr="003479FD">
        <w:rPr>
          <w:i/>
          <w:sz w:val="26"/>
          <w:szCs w:val="26"/>
        </w:rPr>
        <w:t>Id</w:t>
      </w:r>
      <w:r>
        <w:rPr>
          <w:sz w:val="26"/>
          <w:szCs w:val="26"/>
        </w:rPr>
        <w:t>. at 24.</w:t>
      </w:r>
    </w:p>
    <w:p w:rsidR="00DD08AB" w:rsidRDefault="00DD08AB" w:rsidP="00DD08AB">
      <w:pPr>
        <w:widowControl/>
        <w:spacing w:line="360" w:lineRule="auto"/>
        <w:rPr>
          <w:sz w:val="26"/>
          <w:szCs w:val="26"/>
        </w:rPr>
      </w:pPr>
    </w:p>
    <w:p w:rsidR="00DD08AB" w:rsidRPr="00B42B90" w:rsidRDefault="00DD08AB" w:rsidP="00DD08AB">
      <w:pPr>
        <w:keepNext/>
        <w:widowControl/>
        <w:spacing w:line="360" w:lineRule="auto"/>
        <w:rPr>
          <w:b/>
          <w:sz w:val="26"/>
          <w:szCs w:val="26"/>
        </w:rPr>
      </w:pPr>
      <w:r w:rsidRPr="00317695">
        <w:rPr>
          <w:sz w:val="26"/>
          <w:szCs w:val="26"/>
        </w:rPr>
        <w:lastRenderedPageBreak/>
        <w:tab/>
      </w:r>
      <w:r w:rsidRPr="00317695">
        <w:rPr>
          <w:sz w:val="26"/>
          <w:szCs w:val="26"/>
        </w:rPr>
        <w:tab/>
      </w:r>
      <w:r>
        <w:rPr>
          <w:b/>
          <w:sz w:val="26"/>
          <w:szCs w:val="26"/>
        </w:rPr>
        <w:t>c</w:t>
      </w:r>
      <w:r w:rsidRPr="00B42B90">
        <w:rPr>
          <w:b/>
          <w:sz w:val="26"/>
          <w:szCs w:val="26"/>
        </w:rPr>
        <w:t>.</w:t>
      </w:r>
      <w:r w:rsidRPr="00B42B90">
        <w:rPr>
          <w:b/>
          <w:sz w:val="26"/>
          <w:szCs w:val="26"/>
        </w:rPr>
        <w:tab/>
        <w:t>Complainant’s Replies to PECO’s Exceptions</w:t>
      </w:r>
    </w:p>
    <w:p w:rsidR="00DD08AB" w:rsidRDefault="00DD08AB" w:rsidP="00DD08AB">
      <w:pPr>
        <w:keepNext/>
        <w:widowControl/>
        <w:spacing w:line="360" w:lineRule="auto"/>
        <w:rPr>
          <w:sz w:val="26"/>
          <w:szCs w:val="26"/>
        </w:rPr>
      </w:pPr>
    </w:p>
    <w:p w:rsidR="00DD08AB" w:rsidRDefault="00DD08AB" w:rsidP="00DD08AB">
      <w:pPr>
        <w:widowControl/>
        <w:spacing w:line="360" w:lineRule="auto"/>
        <w:rPr>
          <w:sz w:val="26"/>
          <w:szCs w:val="26"/>
        </w:rPr>
      </w:pPr>
      <w:r>
        <w:rPr>
          <w:sz w:val="26"/>
          <w:szCs w:val="26"/>
        </w:rPr>
        <w:tab/>
      </w:r>
      <w:r>
        <w:rPr>
          <w:sz w:val="26"/>
          <w:szCs w:val="26"/>
        </w:rPr>
        <w:tab/>
      </w:r>
      <w:r w:rsidRPr="00317695">
        <w:rPr>
          <w:sz w:val="26"/>
          <w:szCs w:val="26"/>
        </w:rPr>
        <w:t>In her Replies to PECO’s Exceptions</w:t>
      </w:r>
      <w:r>
        <w:rPr>
          <w:sz w:val="26"/>
          <w:szCs w:val="26"/>
        </w:rPr>
        <w:t xml:space="preserve">, </w:t>
      </w:r>
      <w:r w:rsidRPr="00317695">
        <w:rPr>
          <w:sz w:val="26"/>
          <w:szCs w:val="26"/>
        </w:rPr>
        <w:t>the Complainant</w:t>
      </w:r>
      <w:r>
        <w:rPr>
          <w:sz w:val="26"/>
          <w:szCs w:val="26"/>
        </w:rPr>
        <w:t xml:space="preserve"> disputes PECO’s contention that she was provided explanations of the charges on her bills, but did not understand or agree with them.  The Complainant asserts that the Initial Decision was based on findings from the testimony and not on PECO’s “proposed scenarios.”  R. Exc. at 2.  According to the Complainan</w:t>
      </w:r>
      <w:r w:rsidR="00D67761">
        <w:rPr>
          <w:sz w:val="26"/>
          <w:szCs w:val="26"/>
        </w:rPr>
        <w:t xml:space="preserve">t, PECO’s witness </w:t>
      </w:r>
      <w:r>
        <w:rPr>
          <w:sz w:val="26"/>
          <w:szCs w:val="26"/>
        </w:rPr>
        <w:t>finally explained the charges at the hearing.  In addition, the Complainant states that “[w]</w:t>
      </w:r>
      <w:r w:rsidRPr="00D22E73">
        <w:rPr>
          <w:sz w:val="26"/>
          <w:szCs w:val="26"/>
        </w:rPr>
        <w:t>hat does make this a bit more complex, than Ms. Ta</w:t>
      </w:r>
      <w:r>
        <w:rPr>
          <w:sz w:val="26"/>
          <w:szCs w:val="26"/>
        </w:rPr>
        <w:t xml:space="preserve">rpley's statement, is the issue [of] </w:t>
      </w:r>
      <w:r w:rsidRPr="00D22E73">
        <w:rPr>
          <w:sz w:val="26"/>
          <w:szCs w:val="26"/>
        </w:rPr>
        <w:t>interest, and reordering is not clear at all on the l</w:t>
      </w:r>
      <w:r>
        <w:rPr>
          <w:sz w:val="26"/>
          <w:szCs w:val="26"/>
        </w:rPr>
        <w:t xml:space="preserve">ate payment charges incurred in </w:t>
      </w:r>
      <w:r w:rsidRPr="00D22E73">
        <w:rPr>
          <w:sz w:val="26"/>
          <w:szCs w:val="26"/>
        </w:rPr>
        <w:t>reinstating the bad debt, as argued in the original memorandum</w:t>
      </w:r>
      <w:r>
        <w:rPr>
          <w:sz w:val="26"/>
          <w:szCs w:val="26"/>
        </w:rPr>
        <w:t>.”</w:t>
      </w:r>
      <w:r>
        <w:rPr>
          <w:rStyle w:val="FootnoteReference"/>
          <w:sz w:val="26"/>
          <w:szCs w:val="26"/>
        </w:rPr>
        <w:footnoteReference w:id="21"/>
      </w:r>
      <w:r>
        <w:rPr>
          <w:sz w:val="26"/>
          <w:szCs w:val="26"/>
        </w:rPr>
        <w:t xml:space="preserve">  </w:t>
      </w:r>
      <w:r w:rsidRPr="00D22E73">
        <w:rPr>
          <w:i/>
          <w:sz w:val="26"/>
          <w:szCs w:val="26"/>
        </w:rPr>
        <w:t>Id</w:t>
      </w:r>
      <w:r>
        <w:rPr>
          <w:sz w:val="26"/>
          <w:szCs w:val="26"/>
        </w:rPr>
        <w:t xml:space="preserve">. </w:t>
      </w:r>
    </w:p>
    <w:p w:rsidR="00DD08AB" w:rsidRDefault="00DD08AB" w:rsidP="00DD08AB">
      <w:pPr>
        <w:widowControl/>
        <w:spacing w:line="360" w:lineRule="auto"/>
        <w:rPr>
          <w:sz w:val="26"/>
          <w:szCs w:val="26"/>
        </w:rPr>
      </w:pPr>
    </w:p>
    <w:p w:rsidR="00DD08AB" w:rsidRPr="00471DAD" w:rsidRDefault="00DD08AB" w:rsidP="00AA2239">
      <w:pPr>
        <w:keepNext/>
        <w:keepLines/>
        <w:widowControl/>
        <w:spacing w:line="360" w:lineRule="auto"/>
        <w:rPr>
          <w:b/>
          <w:sz w:val="26"/>
          <w:szCs w:val="26"/>
        </w:rPr>
      </w:pPr>
      <w:r>
        <w:rPr>
          <w:b/>
          <w:sz w:val="26"/>
          <w:szCs w:val="26"/>
        </w:rPr>
        <w:tab/>
      </w:r>
      <w:r>
        <w:rPr>
          <w:b/>
          <w:sz w:val="26"/>
          <w:szCs w:val="26"/>
        </w:rPr>
        <w:tab/>
      </w:r>
      <w:r w:rsidRPr="00471DAD">
        <w:rPr>
          <w:b/>
          <w:sz w:val="26"/>
          <w:szCs w:val="26"/>
        </w:rPr>
        <w:t>d.</w:t>
      </w:r>
      <w:r w:rsidRPr="00471DAD">
        <w:rPr>
          <w:b/>
          <w:sz w:val="26"/>
          <w:szCs w:val="26"/>
        </w:rPr>
        <w:tab/>
        <w:t>Disposition</w:t>
      </w:r>
    </w:p>
    <w:p w:rsidR="00DD08AB" w:rsidRPr="00471DAD" w:rsidRDefault="00DD08AB" w:rsidP="00AA2239">
      <w:pPr>
        <w:keepNext/>
        <w:keepLines/>
        <w:widowControl/>
        <w:spacing w:line="360" w:lineRule="auto"/>
        <w:rPr>
          <w:sz w:val="26"/>
          <w:szCs w:val="26"/>
        </w:rPr>
      </w:pPr>
    </w:p>
    <w:p w:rsidR="00E44290" w:rsidRPr="004C43EE" w:rsidRDefault="00471DAD" w:rsidP="002847E8">
      <w:pPr>
        <w:widowControl/>
        <w:spacing w:line="360" w:lineRule="auto"/>
        <w:rPr>
          <w:sz w:val="26"/>
          <w:szCs w:val="26"/>
        </w:rPr>
      </w:pPr>
      <w:r w:rsidRPr="00471DAD">
        <w:rPr>
          <w:sz w:val="26"/>
          <w:szCs w:val="26"/>
        </w:rPr>
        <w:tab/>
      </w:r>
      <w:r w:rsidRPr="00471DAD">
        <w:rPr>
          <w:sz w:val="26"/>
          <w:szCs w:val="26"/>
        </w:rPr>
        <w:tab/>
      </w:r>
      <w:r w:rsidR="0050581D" w:rsidRPr="00471DAD">
        <w:rPr>
          <w:sz w:val="26"/>
          <w:szCs w:val="26"/>
        </w:rPr>
        <w:t>Upon our review of the record evidence on this issue, we</w:t>
      </w:r>
      <w:r w:rsidRPr="00471DAD">
        <w:rPr>
          <w:sz w:val="26"/>
          <w:szCs w:val="26"/>
        </w:rPr>
        <w:t xml:space="preserve"> find no evidence to conclude that PECO failed</w:t>
      </w:r>
      <w:r w:rsidR="0050581D" w:rsidRPr="00471DAD">
        <w:rPr>
          <w:sz w:val="26"/>
          <w:szCs w:val="26"/>
        </w:rPr>
        <w:t xml:space="preserve"> to provide a clear</w:t>
      </w:r>
      <w:r w:rsidR="00123E3B">
        <w:rPr>
          <w:sz w:val="26"/>
          <w:szCs w:val="26"/>
        </w:rPr>
        <w:t xml:space="preserve"> or timely</w:t>
      </w:r>
      <w:r w:rsidR="0050581D" w:rsidRPr="00471DAD">
        <w:rPr>
          <w:sz w:val="26"/>
          <w:szCs w:val="26"/>
        </w:rPr>
        <w:t xml:space="preserve"> explanation to the Complainant of the numerous “reinstate bad debt</w:t>
      </w:r>
      <w:r w:rsidR="0050581D" w:rsidRPr="004C43EE">
        <w:rPr>
          <w:sz w:val="26"/>
          <w:szCs w:val="26"/>
        </w:rPr>
        <w:t xml:space="preserve">” line item </w:t>
      </w:r>
      <w:r w:rsidRPr="004C43EE">
        <w:rPr>
          <w:sz w:val="26"/>
          <w:szCs w:val="26"/>
        </w:rPr>
        <w:t>charges that appeared</w:t>
      </w:r>
      <w:r w:rsidR="00EB3D66" w:rsidRPr="004C43EE">
        <w:rPr>
          <w:sz w:val="26"/>
          <w:szCs w:val="26"/>
        </w:rPr>
        <w:t xml:space="preserve"> on her bills after </w:t>
      </w:r>
      <w:r w:rsidR="00123E3B">
        <w:rPr>
          <w:sz w:val="26"/>
          <w:szCs w:val="26"/>
        </w:rPr>
        <w:t>she moved</w:t>
      </w:r>
      <w:r w:rsidR="00EB3D66" w:rsidRPr="004C43EE">
        <w:rPr>
          <w:sz w:val="26"/>
          <w:szCs w:val="26"/>
        </w:rPr>
        <w:t xml:space="preserve"> to her Aspen Avenue address</w:t>
      </w:r>
      <w:r w:rsidR="0050581D" w:rsidRPr="004C43EE">
        <w:rPr>
          <w:sz w:val="26"/>
          <w:szCs w:val="26"/>
        </w:rPr>
        <w:t xml:space="preserve">.  The Complainant testified that she did not understand the meaning of these charges and was not able to obtain a satisfactory explanation from PECO after placing numerous calls to the Company and being transferred from one department to another.  Tr. at 32-36, 42, 45-46,140.  </w:t>
      </w:r>
      <w:r w:rsidR="00387D63" w:rsidRPr="00387D63">
        <w:rPr>
          <w:sz w:val="26"/>
          <w:szCs w:val="26"/>
        </w:rPr>
        <w:t xml:space="preserve">However, we find it difficult to reach a conclusion in favor of the Complainant on this issue, considering the fact that the Complainant did not question the charges earlier in the </w:t>
      </w:r>
      <w:r w:rsidR="00387D63" w:rsidRPr="00387D63">
        <w:rPr>
          <w:sz w:val="26"/>
          <w:szCs w:val="26"/>
        </w:rPr>
        <w:lastRenderedPageBreak/>
        <w:t xml:space="preserve">process despite the length of time that passed since the Company began transferring her arrearages as she moved from one address to another.  </w:t>
      </w:r>
      <w:r w:rsidR="00E44290" w:rsidRPr="00387D63">
        <w:rPr>
          <w:sz w:val="26"/>
          <w:szCs w:val="26"/>
        </w:rPr>
        <w:t>The arrearage from the first address was applied to the bill for the second address on June 15, 20</w:t>
      </w:r>
      <w:r w:rsidR="00E44290" w:rsidRPr="004C43EE">
        <w:rPr>
          <w:sz w:val="26"/>
          <w:szCs w:val="26"/>
        </w:rPr>
        <w:t>06.  The arrearage from the second address was applied to the bill for the third address on September 2008.  The arrearage from the third address was applied to the bill for the fourth address on January 27, 2009.  The arrearage from the fourth address was applied to the bill for the present address on November 15, 2013.  During that time, the arrearage grew to</w:t>
      </w:r>
      <w:r w:rsidR="004C43EE" w:rsidRPr="004C43EE">
        <w:rPr>
          <w:sz w:val="26"/>
          <w:szCs w:val="26"/>
        </w:rPr>
        <w:t xml:space="preserve"> the present level of over $16,000</w:t>
      </w:r>
      <w:r w:rsidR="00E44290" w:rsidRPr="004C43EE">
        <w:rPr>
          <w:sz w:val="26"/>
          <w:szCs w:val="26"/>
        </w:rPr>
        <w:t xml:space="preserve">.  </w:t>
      </w:r>
    </w:p>
    <w:p w:rsidR="00643205" w:rsidRPr="004C43EE" w:rsidRDefault="00643205" w:rsidP="002847E8">
      <w:pPr>
        <w:widowControl/>
        <w:spacing w:line="360" w:lineRule="auto"/>
        <w:rPr>
          <w:sz w:val="26"/>
          <w:szCs w:val="26"/>
        </w:rPr>
      </w:pPr>
    </w:p>
    <w:p w:rsidR="00E44290" w:rsidRDefault="00956F62" w:rsidP="00530DFD">
      <w:pPr>
        <w:widowControl/>
        <w:spacing w:line="360" w:lineRule="auto"/>
        <w:rPr>
          <w:sz w:val="26"/>
          <w:szCs w:val="26"/>
        </w:rPr>
      </w:pPr>
      <w:r w:rsidRPr="00956F62">
        <w:rPr>
          <w:sz w:val="26"/>
          <w:szCs w:val="26"/>
        </w:rPr>
        <w:tab/>
      </w:r>
      <w:r w:rsidRPr="00956F62">
        <w:rPr>
          <w:sz w:val="26"/>
          <w:szCs w:val="26"/>
        </w:rPr>
        <w:tab/>
        <w:t>We</w:t>
      </w:r>
      <w:r w:rsidR="00E44290" w:rsidRPr="00956F62">
        <w:rPr>
          <w:sz w:val="26"/>
          <w:szCs w:val="26"/>
        </w:rPr>
        <w:t xml:space="preserve"> note here that C</w:t>
      </w:r>
      <w:r w:rsidRPr="00956F62">
        <w:rPr>
          <w:sz w:val="26"/>
          <w:szCs w:val="26"/>
        </w:rPr>
        <w:t xml:space="preserve">hapter 14 of the </w:t>
      </w:r>
      <w:r w:rsidR="00E44290" w:rsidRPr="00956F62">
        <w:rPr>
          <w:sz w:val="26"/>
          <w:szCs w:val="26"/>
        </w:rPr>
        <w:t xml:space="preserve">Code now contains a provision that creates an affirmative responsibility for </w:t>
      </w:r>
      <w:r w:rsidRPr="00956F62">
        <w:rPr>
          <w:sz w:val="26"/>
          <w:szCs w:val="26"/>
        </w:rPr>
        <w:t>a public utility</w:t>
      </w:r>
      <w:r w:rsidR="00E44290" w:rsidRPr="00956F62">
        <w:rPr>
          <w:sz w:val="26"/>
          <w:szCs w:val="26"/>
        </w:rPr>
        <w:t xml:space="preserve"> to attempt to collect its outstanding consumer debt.  A public utility also has a duty to report to the Commission annually those residential customers who have accumulated a debt in excess of $10,000 and to report the efforts being taken to collect those debts.  Failure to make reasonable attempts may result in civil penalties.  66 Pa.</w:t>
      </w:r>
      <w:r w:rsidR="00F81B54">
        <w:rPr>
          <w:sz w:val="26"/>
          <w:szCs w:val="26"/>
        </w:rPr>
        <w:t xml:space="preserve"> </w:t>
      </w:r>
      <w:r w:rsidR="00E44290" w:rsidRPr="00956F62">
        <w:rPr>
          <w:sz w:val="26"/>
          <w:szCs w:val="26"/>
        </w:rPr>
        <w:t xml:space="preserve">C.S. § 1410.1(3).  Therefore, the utility is in a situation where it must walk a fine line between attempting to collect excessively high accounts and becoming too zealous in its attempts and running afoul of </w:t>
      </w:r>
      <w:r w:rsidRPr="00956F62">
        <w:rPr>
          <w:sz w:val="26"/>
          <w:szCs w:val="26"/>
        </w:rPr>
        <w:t xml:space="preserve">applicable statutes and Commission </w:t>
      </w:r>
      <w:r w:rsidR="00665A42">
        <w:rPr>
          <w:sz w:val="26"/>
          <w:szCs w:val="26"/>
        </w:rPr>
        <w:t>R</w:t>
      </w:r>
      <w:r w:rsidR="00E44290" w:rsidRPr="00956F62">
        <w:rPr>
          <w:sz w:val="26"/>
          <w:szCs w:val="26"/>
        </w:rPr>
        <w:t>egulations, either of which can result in a civil penalty.  The record her</w:t>
      </w:r>
      <w:r w:rsidRPr="00956F62">
        <w:rPr>
          <w:sz w:val="26"/>
          <w:szCs w:val="26"/>
        </w:rPr>
        <w:t>e does not show that PECO</w:t>
      </w:r>
      <w:r w:rsidR="00E44290" w:rsidRPr="00956F62">
        <w:rPr>
          <w:sz w:val="26"/>
          <w:szCs w:val="26"/>
        </w:rPr>
        <w:t xml:space="preserve"> has strayed from that fine line.</w:t>
      </w:r>
    </w:p>
    <w:p w:rsidR="00530DFD" w:rsidRPr="00956F62" w:rsidRDefault="00530DFD" w:rsidP="002847E8">
      <w:pPr>
        <w:widowControl/>
        <w:spacing w:line="360" w:lineRule="auto"/>
        <w:rPr>
          <w:sz w:val="26"/>
          <w:szCs w:val="26"/>
        </w:rPr>
      </w:pPr>
    </w:p>
    <w:p w:rsidR="004E10F3" w:rsidRPr="004E10F3" w:rsidRDefault="00E44290" w:rsidP="00530DFD">
      <w:pPr>
        <w:widowControl/>
        <w:spacing w:line="360" w:lineRule="auto"/>
        <w:rPr>
          <w:sz w:val="26"/>
          <w:szCs w:val="26"/>
        </w:rPr>
      </w:pPr>
      <w:r w:rsidRPr="00C06006">
        <w:rPr>
          <w:sz w:val="26"/>
          <w:szCs w:val="26"/>
        </w:rPr>
        <w:tab/>
      </w:r>
      <w:r w:rsidRPr="00C06006">
        <w:rPr>
          <w:sz w:val="26"/>
          <w:szCs w:val="26"/>
        </w:rPr>
        <w:tab/>
        <w:t>At some point during the nine years from the transfer of the first amount to the ti</w:t>
      </w:r>
      <w:r w:rsidR="00150D8D" w:rsidRPr="00C06006">
        <w:rPr>
          <w:sz w:val="26"/>
          <w:szCs w:val="26"/>
        </w:rPr>
        <w:t>me of the filing of the C</w:t>
      </w:r>
      <w:r w:rsidRPr="00C06006">
        <w:rPr>
          <w:sz w:val="26"/>
          <w:szCs w:val="26"/>
        </w:rPr>
        <w:t xml:space="preserve">omplaint, </w:t>
      </w:r>
      <w:r w:rsidR="00150D8D" w:rsidRPr="00C06006">
        <w:rPr>
          <w:sz w:val="26"/>
          <w:szCs w:val="26"/>
        </w:rPr>
        <w:t xml:space="preserve">the </w:t>
      </w:r>
      <w:r w:rsidRPr="00C06006">
        <w:rPr>
          <w:sz w:val="26"/>
          <w:szCs w:val="26"/>
        </w:rPr>
        <w:t>Complainant either did or should have discovered</w:t>
      </w:r>
      <w:r w:rsidR="00150D8D" w:rsidRPr="00C06006">
        <w:rPr>
          <w:sz w:val="26"/>
          <w:szCs w:val="26"/>
        </w:rPr>
        <w:t xml:space="preserve"> what the “reinstate bad debt”</w:t>
      </w:r>
      <w:r w:rsidRPr="00C06006">
        <w:rPr>
          <w:sz w:val="26"/>
          <w:szCs w:val="26"/>
        </w:rPr>
        <w:t xml:space="preserve"> line item was on her monthly bill.  Even if she did not understand that debt accrued at prior addresses would be added to the account for the subsequent address, </w:t>
      </w:r>
      <w:r w:rsidR="00150D8D" w:rsidRPr="00C06006">
        <w:rPr>
          <w:sz w:val="26"/>
          <w:szCs w:val="26"/>
        </w:rPr>
        <w:t>the Complainant’</w:t>
      </w:r>
      <w:r w:rsidRPr="00C06006">
        <w:rPr>
          <w:sz w:val="26"/>
          <w:szCs w:val="26"/>
        </w:rPr>
        <w:t>s lack of understanding that amounts unpaid from prior bills will continue to appear on present and f</w:t>
      </w:r>
      <w:r w:rsidR="00150D8D" w:rsidRPr="00C06006">
        <w:rPr>
          <w:sz w:val="26"/>
          <w:szCs w:val="26"/>
        </w:rPr>
        <w:t>uture bills until they are paid cannot be attributed to PECO’</w:t>
      </w:r>
      <w:r w:rsidRPr="00C06006">
        <w:rPr>
          <w:sz w:val="26"/>
          <w:szCs w:val="26"/>
        </w:rPr>
        <w:t xml:space="preserve">s failure to explain it. </w:t>
      </w:r>
      <w:r w:rsidR="00150D8D" w:rsidRPr="00C06006">
        <w:rPr>
          <w:sz w:val="26"/>
          <w:szCs w:val="26"/>
        </w:rPr>
        <w:t xml:space="preserve"> </w:t>
      </w:r>
      <w:r w:rsidRPr="00C06006">
        <w:rPr>
          <w:sz w:val="26"/>
          <w:szCs w:val="26"/>
        </w:rPr>
        <w:t>PECO</w:t>
      </w:r>
      <w:r w:rsidR="00150D8D" w:rsidRPr="00C06006">
        <w:rPr>
          <w:sz w:val="26"/>
          <w:szCs w:val="26"/>
        </w:rPr>
        <w:t>’s</w:t>
      </w:r>
      <w:r w:rsidRPr="00C06006">
        <w:rPr>
          <w:sz w:val="26"/>
          <w:szCs w:val="26"/>
        </w:rPr>
        <w:t xml:space="preserve"> witness testified that a call to its collections department due to a termination notice </w:t>
      </w:r>
      <w:r w:rsidRPr="004E10F3">
        <w:rPr>
          <w:sz w:val="26"/>
          <w:szCs w:val="26"/>
        </w:rPr>
        <w:t>would not get the caller answers regarding CAP and would need to be transferred.</w:t>
      </w:r>
      <w:r w:rsidR="00C06006" w:rsidRPr="004E10F3">
        <w:rPr>
          <w:sz w:val="26"/>
          <w:szCs w:val="26"/>
        </w:rPr>
        <w:t xml:space="preserve">  Tr. at 105.</w:t>
      </w:r>
      <w:r w:rsidRPr="004E10F3">
        <w:rPr>
          <w:sz w:val="26"/>
          <w:szCs w:val="26"/>
        </w:rPr>
        <w:t xml:space="preserve">  In addition, </w:t>
      </w:r>
      <w:r w:rsidR="004E10F3" w:rsidRPr="004E10F3">
        <w:rPr>
          <w:sz w:val="26"/>
          <w:szCs w:val="26"/>
        </w:rPr>
        <w:t xml:space="preserve">the </w:t>
      </w:r>
      <w:r w:rsidRPr="004E10F3">
        <w:rPr>
          <w:sz w:val="26"/>
          <w:szCs w:val="26"/>
        </w:rPr>
        <w:t xml:space="preserve">witness </w:t>
      </w:r>
      <w:r w:rsidRPr="004E10F3">
        <w:rPr>
          <w:sz w:val="26"/>
          <w:szCs w:val="26"/>
        </w:rPr>
        <w:lastRenderedPageBreak/>
        <w:t>explained that she did</w:t>
      </w:r>
      <w:r w:rsidR="004E10F3" w:rsidRPr="004E10F3">
        <w:rPr>
          <w:sz w:val="26"/>
          <w:szCs w:val="26"/>
        </w:rPr>
        <w:t xml:space="preserve"> not understand the Complainant’</w:t>
      </w:r>
      <w:r w:rsidRPr="004E10F3">
        <w:rPr>
          <w:sz w:val="26"/>
          <w:szCs w:val="26"/>
        </w:rPr>
        <w:t>s confusion until the formal Complaint was fi</w:t>
      </w:r>
      <w:r w:rsidR="004E10F3" w:rsidRPr="004E10F3">
        <w:rPr>
          <w:sz w:val="26"/>
          <w:szCs w:val="26"/>
        </w:rPr>
        <w:t xml:space="preserve">led, and at that time, the </w:t>
      </w:r>
      <w:r w:rsidRPr="004E10F3">
        <w:rPr>
          <w:sz w:val="26"/>
          <w:szCs w:val="26"/>
        </w:rPr>
        <w:t>witness a</w:t>
      </w:r>
      <w:r w:rsidR="004E10F3" w:rsidRPr="004E10F3">
        <w:rPr>
          <w:sz w:val="26"/>
          <w:szCs w:val="26"/>
        </w:rPr>
        <w:t>ttempted to address</w:t>
      </w:r>
      <w:r w:rsidR="00C76F2A">
        <w:rPr>
          <w:sz w:val="26"/>
          <w:szCs w:val="26"/>
        </w:rPr>
        <w:t xml:space="preserve"> the</w:t>
      </w:r>
      <w:r w:rsidR="004E10F3" w:rsidRPr="004E10F3">
        <w:rPr>
          <w:sz w:val="26"/>
          <w:szCs w:val="26"/>
        </w:rPr>
        <w:t xml:space="preserve"> Complainant’</w:t>
      </w:r>
      <w:r w:rsidRPr="004E10F3">
        <w:rPr>
          <w:sz w:val="26"/>
          <w:szCs w:val="26"/>
        </w:rPr>
        <w:t xml:space="preserve">s concerns.  </w:t>
      </w:r>
      <w:r w:rsidR="004E10F3" w:rsidRPr="004E10F3">
        <w:rPr>
          <w:i/>
          <w:sz w:val="26"/>
          <w:szCs w:val="26"/>
        </w:rPr>
        <w:t>Id</w:t>
      </w:r>
      <w:r w:rsidR="004E10F3" w:rsidRPr="004E10F3">
        <w:rPr>
          <w:sz w:val="26"/>
          <w:szCs w:val="26"/>
        </w:rPr>
        <w:t xml:space="preserve">. at 107-108.  </w:t>
      </w:r>
      <w:r w:rsidRPr="004E10F3">
        <w:rPr>
          <w:sz w:val="26"/>
          <w:szCs w:val="26"/>
        </w:rPr>
        <w:t>In the absence of evidence that</w:t>
      </w:r>
      <w:r w:rsidR="004E10F3" w:rsidRPr="004E10F3">
        <w:rPr>
          <w:sz w:val="26"/>
          <w:szCs w:val="26"/>
        </w:rPr>
        <w:t xml:space="preserve"> the</w:t>
      </w:r>
      <w:r w:rsidRPr="004E10F3">
        <w:rPr>
          <w:sz w:val="26"/>
          <w:szCs w:val="26"/>
        </w:rPr>
        <w:t xml:space="preserve"> Complainant specifically a</w:t>
      </w:r>
      <w:r w:rsidR="00C76F2A">
        <w:rPr>
          <w:sz w:val="26"/>
          <w:szCs w:val="26"/>
        </w:rPr>
        <w:t>sked for justification for</w:t>
      </w:r>
      <w:r w:rsidR="004E10F3" w:rsidRPr="004E10F3">
        <w:rPr>
          <w:sz w:val="26"/>
          <w:szCs w:val="26"/>
        </w:rPr>
        <w:t xml:space="preserve"> each “</w:t>
      </w:r>
      <w:r w:rsidRPr="004E10F3">
        <w:rPr>
          <w:sz w:val="26"/>
          <w:szCs w:val="26"/>
        </w:rPr>
        <w:t>reinsta</w:t>
      </w:r>
      <w:r w:rsidR="004E10F3" w:rsidRPr="004E10F3">
        <w:rPr>
          <w:sz w:val="26"/>
          <w:szCs w:val="26"/>
        </w:rPr>
        <w:t>te bad debt”</w:t>
      </w:r>
      <w:r w:rsidRPr="004E10F3">
        <w:rPr>
          <w:sz w:val="26"/>
          <w:szCs w:val="26"/>
        </w:rPr>
        <w:t xml:space="preserve"> line item on her bills at some point pr</w:t>
      </w:r>
      <w:r w:rsidR="004E10F3" w:rsidRPr="004E10F3">
        <w:rPr>
          <w:sz w:val="26"/>
          <w:szCs w:val="26"/>
        </w:rPr>
        <w:t xml:space="preserve">ior to her filing of the </w:t>
      </w:r>
      <w:r w:rsidRPr="004E10F3">
        <w:rPr>
          <w:sz w:val="26"/>
          <w:szCs w:val="26"/>
        </w:rPr>
        <w:t>Complaint, there is no evidence to support a finding that PECO failed to provide adequate service in the form of a clear explanation for the phrase.  Rather, the record shows that PECO responded to the inquiry as soon as it was instituted</w:t>
      </w:r>
      <w:r w:rsidR="004E10F3" w:rsidRPr="004E10F3">
        <w:rPr>
          <w:sz w:val="26"/>
          <w:szCs w:val="26"/>
        </w:rPr>
        <w:t xml:space="preserve"> on the </w:t>
      </w:r>
      <w:r w:rsidRPr="004E10F3">
        <w:rPr>
          <w:sz w:val="26"/>
          <w:szCs w:val="26"/>
        </w:rPr>
        <w:t>Complaint</w:t>
      </w:r>
      <w:r w:rsidR="004E10F3" w:rsidRPr="004E10F3">
        <w:rPr>
          <w:sz w:val="26"/>
          <w:szCs w:val="26"/>
        </w:rPr>
        <w:t xml:space="preserve">.  </w:t>
      </w:r>
    </w:p>
    <w:p w:rsidR="00B31D61" w:rsidRPr="004E10F3" w:rsidRDefault="00B31D61" w:rsidP="00DD08AB">
      <w:pPr>
        <w:widowControl/>
        <w:spacing w:line="360" w:lineRule="auto"/>
        <w:rPr>
          <w:sz w:val="26"/>
          <w:szCs w:val="26"/>
        </w:rPr>
      </w:pPr>
    </w:p>
    <w:p w:rsidR="009D3AB0" w:rsidRPr="004E10F3" w:rsidRDefault="001C6814" w:rsidP="009D3AB0">
      <w:pPr>
        <w:widowControl/>
        <w:spacing w:line="360" w:lineRule="auto"/>
        <w:rPr>
          <w:sz w:val="26"/>
          <w:szCs w:val="26"/>
        </w:rPr>
      </w:pPr>
      <w:r w:rsidRPr="004E10F3">
        <w:rPr>
          <w:sz w:val="26"/>
          <w:szCs w:val="26"/>
        </w:rPr>
        <w:tab/>
      </w:r>
      <w:r w:rsidRPr="004E10F3">
        <w:rPr>
          <w:sz w:val="26"/>
          <w:szCs w:val="26"/>
        </w:rPr>
        <w:tab/>
      </w:r>
      <w:r w:rsidR="004E10F3" w:rsidRPr="004E10F3">
        <w:rPr>
          <w:sz w:val="26"/>
          <w:szCs w:val="26"/>
        </w:rPr>
        <w:t>W</w:t>
      </w:r>
      <w:r w:rsidR="00472A9D" w:rsidRPr="004E10F3">
        <w:rPr>
          <w:sz w:val="26"/>
          <w:szCs w:val="26"/>
        </w:rPr>
        <w:t>e</w:t>
      </w:r>
      <w:r w:rsidR="004E10F3" w:rsidRPr="004E10F3">
        <w:rPr>
          <w:sz w:val="26"/>
          <w:szCs w:val="26"/>
        </w:rPr>
        <w:t xml:space="preserve"> also</w:t>
      </w:r>
      <w:r w:rsidR="00472A9D" w:rsidRPr="004E10F3">
        <w:rPr>
          <w:sz w:val="26"/>
          <w:szCs w:val="26"/>
        </w:rPr>
        <w:t xml:space="preserve"> do not agree </w:t>
      </w:r>
      <w:r w:rsidR="003669D1" w:rsidRPr="004E10F3">
        <w:rPr>
          <w:sz w:val="26"/>
          <w:szCs w:val="26"/>
        </w:rPr>
        <w:t>that PECO violated 52 Pa. Code § 56.15 in this instance</w:t>
      </w:r>
      <w:r w:rsidR="00D67761" w:rsidRPr="004E10F3">
        <w:rPr>
          <w:sz w:val="26"/>
          <w:szCs w:val="26"/>
        </w:rPr>
        <w:t>, as the ALJ</w:t>
      </w:r>
      <w:r w:rsidR="00472A9D" w:rsidRPr="004E10F3">
        <w:rPr>
          <w:sz w:val="26"/>
          <w:szCs w:val="26"/>
        </w:rPr>
        <w:t xml:space="preserve"> found</w:t>
      </w:r>
      <w:r w:rsidR="003669D1" w:rsidRPr="004E10F3">
        <w:rPr>
          <w:sz w:val="26"/>
          <w:szCs w:val="26"/>
        </w:rPr>
        <w:t>.</w:t>
      </w:r>
      <w:r w:rsidR="00ED2869" w:rsidRPr="004E10F3">
        <w:rPr>
          <w:sz w:val="26"/>
          <w:szCs w:val="26"/>
        </w:rPr>
        <w:t xml:space="preserve">  As PECO notes, nothing in Section 56.15 requires a utility to use a specific label or form of language to report past due amounts, and we do not find that PECO violated any of the specific requirements set forth in the f</w:t>
      </w:r>
      <w:r w:rsidR="00D67761" w:rsidRPr="004E10F3">
        <w:rPr>
          <w:sz w:val="26"/>
          <w:szCs w:val="26"/>
        </w:rPr>
        <w:t>ourteen items enumerated in that regulation</w:t>
      </w:r>
      <w:r w:rsidR="00ED2869" w:rsidRPr="004E10F3">
        <w:rPr>
          <w:sz w:val="26"/>
          <w:szCs w:val="26"/>
        </w:rPr>
        <w:t xml:space="preserve">.  </w:t>
      </w:r>
      <w:r w:rsidR="009D3AB0" w:rsidRPr="004E10F3">
        <w:rPr>
          <w:sz w:val="26"/>
          <w:szCs w:val="26"/>
        </w:rPr>
        <w:t xml:space="preserve"> </w:t>
      </w:r>
    </w:p>
    <w:p w:rsidR="004E10F3" w:rsidRPr="001203B2" w:rsidRDefault="004E10F3" w:rsidP="009D3AB0">
      <w:pPr>
        <w:widowControl/>
        <w:spacing w:line="360" w:lineRule="auto"/>
        <w:rPr>
          <w:sz w:val="26"/>
          <w:szCs w:val="26"/>
        </w:rPr>
      </w:pPr>
    </w:p>
    <w:p w:rsidR="009D3AB0" w:rsidRPr="001203B2" w:rsidRDefault="009D3AB0" w:rsidP="009D3AB0">
      <w:pPr>
        <w:widowControl/>
        <w:spacing w:line="360" w:lineRule="auto"/>
        <w:rPr>
          <w:sz w:val="26"/>
          <w:szCs w:val="26"/>
        </w:rPr>
      </w:pPr>
      <w:r w:rsidRPr="001203B2">
        <w:rPr>
          <w:sz w:val="26"/>
          <w:szCs w:val="26"/>
        </w:rPr>
        <w:tab/>
      </w:r>
      <w:r w:rsidRPr="001203B2">
        <w:rPr>
          <w:sz w:val="26"/>
          <w:szCs w:val="26"/>
        </w:rPr>
        <w:tab/>
        <w:t>For the reasons discussed above, we</w:t>
      </w:r>
      <w:r w:rsidR="001203B2" w:rsidRPr="001203B2">
        <w:rPr>
          <w:sz w:val="26"/>
          <w:szCs w:val="26"/>
        </w:rPr>
        <w:t xml:space="preserve"> will grant PECO’s Exception on this issue and reverse </w:t>
      </w:r>
      <w:r w:rsidRPr="001203B2">
        <w:rPr>
          <w:sz w:val="26"/>
          <w:szCs w:val="26"/>
        </w:rPr>
        <w:t>the Initial Decision’s finding that PECO vio</w:t>
      </w:r>
      <w:r w:rsidR="001203B2" w:rsidRPr="001203B2">
        <w:rPr>
          <w:sz w:val="26"/>
          <w:szCs w:val="26"/>
        </w:rPr>
        <w:t>lated 66 Pa. C.S. § 1501 by failing</w:t>
      </w:r>
      <w:r w:rsidRPr="001203B2">
        <w:rPr>
          <w:sz w:val="26"/>
          <w:szCs w:val="26"/>
        </w:rPr>
        <w:t xml:space="preserve"> to provide a clear and prompt response to the Com</w:t>
      </w:r>
      <w:r w:rsidR="001203B2" w:rsidRPr="001203B2">
        <w:rPr>
          <w:sz w:val="26"/>
          <w:szCs w:val="26"/>
        </w:rPr>
        <w:t>plainant’s billing questions, as well as its</w:t>
      </w:r>
      <w:r w:rsidRPr="001203B2">
        <w:rPr>
          <w:sz w:val="26"/>
          <w:szCs w:val="26"/>
        </w:rPr>
        <w:t xml:space="preserve"> finding that PECO violated 52 Pa. Code § 56.15 by </w:t>
      </w:r>
      <w:r w:rsidR="001203B2" w:rsidRPr="001203B2">
        <w:rPr>
          <w:sz w:val="26"/>
          <w:szCs w:val="26"/>
        </w:rPr>
        <w:t>failing</w:t>
      </w:r>
      <w:r w:rsidR="006B2380" w:rsidRPr="001203B2">
        <w:rPr>
          <w:sz w:val="26"/>
          <w:szCs w:val="26"/>
        </w:rPr>
        <w:t xml:space="preserve"> to include a clear</w:t>
      </w:r>
      <w:r w:rsidRPr="001203B2">
        <w:rPr>
          <w:sz w:val="26"/>
          <w:szCs w:val="26"/>
        </w:rPr>
        <w:t xml:space="preserve"> explanation</w:t>
      </w:r>
      <w:r w:rsidR="003B63EB" w:rsidRPr="001203B2">
        <w:rPr>
          <w:sz w:val="26"/>
          <w:szCs w:val="26"/>
        </w:rPr>
        <w:t xml:space="preserve"> on the Complainant’s bills</w:t>
      </w:r>
      <w:r w:rsidRPr="001203B2">
        <w:rPr>
          <w:sz w:val="26"/>
          <w:szCs w:val="26"/>
        </w:rPr>
        <w:t xml:space="preserve"> of</w:t>
      </w:r>
      <w:r w:rsidR="003B63EB" w:rsidRPr="001203B2">
        <w:rPr>
          <w:sz w:val="26"/>
          <w:szCs w:val="26"/>
        </w:rPr>
        <w:t xml:space="preserve"> the “reinstate bad debt” charges.</w:t>
      </w:r>
    </w:p>
    <w:p w:rsidR="00DD08AB" w:rsidRPr="001203B2" w:rsidRDefault="00DD08AB" w:rsidP="00755F90">
      <w:pPr>
        <w:widowControl/>
        <w:spacing w:line="360" w:lineRule="auto"/>
        <w:rPr>
          <w:sz w:val="26"/>
          <w:szCs w:val="26"/>
        </w:rPr>
      </w:pPr>
    </w:p>
    <w:p w:rsidR="000C6CCD" w:rsidRPr="001203B2" w:rsidRDefault="000C6CCD" w:rsidP="003224FC">
      <w:pPr>
        <w:keepNext/>
        <w:widowControl/>
        <w:spacing w:line="360" w:lineRule="auto"/>
        <w:rPr>
          <w:b/>
          <w:sz w:val="26"/>
          <w:szCs w:val="26"/>
        </w:rPr>
      </w:pPr>
      <w:r w:rsidRPr="001203B2">
        <w:rPr>
          <w:sz w:val="26"/>
          <w:szCs w:val="26"/>
        </w:rPr>
        <w:tab/>
      </w:r>
      <w:r w:rsidR="00C90502" w:rsidRPr="001203B2">
        <w:rPr>
          <w:b/>
          <w:sz w:val="26"/>
          <w:szCs w:val="26"/>
        </w:rPr>
        <w:t>7</w:t>
      </w:r>
      <w:r w:rsidRPr="001203B2">
        <w:rPr>
          <w:b/>
          <w:sz w:val="26"/>
          <w:szCs w:val="26"/>
        </w:rPr>
        <w:t>.</w:t>
      </w:r>
      <w:r w:rsidR="00D202B7" w:rsidRPr="001203B2">
        <w:rPr>
          <w:b/>
          <w:sz w:val="26"/>
          <w:szCs w:val="26"/>
        </w:rPr>
        <w:tab/>
      </w:r>
      <w:r w:rsidR="00993B1E" w:rsidRPr="001203B2">
        <w:rPr>
          <w:b/>
          <w:sz w:val="26"/>
          <w:szCs w:val="26"/>
        </w:rPr>
        <w:t xml:space="preserve">Request for </w:t>
      </w:r>
      <w:r w:rsidR="00D202B7" w:rsidRPr="001203B2">
        <w:rPr>
          <w:b/>
          <w:sz w:val="26"/>
          <w:szCs w:val="26"/>
        </w:rPr>
        <w:t>Payment Arrangement</w:t>
      </w:r>
    </w:p>
    <w:p w:rsidR="000C6CCD" w:rsidRPr="001203B2" w:rsidRDefault="000C6CCD" w:rsidP="003224FC">
      <w:pPr>
        <w:keepNext/>
        <w:widowControl/>
        <w:spacing w:line="360" w:lineRule="auto"/>
        <w:rPr>
          <w:sz w:val="26"/>
          <w:szCs w:val="26"/>
        </w:rPr>
      </w:pPr>
    </w:p>
    <w:p w:rsidR="00E634C6" w:rsidRPr="00E634C6" w:rsidRDefault="00E634C6" w:rsidP="003224FC">
      <w:pPr>
        <w:keepNext/>
        <w:widowControl/>
        <w:spacing w:line="360" w:lineRule="auto"/>
        <w:rPr>
          <w:b/>
          <w:sz w:val="26"/>
          <w:szCs w:val="26"/>
        </w:rPr>
      </w:pPr>
      <w:r w:rsidRPr="001203B2">
        <w:rPr>
          <w:sz w:val="26"/>
          <w:szCs w:val="26"/>
        </w:rPr>
        <w:tab/>
      </w:r>
      <w:r w:rsidRPr="001203B2">
        <w:rPr>
          <w:sz w:val="26"/>
          <w:szCs w:val="26"/>
        </w:rPr>
        <w:tab/>
      </w:r>
      <w:r w:rsidRPr="001203B2">
        <w:rPr>
          <w:b/>
          <w:sz w:val="26"/>
          <w:szCs w:val="26"/>
        </w:rPr>
        <w:t>a.</w:t>
      </w:r>
      <w:r w:rsidRPr="001203B2">
        <w:rPr>
          <w:b/>
          <w:sz w:val="26"/>
          <w:szCs w:val="26"/>
        </w:rPr>
        <w:tab/>
        <w:t>ALJ’s Initial Decision</w:t>
      </w:r>
    </w:p>
    <w:p w:rsidR="00E634C6" w:rsidRPr="00E634C6" w:rsidRDefault="00E634C6" w:rsidP="003224FC">
      <w:pPr>
        <w:keepNext/>
        <w:widowControl/>
        <w:spacing w:line="360" w:lineRule="auto"/>
        <w:rPr>
          <w:sz w:val="26"/>
          <w:szCs w:val="26"/>
        </w:rPr>
      </w:pPr>
    </w:p>
    <w:p w:rsidR="002B08C6" w:rsidRDefault="000C6CCD" w:rsidP="002B08C6">
      <w:pPr>
        <w:widowControl/>
        <w:spacing w:line="360" w:lineRule="auto"/>
        <w:rPr>
          <w:sz w:val="26"/>
          <w:szCs w:val="26"/>
        </w:rPr>
      </w:pPr>
      <w:r>
        <w:rPr>
          <w:sz w:val="26"/>
          <w:szCs w:val="26"/>
        </w:rPr>
        <w:tab/>
      </w:r>
      <w:r>
        <w:rPr>
          <w:sz w:val="26"/>
          <w:szCs w:val="26"/>
        </w:rPr>
        <w:tab/>
        <w:t>The ALJ noted that the Complainant is seeking a reasonable payment arrangement in this proceeding</w:t>
      </w:r>
      <w:r w:rsidR="009B4860">
        <w:rPr>
          <w:sz w:val="26"/>
          <w:szCs w:val="26"/>
        </w:rPr>
        <w:t>, and stated</w:t>
      </w:r>
      <w:r w:rsidR="00B03BCC">
        <w:rPr>
          <w:sz w:val="26"/>
          <w:szCs w:val="26"/>
        </w:rPr>
        <w:t xml:space="preserve"> that there is no evidence on the record to indicate that she has ever been granted a payment arrangement by the Commission</w:t>
      </w:r>
      <w:r>
        <w:rPr>
          <w:sz w:val="26"/>
          <w:szCs w:val="26"/>
        </w:rPr>
        <w:t xml:space="preserve">.  I.D. at 30.  However, </w:t>
      </w:r>
      <w:r w:rsidR="009B4860">
        <w:rPr>
          <w:sz w:val="26"/>
          <w:szCs w:val="26"/>
        </w:rPr>
        <w:t>the ALJ asserted</w:t>
      </w:r>
      <w:r w:rsidR="00B03BCC">
        <w:rPr>
          <w:sz w:val="26"/>
          <w:szCs w:val="26"/>
        </w:rPr>
        <w:t xml:space="preserve"> that when the Complainant enrolled in CAP </w:t>
      </w:r>
      <w:r w:rsidR="00B03BCC" w:rsidRPr="00B03BCC">
        <w:rPr>
          <w:sz w:val="26"/>
          <w:szCs w:val="26"/>
        </w:rPr>
        <w:t xml:space="preserve">on </w:t>
      </w:r>
      <w:r w:rsidR="00B03BCC" w:rsidRPr="00B03BCC">
        <w:rPr>
          <w:sz w:val="26"/>
          <w:szCs w:val="26"/>
        </w:rPr>
        <w:lastRenderedPageBreak/>
        <w:t>July</w:t>
      </w:r>
      <w:r w:rsidR="00BB3C7D">
        <w:rPr>
          <w:sz w:val="26"/>
          <w:szCs w:val="26"/>
        </w:rPr>
        <w:t> </w:t>
      </w:r>
      <w:r w:rsidR="00B03BCC" w:rsidRPr="00B03BCC">
        <w:rPr>
          <w:sz w:val="26"/>
          <w:szCs w:val="26"/>
        </w:rPr>
        <w:t>17, 2014, all of her arrearage</w:t>
      </w:r>
      <w:r w:rsidR="002B08C6">
        <w:rPr>
          <w:sz w:val="26"/>
          <w:szCs w:val="26"/>
        </w:rPr>
        <w:t>s and current charges came within the purview</w:t>
      </w:r>
      <w:r w:rsidR="003C2C6F">
        <w:rPr>
          <w:sz w:val="26"/>
          <w:szCs w:val="26"/>
        </w:rPr>
        <w:t xml:space="preserve"> of</w:t>
      </w:r>
      <w:r w:rsidR="00B03BCC" w:rsidRPr="00B03BCC">
        <w:rPr>
          <w:sz w:val="26"/>
          <w:szCs w:val="26"/>
        </w:rPr>
        <w:t xml:space="preserve"> CAP.  </w:t>
      </w:r>
      <w:r w:rsidR="00D06268" w:rsidRPr="00D06268">
        <w:rPr>
          <w:i/>
          <w:sz w:val="26"/>
          <w:szCs w:val="26"/>
        </w:rPr>
        <w:t>Id</w:t>
      </w:r>
      <w:r w:rsidR="00D06268">
        <w:rPr>
          <w:sz w:val="26"/>
          <w:szCs w:val="26"/>
        </w:rPr>
        <w:t xml:space="preserve">. at 31.  </w:t>
      </w:r>
      <w:r w:rsidR="006D29E6">
        <w:rPr>
          <w:sz w:val="26"/>
          <w:szCs w:val="26"/>
        </w:rPr>
        <w:t>The ALJ noted that</w:t>
      </w:r>
      <w:r w:rsidR="002B08C6">
        <w:rPr>
          <w:sz w:val="26"/>
          <w:szCs w:val="26"/>
        </w:rPr>
        <w:t xml:space="preserve"> the Commission is not</w:t>
      </w:r>
      <w:r w:rsidR="002B08C6" w:rsidRPr="002B08C6">
        <w:rPr>
          <w:sz w:val="26"/>
          <w:szCs w:val="26"/>
        </w:rPr>
        <w:t xml:space="preserve"> </w:t>
      </w:r>
      <w:r w:rsidR="002B08C6">
        <w:rPr>
          <w:sz w:val="26"/>
          <w:szCs w:val="26"/>
        </w:rPr>
        <w:t>authorized to grant a payment arrangement for rates charged under CAP, in accordance with Section 1405(c) of the Code, which provides as follows:</w:t>
      </w:r>
    </w:p>
    <w:p w:rsidR="002B08C6" w:rsidRDefault="002B08C6" w:rsidP="002B08C6">
      <w:pPr>
        <w:widowControl/>
        <w:spacing w:line="360" w:lineRule="auto"/>
        <w:rPr>
          <w:sz w:val="26"/>
          <w:szCs w:val="26"/>
        </w:rPr>
      </w:pPr>
    </w:p>
    <w:p w:rsidR="00D06268" w:rsidRDefault="00D06268" w:rsidP="00D06268">
      <w:pPr>
        <w:widowControl/>
        <w:ind w:left="1440" w:right="1440"/>
        <w:rPr>
          <w:sz w:val="26"/>
          <w:szCs w:val="26"/>
        </w:rPr>
      </w:pPr>
      <w:r w:rsidRPr="00D06268">
        <w:rPr>
          <w:sz w:val="26"/>
          <w:szCs w:val="26"/>
        </w:rPr>
        <w:t xml:space="preserve">(c) </w:t>
      </w:r>
      <w:r w:rsidRPr="00D06268">
        <w:rPr>
          <w:b/>
          <w:sz w:val="26"/>
          <w:szCs w:val="26"/>
        </w:rPr>
        <w:t>Customer assistance programs</w:t>
      </w:r>
      <w:r w:rsidRPr="00D06268">
        <w:rPr>
          <w:sz w:val="26"/>
          <w:szCs w:val="26"/>
        </w:rPr>
        <w:t>. — Customer assistance program rates shall be timely paid and shall not be the subject of payment arrangements negotiated or approved by the commission.</w:t>
      </w:r>
    </w:p>
    <w:p w:rsidR="00D06268" w:rsidRDefault="00D06268" w:rsidP="00D06268">
      <w:pPr>
        <w:widowControl/>
        <w:rPr>
          <w:sz w:val="26"/>
          <w:szCs w:val="26"/>
        </w:rPr>
      </w:pPr>
    </w:p>
    <w:p w:rsidR="00D06268" w:rsidRDefault="00D06268" w:rsidP="00D06268">
      <w:pPr>
        <w:widowControl/>
        <w:rPr>
          <w:sz w:val="26"/>
          <w:szCs w:val="26"/>
        </w:rPr>
      </w:pPr>
    </w:p>
    <w:p w:rsidR="00B03BCC" w:rsidRPr="003224FC" w:rsidRDefault="003C2C6F" w:rsidP="00B03BCC">
      <w:pPr>
        <w:widowControl/>
        <w:spacing w:line="360" w:lineRule="auto"/>
        <w:rPr>
          <w:sz w:val="26"/>
          <w:szCs w:val="26"/>
          <w:highlight w:val="cyan"/>
        </w:rPr>
      </w:pPr>
      <w:r>
        <w:rPr>
          <w:sz w:val="26"/>
          <w:szCs w:val="26"/>
        </w:rPr>
        <w:t>I.D. at 31 (quoting 66 Pa</w:t>
      </w:r>
      <w:r w:rsidR="00D06268">
        <w:rPr>
          <w:sz w:val="26"/>
          <w:szCs w:val="26"/>
        </w:rPr>
        <w:t xml:space="preserve">. C.S. § 1405(c).  Accordingly, the ALJ concluded that </w:t>
      </w:r>
      <w:r w:rsidR="002B08C6">
        <w:rPr>
          <w:sz w:val="26"/>
          <w:szCs w:val="26"/>
        </w:rPr>
        <w:t xml:space="preserve">the Complainant’s request for a Commission-ordered payment arrangement </w:t>
      </w:r>
      <w:r w:rsidR="00D06268">
        <w:rPr>
          <w:sz w:val="26"/>
          <w:szCs w:val="26"/>
        </w:rPr>
        <w:t>must be denied.  Nevertheless, the ALJ</w:t>
      </w:r>
      <w:r w:rsidR="003224FC">
        <w:rPr>
          <w:sz w:val="26"/>
          <w:szCs w:val="26"/>
        </w:rPr>
        <w:t xml:space="preserve"> reiterated his determination that Commission Regulations preclude PECO from billing the Complainant for CAP charges that are more than four years old, and that the Commission is authorized to remove such charges from consideration.  I.D. at 31.</w:t>
      </w:r>
      <w:r w:rsidR="00B03BCC" w:rsidRPr="00B03BCC">
        <w:rPr>
          <w:sz w:val="26"/>
          <w:szCs w:val="26"/>
        </w:rPr>
        <w:tab/>
      </w:r>
    </w:p>
    <w:p w:rsidR="00B03BCC" w:rsidRDefault="00B03BCC" w:rsidP="00B03BCC">
      <w:pPr>
        <w:widowControl/>
        <w:spacing w:line="360" w:lineRule="auto"/>
        <w:rPr>
          <w:sz w:val="26"/>
          <w:szCs w:val="26"/>
        </w:rPr>
      </w:pPr>
    </w:p>
    <w:p w:rsidR="00E634C6" w:rsidRPr="00E634C6" w:rsidRDefault="00E634C6" w:rsidP="00FD734C">
      <w:pPr>
        <w:keepNext/>
        <w:widowControl/>
        <w:spacing w:line="360" w:lineRule="auto"/>
        <w:rPr>
          <w:b/>
          <w:sz w:val="26"/>
          <w:szCs w:val="26"/>
        </w:rPr>
      </w:pPr>
      <w:r>
        <w:rPr>
          <w:sz w:val="26"/>
          <w:szCs w:val="26"/>
        </w:rPr>
        <w:tab/>
      </w:r>
      <w:r>
        <w:rPr>
          <w:sz w:val="26"/>
          <w:szCs w:val="26"/>
        </w:rPr>
        <w:tab/>
      </w:r>
      <w:r w:rsidRPr="00E634C6">
        <w:rPr>
          <w:b/>
          <w:sz w:val="26"/>
          <w:szCs w:val="26"/>
        </w:rPr>
        <w:t>b.</w:t>
      </w:r>
      <w:r w:rsidRPr="00E634C6">
        <w:rPr>
          <w:b/>
          <w:sz w:val="26"/>
          <w:szCs w:val="26"/>
        </w:rPr>
        <w:tab/>
        <w:t>Exceptions and Replies</w:t>
      </w:r>
    </w:p>
    <w:p w:rsidR="00E634C6" w:rsidRDefault="00E634C6" w:rsidP="00FD734C">
      <w:pPr>
        <w:keepNext/>
        <w:widowControl/>
        <w:spacing w:line="360" w:lineRule="auto"/>
        <w:rPr>
          <w:sz w:val="26"/>
          <w:szCs w:val="26"/>
        </w:rPr>
      </w:pPr>
    </w:p>
    <w:p w:rsidR="00E634C6" w:rsidRDefault="00E634C6" w:rsidP="00B03BCC">
      <w:pPr>
        <w:widowControl/>
        <w:spacing w:line="360" w:lineRule="auto"/>
        <w:rPr>
          <w:sz w:val="26"/>
          <w:szCs w:val="26"/>
        </w:rPr>
      </w:pPr>
      <w:r>
        <w:rPr>
          <w:sz w:val="26"/>
          <w:szCs w:val="26"/>
        </w:rPr>
        <w:tab/>
      </w:r>
      <w:r>
        <w:rPr>
          <w:sz w:val="26"/>
          <w:szCs w:val="26"/>
        </w:rPr>
        <w:tab/>
        <w:t>Neither PECO no</w:t>
      </w:r>
      <w:r w:rsidR="006D29E6">
        <w:rPr>
          <w:sz w:val="26"/>
          <w:szCs w:val="26"/>
        </w:rPr>
        <w:t>r the Complainant addressed the</w:t>
      </w:r>
      <w:r>
        <w:rPr>
          <w:sz w:val="26"/>
          <w:szCs w:val="26"/>
        </w:rPr>
        <w:t xml:space="preserve"> issue</w:t>
      </w:r>
      <w:r w:rsidR="006D29E6">
        <w:rPr>
          <w:sz w:val="26"/>
          <w:szCs w:val="26"/>
        </w:rPr>
        <w:t xml:space="preserve"> of a payment arrangement</w:t>
      </w:r>
      <w:r>
        <w:rPr>
          <w:sz w:val="26"/>
          <w:szCs w:val="26"/>
        </w:rPr>
        <w:t xml:space="preserve"> in their respective Exceptions and Replies to Exceptions.</w:t>
      </w:r>
    </w:p>
    <w:p w:rsidR="00E634C6" w:rsidRDefault="00E634C6" w:rsidP="00B03BCC">
      <w:pPr>
        <w:widowControl/>
        <w:spacing w:line="360" w:lineRule="auto"/>
        <w:rPr>
          <w:sz w:val="26"/>
          <w:szCs w:val="26"/>
        </w:rPr>
      </w:pPr>
    </w:p>
    <w:p w:rsidR="00E634C6" w:rsidRPr="00E634C6" w:rsidRDefault="00E634C6" w:rsidP="00B03BCC">
      <w:pPr>
        <w:widowControl/>
        <w:spacing w:line="360" w:lineRule="auto"/>
        <w:rPr>
          <w:b/>
          <w:sz w:val="26"/>
          <w:szCs w:val="26"/>
        </w:rPr>
      </w:pPr>
      <w:r>
        <w:rPr>
          <w:sz w:val="26"/>
          <w:szCs w:val="26"/>
        </w:rPr>
        <w:tab/>
      </w:r>
      <w:r>
        <w:rPr>
          <w:sz w:val="26"/>
          <w:szCs w:val="26"/>
        </w:rPr>
        <w:tab/>
      </w:r>
      <w:r w:rsidRPr="00E634C6">
        <w:rPr>
          <w:b/>
          <w:sz w:val="26"/>
          <w:szCs w:val="26"/>
        </w:rPr>
        <w:t>c.</w:t>
      </w:r>
      <w:r w:rsidRPr="00E634C6">
        <w:rPr>
          <w:b/>
          <w:sz w:val="26"/>
          <w:szCs w:val="26"/>
        </w:rPr>
        <w:tab/>
        <w:t>Disposition</w:t>
      </w:r>
    </w:p>
    <w:p w:rsidR="00E634C6" w:rsidRDefault="00E634C6" w:rsidP="00B03BCC">
      <w:pPr>
        <w:widowControl/>
        <w:spacing w:line="360" w:lineRule="auto"/>
        <w:rPr>
          <w:sz w:val="26"/>
          <w:szCs w:val="26"/>
        </w:rPr>
      </w:pPr>
    </w:p>
    <w:p w:rsidR="00C65A2A" w:rsidRDefault="002C3714" w:rsidP="00C65A2A">
      <w:pPr>
        <w:widowControl/>
        <w:spacing w:line="360" w:lineRule="auto"/>
        <w:rPr>
          <w:sz w:val="26"/>
          <w:szCs w:val="26"/>
        </w:rPr>
      </w:pPr>
      <w:r>
        <w:rPr>
          <w:sz w:val="26"/>
          <w:szCs w:val="26"/>
        </w:rPr>
        <w:tab/>
      </w:r>
      <w:r>
        <w:rPr>
          <w:sz w:val="26"/>
          <w:szCs w:val="26"/>
        </w:rPr>
        <w:tab/>
        <w:t>W</w:t>
      </w:r>
      <w:r w:rsidR="00B562E4">
        <w:rPr>
          <w:sz w:val="26"/>
          <w:szCs w:val="26"/>
        </w:rPr>
        <w:t xml:space="preserve">hile we are not inclined to grant a payment arrangement to the Complainant in this instance, we </w:t>
      </w:r>
      <w:r>
        <w:rPr>
          <w:sz w:val="26"/>
          <w:szCs w:val="26"/>
        </w:rPr>
        <w:t xml:space="preserve">do not agree with the ALJ that the </w:t>
      </w:r>
      <w:r w:rsidR="00AD623D">
        <w:rPr>
          <w:sz w:val="26"/>
          <w:szCs w:val="26"/>
        </w:rPr>
        <w:t>Commission is un</w:t>
      </w:r>
      <w:r w:rsidR="00B562E4">
        <w:rPr>
          <w:sz w:val="26"/>
          <w:szCs w:val="26"/>
        </w:rPr>
        <w:t xml:space="preserve">authorized to do so because of the </w:t>
      </w:r>
      <w:r>
        <w:rPr>
          <w:sz w:val="26"/>
          <w:szCs w:val="26"/>
        </w:rPr>
        <w:t>Complainant’</w:t>
      </w:r>
      <w:r w:rsidR="00B562E4">
        <w:rPr>
          <w:sz w:val="26"/>
          <w:szCs w:val="26"/>
        </w:rPr>
        <w:t>s current enrollment in CAP</w:t>
      </w:r>
      <w:r>
        <w:rPr>
          <w:sz w:val="26"/>
          <w:szCs w:val="26"/>
        </w:rPr>
        <w:t xml:space="preserve">.  </w:t>
      </w:r>
      <w:r w:rsidR="001172B5">
        <w:rPr>
          <w:sz w:val="26"/>
          <w:szCs w:val="26"/>
        </w:rPr>
        <w:t xml:space="preserve">As we explained in </w:t>
      </w:r>
      <w:r w:rsidR="001172B5" w:rsidRPr="001172B5">
        <w:rPr>
          <w:i/>
          <w:sz w:val="26"/>
          <w:szCs w:val="26"/>
        </w:rPr>
        <w:t>Susan Hewitt v. PECO Energy Company</w:t>
      </w:r>
      <w:r w:rsidR="001172B5">
        <w:rPr>
          <w:sz w:val="26"/>
          <w:szCs w:val="26"/>
        </w:rPr>
        <w:t>, Docket No. F-2011-2273271 (Order entered September 12, 2013) (</w:t>
      </w:r>
      <w:r w:rsidR="001172B5" w:rsidRPr="001172B5">
        <w:rPr>
          <w:i/>
          <w:sz w:val="26"/>
          <w:szCs w:val="26"/>
        </w:rPr>
        <w:t>Hewitt</w:t>
      </w:r>
      <w:r w:rsidR="001172B5">
        <w:rPr>
          <w:sz w:val="26"/>
          <w:szCs w:val="26"/>
        </w:rPr>
        <w:t xml:space="preserve">), </w:t>
      </w:r>
      <w:r w:rsidR="00C65A2A">
        <w:rPr>
          <w:sz w:val="26"/>
          <w:szCs w:val="26"/>
        </w:rPr>
        <w:t>we retain the authority to issue a payment agreement for the non-CAP portion of a mixed arrearage</w:t>
      </w:r>
      <w:r w:rsidR="008048CD">
        <w:rPr>
          <w:sz w:val="26"/>
          <w:szCs w:val="26"/>
        </w:rPr>
        <w:t>, which may</w:t>
      </w:r>
      <w:r w:rsidR="001910A4">
        <w:rPr>
          <w:sz w:val="26"/>
          <w:szCs w:val="26"/>
        </w:rPr>
        <w:t xml:space="preserve"> include</w:t>
      </w:r>
      <w:r w:rsidR="008048CD">
        <w:rPr>
          <w:sz w:val="26"/>
          <w:szCs w:val="26"/>
        </w:rPr>
        <w:t xml:space="preserve"> </w:t>
      </w:r>
      <w:r w:rsidR="00C65A2A">
        <w:rPr>
          <w:sz w:val="26"/>
          <w:szCs w:val="26"/>
        </w:rPr>
        <w:t xml:space="preserve">amounts </w:t>
      </w:r>
      <w:r w:rsidR="00C65A2A">
        <w:rPr>
          <w:sz w:val="26"/>
          <w:szCs w:val="26"/>
        </w:rPr>
        <w:lastRenderedPageBreak/>
        <w:t xml:space="preserve">billed under standard rates that are not, and have never been, subject to deferral or credits under a CAP program.  </w:t>
      </w:r>
      <w:r w:rsidR="00032449" w:rsidRPr="00032449">
        <w:rPr>
          <w:i/>
          <w:sz w:val="26"/>
          <w:szCs w:val="26"/>
        </w:rPr>
        <w:t>Hewitt</w:t>
      </w:r>
      <w:r w:rsidR="00032449">
        <w:rPr>
          <w:sz w:val="26"/>
          <w:szCs w:val="26"/>
        </w:rPr>
        <w:t xml:space="preserve"> at 10.  Although the Complainant was enrolled in CAP at the ti</w:t>
      </w:r>
      <w:r w:rsidR="00942551">
        <w:rPr>
          <w:sz w:val="26"/>
          <w:szCs w:val="26"/>
        </w:rPr>
        <w:t>me of the June 2, 2015 hearing,</w:t>
      </w:r>
      <w:r w:rsidR="00032449">
        <w:rPr>
          <w:sz w:val="26"/>
          <w:szCs w:val="26"/>
        </w:rPr>
        <w:t xml:space="preserve"> </w:t>
      </w:r>
      <w:r w:rsidR="00942551">
        <w:rPr>
          <w:sz w:val="26"/>
          <w:szCs w:val="26"/>
        </w:rPr>
        <w:t>the record is</w:t>
      </w:r>
      <w:r w:rsidR="00032449">
        <w:rPr>
          <w:sz w:val="26"/>
          <w:szCs w:val="26"/>
        </w:rPr>
        <w:t xml:space="preserve"> clear that </w:t>
      </w:r>
      <w:r w:rsidR="00942551">
        <w:rPr>
          <w:sz w:val="26"/>
          <w:szCs w:val="26"/>
        </w:rPr>
        <w:t>her total arrearage at that time consisted of both CAP</w:t>
      </w:r>
      <w:r w:rsidR="0031198A">
        <w:rPr>
          <w:sz w:val="26"/>
          <w:szCs w:val="26"/>
        </w:rPr>
        <w:t xml:space="preserve"> and non-CAP amounts.  Tr. at </w:t>
      </w:r>
      <w:r w:rsidR="00805EF7">
        <w:rPr>
          <w:sz w:val="26"/>
          <w:szCs w:val="26"/>
        </w:rPr>
        <w:t>112, 139; PECO Exh. 6.  According to PECO</w:t>
      </w:r>
      <w:r w:rsidR="006A0CBD">
        <w:rPr>
          <w:sz w:val="26"/>
          <w:szCs w:val="26"/>
        </w:rPr>
        <w:t>’s</w:t>
      </w:r>
      <w:r w:rsidR="00805EF7">
        <w:rPr>
          <w:sz w:val="26"/>
          <w:szCs w:val="26"/>
        </w:rPr>
        <w:t xml:space="preserve"> witness Tarpley, the Complainant’s total arrearage as of the hearing date was $16,128.37, which included total CAP arrears of $4,338.73.  Tr. at 139.  Accordingly, consistent with our holding in </w:t>
      </w:r>
      <w:r w:rsidR="00805EF7" w:rsidRPr="00805EF7">
        <w:rPr>
          <w:i/>
          <w:sz w:val="26"/>
          <w:szCs w:val="26"/>
        </w:rPr>
        <w:t>Hewitt</w:t>
      </w:r>
      <w:r w:rsidR="00805EF7">
        <w:rPr>
          <w:sz w:val="26"/>
          <w:szCs w:val="26"/>
        </w:rPr>
        <w:t>, we conclude that we have the authority to grant a payment arrangement on the amount of the total account balance that represents the non-CAP arrears.</w:t>
      </w:r>
    </w:p>
    <w:p w:rsidR="002C3714" w:rsidRDefault="002C3714" w:rsidP="00B03BCC">
      <w:pPr>
        <w:widowControl/>
        <w:spacing w:line="360" w:lineRule="auto"/>
        <w:rPr>
          <w:sz w:val="26"/>
          <w:szCs w:val="26"/>
        </w:rPr>
      </w:pPr>
    </w:p>
    <w:p w:rsidR="00B72D08" w:rsidRDefault="00B72D08" w:rsidP="00B03BCC">
      <w:pPr>
        <w:widowControl/>
        <w:spacing w:line="360" w:lineRule="auto"/>
        <w:rPr>
          <w:sz w:val="26"/>
          <w:szCs w:val="26"/>
        </w:rPr>
      </w:pPr>
      <w:r>
        <w:rPr>
          <w:sz w:val="26"/>
          <w:szCs w:val="26"/>
        </w:rPr>
        <w:tab/>
      </w:r>
      <w:r>
        <w:rPr>
          <w:sz w:val="26"/>
          <w:szCs w:val="26"/>
        </w:rPr>
        <w:tab/>
        <w:t xml:space="preserve">However, as noted above, we are not inclined to grant the Complainant a payment arrangement on the non-CAP portion of her arrearage in this case.  As we stated in </w:t>
      </w:r>
      <w:r w:rsidRPr="001258D7">
        <w:rPr>
          <w:i/>
          <w:sz w:val="26"/>
          <w:szCs w:val="26"/>
        </w:rPr>
        <w:t>Hewitt</w:t>
      </w:r>
      <w:r>
        <w:rPr>
          <w:sz w:val="26"/>
          <w:szCs w:val="26"/>
        </w:rPr>
        <w:t>:</w:t>
      </w:r>
    </w:p>
    <w:p w:rsidR="00B72D08" w:rsidRDefault="00B72D08" w:rsidP="00B03BCC">
      <w:pPr>
        <w:widowControl/>
        <w:spacing w:line="360" w:lineRule="auto"/>
        <w:rPr>
          <w:sz w:val="26"/>
          <w:szCs w:val="26"/>
        </w:rPr>
      </w:pPr>
    </w:p>
    <w:p w:rsidR="00B72D08" w:rsidRPr="008E1EFF" w:rsidRDefault="00B72D08" w:rsidP="00B72D08">
      <w:pPr>
        <w:widowControl/>
        <w:ind w:left="1440" w:right="1440"/>
        <w:rPr>
          <w:sz w:val="26"/>
          <w:szCs w:val="26"/>
        </w:rPr>
      </w:pPr>
      <w:r w:rsidRPr="00B72D08">
        <w:rPr>
          <w:sz w:val="26"/>
          <w:szCs w:val="26"/>
        </w:rPr>
        <w:t>As a practical matter, bifurcating an arrearage, and establishing a payment arrangement only for the non-CAP portion, is not feasible in most cases.  In effect, such a truncated arrangement would require the utility to place the CAP portion of the arrearage on hold, presumably indefinitely.  As long as the customer adhered to the payment agreement for the non-CAP portion of the arrearage, the utility presumably would be prohibited from terminating service for non-payment of the CAP arrearage.  In many instances, it is likely that the utility ultimately would be required to simply write off the CAP arrearage.  This obviously would not be in the public interest, and would allow customers to utilize payment agreements for non-CAP arrearages as a tool to avoid payment of CAP bills, which already are discounted from standard rates.</w:t>
      </w:r>
    </w:p>
    <w:p w:rsidR="00151503" w:rsidRDefault="00151503" w:rsidP="00151503">
      <w:pPr>
        <w:widowControl/>
        <w:ind w:left="1440" w:right="1440"/>
        <w:rPr>
          <w:sz w:val="26"/>
          <w:szCs w:val="26"/>
        </w:rPr>
      </w:pPr>
    </w:p>
    <w:p w:rsidR="008E1EFF" w:rsidRDefault="008E1EFF" w:rsidP="00151503">
      <w:pPr>
        <w:widowControl/>
        <w:ind w:left="1440" w:right="1440"/>
        <w:rPr>
          <w:sz w:val="26"/>
          <w:szCs w:val="26"/>
        </w:rPr>
      </w:pPr>
    </w:p>
    <w:p w:rsidR="008E1EFF" w:rsidRDefault="008E1EFF" w:rsidP="008E1EFF">
      <w:pPr>
        <w:widowControl/>
        <w:spacing w:line="360" w:lineRule="auto"/>
        <w:rPr>
          <w:sz w:val="26"/>
          <w:szCs w:val="26"/>
        </w:rPr>
      </w:pPr>
      <w:r w:rsidRPr="001258D7">
        <w:rPr>
          <w:i/>
          <w:sz w:val="26"/>
          <w:szCs w:val="26"/>
        </w:rPr>
        <w:t>Hewitt</w:t>
      </w:r>
      <w:r>
        <w:rPr>
          <w:sz w:val="26"/>
          <w:szCs w:val="26"/>
        </w:rPr>
        <w:t xml:space="preserve"> at 11.  We further explained</w:t>
      </w:r>
      <w:r w:rsidR="00901A65">
        <w:rPr>
          <w:sz w:val="26"/>
          <w:szCs w:val="26"/>
        </w:rPr>
        <w:t xml:space="preserve"> the </w:t>
      </w:r>
      <w:r w:rsidR="003250AE">
        <w:rPr>
          <w:sz w:val="26"/>
          <w:szCs w:val="26"/>
        </w:rPr>
        <w:t>problems</w:t>
      </w:r>
      <w:r w:rsidR="00901A65">
        <w:rPr>
          <w:sz w:val="26"/>
          <w:szCs w:val="26"/>
        </w:rPr>
        <w:t xml:space="preserve"> inherent in bifurcating an arrearage as follows:</w:t>
      </w:r>
    </w:p>
    <w:p w:rsidR="00B72D08" w:rsidRDefault="00B72D08" w:rsidP="00B03BCC">
      <w:pPr>
        <w:widowControl/>
        <w:spacing w:line="360" w:lineRule="auto"/>
        <w:rPr>
          <w:sz w:val="26"/>
          <w:szCs w:val="26"/>
        </w:rPr>
      </w:pPr>
    </w:p>
    <w:p w:rsidR="00151503" w:rsidRDefault="00151503" w:rsidP="00151503">
      <w:pPr>
        <w:widowControl/>
        <w:ind w:left="1440" w:right="1440"/>
        <w:rPr>
          <w:sz w:val="26"/>
          <w:szCs w:val="26"/>
        </w:rPr>
      </w:pPr>
      <w:r w:rsidRPr="00151503">
        <w:rPr>
          <w:sz w:val="26"/>
          <w:szCs w:val="26"/>
        </w:rPr>
        <w:lastRenderedPageBreak/>
        <w:t>Even if bifurcating an arrearage is feasible, it may not be practical.  Typically, CAP assistance is the best, most affordable payment plan for an eligible, low-income customer.  If a customer cannot afford and does not pay a CAP bill, which is service provided at a discount, the customer most likely cannot afford and will not pay his or her current/budget bill plus an additional payment on an accrued balance, which is the typical structure of a payment agreement.  Given the limitations in the Code in Section 1405(d) on the number of payment agreements that the Commission may issue for a customer, issuing a payment agreement where the customer will likely default is not in the customer’s best interest.</w:t>
      </w:r>
    </w:p>
    <w:p w:rsidR="001258D7" w:rsidRDefault="001258D7" w:rsidP="00151503">
      <w:pPr>
        <w:widowControl/>
        <w:ind w:left="1440" w:right="1440"/>
        <w:rPr>
          <w:sz w:val="26"/>
          <w:szCs w:val="26"/>
        </w:rPr>
      </w:pPr>
    </w:p>
    <w:p w:rsidR="001258D7" w:rsidRDefault="001258D7" w:rsidP="00151503">
      <w:pPr>
        <w:widowControl/>
        <w:ind w:left="1440" w:right="1440"/>
        <w:rPr>
          <w:sz w:val="26"/>
          <w:szCs w:val="26"/>
        </w:rPr>
      </w:pPr>
    </w:p>
    <w:p w:rsidR="001258D7" w:rsidRPr="00151503" w:rsidRDefault="001258D7" w:rsidP="001258D7">
      <w:pPr>
        <w:widowControl/>
        <w:spacing w:line="360" w:lineRule="auto"/>
        <w:rPr>
          <w:sz w:val="26"/>
          <w:szCs w:val="26"/>
        </w:rPr>
      </w:pPr>
      <w:r w:rsidRPr="001258D7">
        <w:rPr>
          <w:i/>
          <w:sz w:val="26"/>
          <w:szCs w:val="26"/>
        </w:rPr>
        <w:t>Hewitt</w:t>
      </w:r>
      <w:r>
        <w:rPr>
          <w:sz w:val="26"/>
          <w:szCs w:val="26"/>
        </w:rPr>
        <w:t xml:space="preserve"> at 11</w:t>
      </w:r>
      <w:r w:rsidR="00901A65">
        <w:rPr>
          <w:sz w:val="26"/>
          <w:szCs w:val="26"/>
        </w:rPr>
        <w:t>, n.4</w:t>
      </w:r>
      <w:r>
        <w:rPr>
          <w:sz w:val="26"/>
          <w:szCs w:val="26"/>
        </w:rPr>
        <w:t>.</w:t>
      </w:r>
    </w:p>
    <w:p w:rsidR="00151503" w:rsidRDefault="00151503" w:rsidP="001258D7">
      <w:pPr>
        <w:widowControl/>
        <w:spacing w:line="360" w:lineRule="auto"/>
        <w:rPr>
          <w:sz w:val="26"/>
          <w:szCs w:val="26"/>
        </w:rPr>
      </w:pPr>
    </w:p>
    <w:p w:rsidR="00B96C13" w:rsidRDefault="006F242D" w:rsidP="00B96C13">
      <w:pPr>
        <w:widowControl/>
        <w:spacing w:line="360" w:lineRule="auto"/>
        <w:rPr>
          <w:sz w:val="26"/>
          <w:szCs w:val="26"/>
        </w:rPr>
      </w:pPr>
      <w:r>
        <w:rPr>
          <w:sz w:val="26"/>
          <w:szCs w:val="26"/>
        </w:rPr>
        <w:tab/>
      </w:r>
      <w:r>
        <w:rPr>
          <w:sz w:val="26"/>
          <w:szCs w:val="26"/>
        </w:rPr>
        <w:tab/>
        <w:t>The record evidence in this proceeding indicates that the Complainant was granted two payment agreements by PECO.  The first of these was established on May</w:t>
      </w:r>
      <w:r w:rsidR="00284719">
        <w:rPr>
          <w:sz w:val="26"/>
          <w:szCs w:val="26"/>
        </w:rPr>
        <w:t> </w:t>
      </w:r>
      <w:r>
        <w:rPr>
          <w:sz w:val="26"/>
          <w:szCs w:val="26"/>
        </w:rPr>
        <w:t>26, 2010</w:t>
      </w:r>
      <w:r w:rsidR="004D3FC2">
        <w:rPr>
          <w:sz w:val="26"/>
          <w:szCs w:val="26"/>
        </w:rPr>
        <w:t xml:space="preserve">, on a total balance of $11,206.25.  The second was established on November 20, 2013, on a total balance of $12,594.24.  As the record shows, the Complainant ultimately did not adhere to the terms of either of these agreements. Tr. at 94-97; PECO Exh. 9.  Given the Complainant’s inability to keep these previous payment agreements, and in light of our concerns expressed in </w:t>
      </w:r>
      <w:r w:rsidR="004D3FC2" w:rsidRPr="004D3FC2">
        <w:rPr>
          <w:i/>
          <w:sz w:val="26"/>
          <w:szCs w:val="26"/>
        </w:rPr>
        <w:t>Hewitt</w:t>
      </w:r>
      <w:r w:rsidR="004D3FC2">
        <w:rPr>
          <w:sz w:val="26"/>
          <w:szCs w:val="26"/>
        </w:rPr>
        <w:t>, we decline to establish a payment agreement for the non-CAP portion of the Complainant’s arrearage in this case.</w:t>
      </w:r>
      <w:r w:rsidR="00B96C13">
        <w:rPr>
          <w:sz w:val="26"/>
          <w:szCs w:val="26"/>
        </w:rPr>
        <w:t xml:space="preserve">  </w:t>
      </w:r>
    </w:p>
    <w:p w:rsidR="00B96C13" w:rsidRDefault="00B96C13" w:rsidP="00B96C13">
      <w:pPr>
        <w:widowControl/>
        <w:spacing w:line="360" w:lineRule="auto"/>
        <w:rPr>
          <w:sz w:val="26"/>
          <w:szCs w:val="26"/>
        </w:rPr>
      </w:pPr>
    </w:p>
    <w:p w:rsidR="00B96C13" w:rsidRDefault="002653F0" w:rsidP="00B96C13">
      <w:pPr>
        <w:widowControl/>
        <w:spacing w:line="360" w:lineRule="auto"/>
        <w:rPr>
          <w:sz w:val="26"/>
          <w:szCs w:val="26"/>
        </w:rPr>
      </w:pPr>
      <w:r>
        <w:rPr>
          <w:sz w:val="26"/>
          <w:szCs w:val="26"/>
        </w:rPr>
        <w:tab/>
      </w:r>
      <w:r>
        <w:rPr>
          <w:sz w:val="26"/>
          <w:szCs w:val="26"/>
        </w:rPr>
        <w:tab/>
        <w:t>Finally</w:t>
      </w:r>
      <w:r w:rsidR="00B96C13" w:rsidRPr="004D5D8D">
        <w:rPr>
          <w:sz w:val="26"/>
          <w:szCs w:val="26"/>
        </w:rPr>
        <w:t xml:space="preserve">, we do not agree with the ALJ that PECO is precluded </w:t>
      </w:r>
      <w:r>
        <w:rPr>
          <w:sz w:val="26"/>
          <w:szCs w:val="26"/>
        </w:rPr>
        <w:t xml:space="preserve">by Commission Regulations </w:t>
      </w:r>
      <w:r w:rsidR="00B96C13" w:rsidRPr="004D5D8D">
        <w:rPr>
          <w:sz w:val="26"/>
          <w:szCs w:val="26"/>
        </w:rPr>
        <w:t>from billing the Complainant for CAP charges that are more than four years old, and that such charges must be removed from consideration.  As we</w:t>
      </w:r>
      <w:r w:rsidR="004D5D8D">
        <w:rPr>
          <w:sz w:val="26"/>
          <w:szCs w:val="26"/>
        </w:rPr>
        <w:t xml:space="preserve"> </w:t>
      </w:r>
      <w:r>
        <w:rPr>
          <w:sz w:val="26"/>
          <w:szCs w:val="26"/>
        </w:rPr>
        <w:t xml:space="preserve">explained above, while </w:t>
      </w:r>
      <w:r w:rsidR="00060C99">
        <w:rPr>
          <w:sz w:val="26"/>
          <w:szCs w:val="26"/>
        </w:rPr>
        <w:t xml:space="preserve">the express language of </w:t>
      </w:r>
      <w:r>
        <w:rPr>
          <w:sz w:val="26"/>
          <w:szCs w:val="26"/>
        </w:rPr>
        <w:t>52 Pa. Code § 56.35 prohibits a utility from conditioning the furnishing of new service on the payment of amounts that are over four years old, it does not prohibit a utility from</w:t>
      </w:r>
      <w:r w:rsidR="0096045B">
        <w:rPr>
          <w:sz w:val="26"/>
          <w:szCs w:val="26"/>
        </w:rPr>
        <w:t xml:space="preserve"> holding a customer </w:t>
      </w:r>
      <w:r>
        <w:rPr>
          <w:sz w:val="26"/>
          <w:szCs w:val="26"/>
        </w:rPr>
        <w:t xml:space="preserve">ultimately responsible for amounts that are over four years old.  Thus, PECO may continue to </w:t>
      </w:r>
      <w:r>
        <w:rPr>
          <w:sz w:val="26"/>
          <w:szCs w:val="26"/>
        </w:rPr>
        <w:lastRenderedPageBreak/>
        <w:t>require the Complainant to pay all CAP and non-CAP amounts that comprise her total account balance.</w:t>
      </w:r>
    </w:p>
    <w:p w:rsidR="00F236F3" w:rsidRDefault="00F236F3" w:rsidP="00B03BCC">
      <w:pPr>
        <w:widowControl/>
        <w:spacing w:line="360" w:lineRule="auto"/>
        <w:rPr>
          <w:sz w:val="26"/>
          <w:szCs w:val="26"/>
        </w:rPr>
      </w:pPr>
    </w:p>
    <w:p w:rsidR="00416F4F" w:rsidRPr="00416F4F" w:rsidRDefault="00416F4F" w:rsidP="00F8623C">
      <w:pPr>
        <w:keepNext/>
        <w:widowControl/>
        <w:spacing w:line="360" w:lineRule="auto"/>
        <w:rPr>
          <w:b/>
          <w:sz w:val="26"/>
          <w:szCs w:val="26"/>
        </w:rPr>
      </w:pPr>
      <w:r>
        <w:rPr>
          <w:sz w:val="26"/>
          <w:szCs w:val="26"/>
        </w:rPr>
        <w:tab/>
      </w:r>
      <w:r w:rsidR="00C90502">
        <w:rPr>
          <w:b/>
          <w:sz w:val="26"/>
          <w:szCs w:val="26"/>
        </w:rPr>
        <w:t>8</w:t>
      </w:r>
      <w:r w:rsidRPr="00416F4F">
        <w:rPr>
          <w:b/>
          <w:sz w:val="26"/>
          <w:szCs w:val="26"/>
        </w:rPr>
        <w:t>.</w:t>
      </w:r>
      <w:r w:rsidRPr="00416F4F">
        <w:rPr>
          <w:b/>
          <w:sz w:val="26"/>
          <w:szCs w:val="26"/>
        </w:rPr>
        <w:tab/>
        <w:t>Civil Penalties</w:t>
      </w:r>
    </w:p>
    <w:p w:rsidR="00416F4F" w:rsidRDefault="00416F4F" w:rsidP="00F8623C">
      <w:pPr>
        <w:keepNext/>
        <w:widowControl/>
        <w:spacing w:line="360" w:lineRule="auto"/>
        <w:rPr>
          <w:sz w:val="26"/>
          <w:szCs w:val="26"/>
        </w:rPr>
      </w:pPr>
    </w:p>
    <w:p w:rsidR="00E634C6" w:rsidRPr="00E634C6" w:rsidRDefault="00E634C6" w:rsidP="00F8623C">
      <w:pPr>
        <w:keepNext/>
        <w:widowControl/>
        <w:spacing w:line="360" w:lineRule="auto"/>
        <w:rPr>
          <w:b/>
          <w:sz w:val="26"/>
          <w:szCs w:val="26"/>
        </w:rPr>
      </w:pPr>
      <w:r>
        <w:rPr>
          <w:sz w:val="26"/>
          <w:szCs w:val="26"/>
        </w:rPr>
        <w:tab/>
      </w:r>
      <w:r>
        <w:rPr>
          <w:sz w:val="26"/>
          <w:szCs w:val="26"/>
        </w:rPr>
        <w:tab/>
      </w:r>
      <w:r w:rsidRPr="00E634C6">
        <w:rPr>
          <w:b/>
          <w:sz w:val="26"/>
          <w:szCs w:val="26"/>
        </w:rPr>
        <w:t>a.</w:t>
      </w:r>
      <w:r w:rsidRPr="00E634C6">
        <w:rPr>
          <w:b/>
          <w:sz w:val="26"/>
          <w:szCs w:val="26"/>
        </w:rPr>
        <w:tab/>
        <w:t>ALJ’s Initial Decision</w:t>
      </w:r>
    </w:p>
    <w:p w:rsidR="00E634C6" w:rsidRDefault="00E634C6" w:rsidP="00F8623C">
      <w:pPr>
        <w:keepNext/>
        <w:widowControl/>
        <w:spacing w:line="360" w:lineRule="auto"/>
        <w:rPr>
          <w:sz w:val="26"/>
          <w:szCs w:val="26"/>
        </w:rPr>
      </w:pPr>
    </w:p>
    <w:p w:rsidR="00416F4F" w:rsidRDefault="00AF7B95" w:rsidP="00B03BCC">
      <w:pPr>
        <w:widowControl/>
        <w:spacing w:line="360" w:lineRule="auto"/>
        <w:rPr>
          <w:sz w:val="26"/>
          <w:szCs w:val="26"/>
        </w:rPr>
      </w:pPr>
      <w:r>
        <w:rPr>
          <w:sz w:val="26"/>
          <w:szCs w:val="26"/>
        </w:rPr>
        <w:tab/>
      </w:r>
      <w:r>
        <w:rPr>
          <w:sz w:val="26"/>
          <w:szCs w:val="26"/>
        </w:rPr>
        <w:tab/>
        <w:t xml:space="preserve">Based upon his findings regarding PECO’s conduct with respect to the issues discussed above, the ALJ found that the Complainant carried her burden of proof in establishing that PECO violated the Code and Commission Regulations, and that the Company presented no evidence to rebut the Complainant’s </w:t>
      </w:r>
      <w:r w:rsidRPr="00AF7B95">
        <w:rPr>
          <w:i/>
          <w:sz w:val="26"/>
          <w:szCs w:val="26"/>
        </w:rPr>
        <w:t>prima facie</w:t>
      </w:r>
      <w:r w:rsidR="00CE0491">
        <w:rPr>
          <w:sz w:val="26"/>
          <w:szCs w:val="26"/>
        </w:rPr>
        <w:t xml:space="preserve"> case</w:t>
      </w:r>
      <w:r>
        <w:rPr>
          <w:sz w:val="26"/>
          <w:szCs w:val="26"/>
        </w:rPr>
        <w:t>.</w:t>
      </w:r>
      <w:r w:rsidR="00560A9A">
        <w:rPr>
          <w:sz w:val="26"/>
          <w:szCs w:val="26"/>
        </w:rPr>
        <w:t xml:space="preserve">  Therefore, the ALJ </w:t>
      </w:r>
      <w:r w:rsidR="00CE0491">
        <w:rPr>
          <w:sz w:val="26"/>
          <w:szCs w:val="26"/>
        </w:rPr>
        <w:t>concluded that imposing</w:t>
      </w:r>
      <w:r w:rsidR="00560A9A">
        <w:rPr>
          <w:sz w:val="26"/>
          <w:szCs w:val="26"/>
        </w:rPr>
        <w:t xml:space="preserve"> penalties on PECO was warranted.  I.D. at 32.</w:t>
      </w:r>
    </w:p>
    <w:p w:rsidR="00560A9A" w:rsidRDefault="00560A9A" w:rsidP="00B03BCC">
      <w:pPr>
        <w:widowControl/>
        <w:spacing w:line="360" w:lineRule="auto"/>
        <w:rPr>
          <w:sz w:val="26"/>
          <w:szCs w:val="26"/>
        </w:rPr>
      </w:pPr>
    </w:p>
    <w:p w:rsidR="00460208" w:rsidRPr="00460208" w:rsidRDefault="00460208" w:rsidP="00460208">
      <w:pPr>
        <w:widowControl/>
        <w:spacing w:line="360" w:lineRule="auto"/>
        <w:rPr>
          <w:sz w:val="26"/>
          <w:szCs w:val="26"/>
        </w:rPr>
      </w:pPr>
      <w:r>
        <w:rPr>
          <w:sz w:val="26"/>
          <w:szCs w:val="26"/>
        </w:rPr>
        <w:tab/>
      </w:r>
      <w:r>
        <w:rPr>
          <w:sz w:val="26"/>
          <w:szCs w:val="26"/>
        </w:rPr>
        <w:tab/>
        <w:t>The ALJ noted that, pursuant</w:t>
      </w:r>
      <w:r w:rsidR="00243F39">
        <w:rPr>
          <w:sz w:val="26"/>
          <w:szCs w:val="26"/>
        </w:rPr>
        <w:t xml:space="preserve"> to</w:t>
      </w:r>
      <w:r>
        <w:rPr>
          <w:sz w:val="26"/>
          <w:szCs w:val="26"/>
        </w:rPr>
        <w:t xml:space="preserve"> </w:t>
      </w:r>
      <w:r w:rsidRPr="00460208">
        <w:rPr>
          <w:sz w:val="26"/>
          <w:szCs w:val="26"/>
        </w:rPr>
        <w:t>66 Pa.</w:t>
      </w:r>
      <w:r w:rsidR="004938A8">
        <w:rPr>
          <w:sz w:val="26"/>
          <w:szCs w:val="26"/>
        </w:rPr>
        <w:t xml:space="preserve"> </w:t>
      </w:r>
      <w:r w:rsidRPr="00460208">
        <w:rPr>
          <w:sz w:val="26"/>
          <w:szCs w:val="26"/>
        </w:rPr>
        <w:t>C.S. § 3301, the Commission may impose a maximum civil penalty of $1,000 per day for e</w:t>
      </w:r>
      <w:r>
        <w:rPr>
          <w:sz w:val="26"/>
          <w:szCs w:val="26"/>
        </w:rPr>
        <w:t xml:space="preserve">ach violation of the Code, Commission Regulations or Commission </w:t>
      </w:r>
      <w:r w:rsidR="004938A8">
        <w:rPr>
          <w:sz w:val="26"/>
          <w:szCs w:val="26"/>
        </w:rPr>
        <w:t>O</w:t>
      </w:r>
      <w:r>
        <w:rPr>
          <w:sz w:val="26"/>
          <w:szCs w:val="26"/>
        </w:rPr>
        <w:t xml:space="preserve">rders.  </w:t>
      </w:r>
      <w:r w:rsidR="00B360F8">
        <w:rPr>
          <w:sz w:val="26"/>
          <w:szCs w:val="26"/>
        </w:rPr>
        <w:t>However, t</w:t>
      </w:r>
      <w:r>
        <w:rPr>
          <w:sz w:val="26"/>
          <w:szCs w:val="26"/>
        </w:rPr>
        <w:t>he ALJ further noted that</w:t>
      </w:r>
      <w:r w:rsidRPr="00460208">
        <w:rPr>
          <w:sz w:val="26"/>
          <w:szCs w:val="26"/>
        </w:rPr>
        <w:t xml:space="preserve"> </w:t>
      </w:r>
      <w:r w:rsidR="00CE0491">
        <w:rPr>
          <w:sz w:val="26"/>
          <w:szCs w:val="26"/>
        </w:rPr>
        <w:t>the Commission must</w:t>
      </w:r>
      <w:r>
        <w:rPr>
          <w:sz w:val="26"/>
          <w:szCs w:val="26"/>
        </w:rPr>
        <w:t xml:space="preserve"> apply </w:t>
      </w:r>
      <w:r w:rsidRPr="00460208">
        <w:rPr>
          <w:sz w:val="26"/>
          <w:szCs w:val="26"/>
        </w:rPr>
        <w:t xml:space="preserve">certain </w:t>
      </w:r>
      <w:r>
        <w:rPr>
          <w:sz w:val="26"/>
          <w:szCs w:val="26"/>
        </w:rPr>
        <w:t>factors and standards when imposing a civil penalty</w:t>
      </w:r>
      <w:r w:rsidR="00B360F8">
        <w:rPr>
          <w:sz w:val="26"/>
          <w:szCs w:val="26"/>
        </w:rPr>
        <w:t>.  I.D. at 32.  Those factors and standards</w:t>
      </w:r>
      <w:r w:rsidR="00243F39">
        <w:rPr>
          <w:sz w:val="26"/>
          <w:szCs w:val="26"/>
        </w:rPr>
        <w:t>, which apply to both litigated and settled proceedings involving violations of the Code and Commission Regulations,</w:t>
      </w:r>
      <w:r w:rsidR="00B360F8">
        <w:rPr>
          <w:sz w:val="26"/>
          <w:szCs w:val="26"/>
        </w:rPr>
        <w:t xml:space="preserve"> are</w:t>
      </w:r>
      <w:r>
        <w:rPr>
          <w:sz w:val="26"/>
          <w:szCs w:val="26"/>
        </w:rPr>
        <w:t xml:space="preserve"> enumerated in</w:t>
      </w:r>
      <w:r w:rsidR="00B360F8">
        <w:rPr>
          <w:sz w:val="26"/>
          <w:szCs w:val="26"/>
        </w:rPr>
        <w:t xml:space="preserve"> t</w:t>
      </w:r>
      <w:r w:rsidR="00243F39">
        <w:rPr>
          <w:sz w:val="26"/>
          <w:szCs w:val="26"/>
        </w:rPr>
        <w:t>he policy statement set forth in</w:t>
      </w:r>
      <w:r>
        <w:rPr>
          <w:sz w:val="26"/>
          <w:szCs w:val="26"/>
        </w:rPr>
        <w:t xml:space="preserve"> </w:t>
      </w:r>
      <w:r w:rsidR="00B360F8">
        <w:rPr>
          <w:sz w:val="26"/>
          <w:szCs w:val="26"/>
        </w:rPr>
        <w:t>Section 69.1201 o</w:t>
      </w:r>
      <w:r w:rsidR="00243F39">
        <w:rPr>
          <w:sz w:val="26"/>
          <w:szCs w:val="26"/>
        </w:rPr>
        <w:t xml:space="preserve">f the Commission’s Regulations </w:t>
      </w:r>
      <w:r w:rsidR="00B360F8">
        <w:rPr>
          <w:sz w:val="26"/>
          <w:szCs w:val="26"/>
        </w:rPr>
        <w:t>as follows:</w:t>
      </w:r>
    </w:p>
    <w:p w:rsidR="00D64B01" w:rsidRPr="00D64B01" w:rsidRDefault="00D64B01" w:rsidP="00D64B01">
      <w:pPr>
        <w:widowControl/>
        <w:spacing w:line="360" w:lineRule="auto"/>
        <w:rPr>
          <w:sz w:val="26"/>
          <w:szCs w:val="26"/>
        </w:rPr>
      </w:pPr>
      <w:bookmarkStart w:id="2" w:name="69.1201."/>
    </w:p>
    <w:p w:rsidR="00D64B01" w:rsidRPr="00D64B01" w:rsidRDefault="00620636" w:rsidP="00F9715A">
      <w:pPr>
        <w:widowControl/>
        <w:ind w:left="1440" w:right="1440"/>
        <w:rPr>
          <w:sz w:val="26"/>
          <w:szCs w:val="26"/>
        </w:rPr>
      </w:pPr>
      <w:r>
        <w:rPr>
          <w:sz w:val="26"/>
          <w:szCs w:val="26"/>
        </w:rPr>
        <w:t xml:space="preserve">(1)  </w:t>
      </w:r>
      <w:r w:rsidR="00D64B01" w:rsidRPr="00D64B01">
        <w:rPr>
          <w:sz w:val="26"/>
          <w:szCs w:val="26"/>
        </w:rPr>
        <w:t xml:space="preserve">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D64B01" w:rsidRPr="00D64B01" w:rsidRDefault="00D64B01" w:rsidP="00F9715A">
      <w:pPr>
        <w:widowControl/>
        <w:ind w:left="1440" w:right="1440"/>
        <w:rPr>
          <w:sz w:val="26"/>
          <w:szCs w:val="26"/>
        </w:rPr>
      </w:pPr>
    </w:p>
    <w:p w:rsidR="00D64B01" w:rsidRPr="00D64B01" w:rsidRDefault="00620636" w:rsidP="00F9715A">
      <w:pPr>
        <w:widowControl/>
        <w:ind w:left="1440" w:right="1440"/>
        <w:rPr>
          <w:sz w:val="26"/>
          <w:szCs w:val="26"/>
        </w:rPr>
      </w:pPr>
      <w:r>
        <w:rPr>
          <w:sz w:val="26"/>
          <w:szCs w:val="26"/>
        </w:rPr>
        <w:t xml:space="preserve">(2)  </w:t>
      </w:r>
      <w:r w:rsidR="00D64B01" w:rsidRPr="00D64B01">
        <w:rPr>
          <w:sz w:val="26"/>
          <w:szCs w:val="26"/>
        </w:rPr>
        <w:t xml:space="preserve">Whether the resulting consequences of the conduct at issue were of a serious nature.  When consequences of a serious nature are involved, such as personal injury or </w:t>
      </w:r>
      <w:r w:rsidR="00D64B01" w:rsidRPr="00D64B01">
        <w:rPr>
          <w:sz w:val="26"/>
          <w:szCs w:val="26"/>
        </w:rPr>
        <w:lastRenderedPageBreak/>
        <w:t xml:space="preserve">property damage, the consequences may warrant a higher penalty. </w:t>
      </w:r>
    </w:p>
    <w:p w:rsidR="00D64B01" w:rsidRPr="00D64B01" w:rsidRDefault="00D64B01" w:rsidP="00F9715A">
      <w:pPr>
        <w:widowControl/>
        <w:ind w:left="1440" w:right="1440"/>
        <w:rPr>
          <w:sz w:val="26"/>
          <w:szCs w:val="26"/>
        </w:rPr>
      </w:pPr>
    </w:p>
    <w:p w:rsidR="00D64B01" w:rsidRPr="00D64B01" w:rsidRDefault="00620636" w:rsidP="00F9715A">
      <w:pPr>
        <w:widowControl/>
        <w:ind w:left="1440" w:right="1440"/>
        <w:rPr>
          <w:sz w:val="26"/>
          <w:szCs w:val="26"/>
        </w:rPr>
      </w:pPr>
      <w:r>
        <w:rPr>
          <w:sz w:val="26"/>
          <w:szCs w:val="26"/>
        </w:rPr>
        <w:t xml:space="preserve">(3)  </w:t>
      </w:r>
      <w:r w:rsidR="00D64B01" w:rsidRPr="00D64B01">
        <w:rPr>
          <w:sz w:val="26"/>
          <w:szCs w:val="26"/>
        </w:rPr>
        <w:t xml:space="preserve">Whether the conduct at issue was deemed intentional or negligent.  This factor may only be considered in evaluating litigated cases.  When conduct has been deemed intentional, the conduct may result in a higher penalty. </w:t>
      </w:r>
    </w:p>
    <w:p w:rsidR="00D64B01" w:rsidRPr="00D64B01" w:rsidRDefault="00D64B01" w:rsidP="00F9715A">
      <w:pPr>
        <w:widowControl/>
        <w:ind w:left="1440" w:right="1440"/>
        <w:rPr>
          <w:sz w:val="26"/>
          <w:szCs w:val="26"/>
        </w:rPr>
      </w:pPr>
    </w:p>
    <w:p w:rsidR="00D64B01" w:rsidRPr="00D64B01" w:rsidRDefault="00620636" w:rsidP="00F9715A">
      <w:pPr>
        <w:widowControl/>
        <w:ind w:left="1440" w:right="1440"/>
        <w:rPr>
          <w:sz w:val="26"/>
          <w:szCs w:val="26"/>
        </w:rPr>
      </w:pPr>
      <w:r>
        <w:rPr>
          <w:sz w:val="26"/>
          <w:szCs w:val="26"/>
        </w:rPr>
        <w:t xml:space="preserve">(4)  </w:t>
      </w:r>
      <w:r w:rsidR="00D64B01" w:rsidRPr="00D64B01">
        <w:rPr>
          <w:sz w:val="26"/>
          <w:szCs w:val="26"/>
        </w:rPr>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D64B01" w:rsidRPr="00D64B01" w:rsidRDefault="00D64B01" w:rsidP="00F9715A">
      <w:pPr>
        <w:widowControl/>
        <w:ind w:left="1440" w:right="1440"/>
        <w:rPr>
          <w:sz w:val="26"/>
          <w:szCs w:val="26"/>
        </w:rPr>
      </w:pPr>
      <w:r w:rsidRPr="00D64B01">
        <w:rPr>
          <w:sz w:val="26"/>
          <w:szCs w:val="26"/>
        </w:rPr>
        <w:t xml:space="preserve"> </w:t>
      </w:r>
    </w:p>
    <w:p w:rsidR="00D64B01" w:rsidRPr="00D64B01" w:rsidRDefault="00620636" w:rsidP="00F9715A">
      <w:pPr>
        <w:widowControl/>
        <w:ind w:left="1440" w:right="1440"/>
        <w:rPr>
          <w:sz w:val="26"/>
          <w:szCs w:val="26"/>
        </w:rPr>
      </w:pPr>
      <w:r>
        <w:rPr>
          <w:sz w:val="26"/>
          <w:szCs w:val="26"/>
        </w:rPr>
        <w:t xml:space="preserve">(5)  </w:t>
      </w:r>
      <w:r w:rsidR="00D64B01" w:rsidRPr="00D64B01">
        <w:rPr>
          <w:sz w:val="26"/>
          <w:szCs w:val="26"/>
        </w:rPr>
        <w:t xml:space="preserve">The number of customers affected and the duration of the violation. </w:t>
      </w:r>
    </w:p>
    <w:p w:rsidR="00D64B01" w:rsidRPr="00D64B01" w:rsidRDefault="00D64B01" w:rsidP="00F9715A">
      <w:pPr>
        <w:widowControl/>
        <w:ind w:left="1440" w:right="1440"/>
        <w:rPr>
          <w:sz w:val="26"/>
          <w:szCs w:val="26"/>
        </w:rPr>
      </w:pPr>
    </w:p>
    <w:p w:rsidR="00D64B01" w:rsidRPr="00D64B01" w:rsidRDefault="00620636" w:rsidP="00F9715A">
      <w:pPr>
        <w:widowControl/>
        <w:ind w:left="1440" w:right="1440"/>
        <w:rPr>
          <w:sz w:val="26"/>
          <w:szCs w:val="26"/>
        </w:rPr>
      </w:pPr>
      <w:r>
        <w:rPr>
          <w:sz w:val="26"/>
          <w:szCs w:val="26"/>
        </w:rPr>
        <w:t xml:space="preserve">(6)  </w:t>
      </w:r>
      <w:r w:rsidR="00D64B01" w:rsidRPr="00D64B01">
        <w:rPr>
          <w:sz w:val="26"/>
          <w:szCs w:val="26"/>
        </w:rPr>
        <w:t xml:space="preserve">The compliance history of the regulated entity which committed the violation.  An isolated incident from an otherwise compliant utility may result in a lower penalty, whereas frequent, recurrent violations by a utility may result in a higher penalty. </w:t>
      </w:r>
    </w:p>
    <w:p w:rsidR="00D64B01" w:rsidRPr="00D64B01" w:rsidRDefault="00D64B01" w:rsidP="00F9715A">
      <w:pPr>
        <w:widowControl/>
        <w:ind w:left="1440" w:right="1440"/>
        <w:rPr>
          <w:sz w:val="26"/>
          <w:szCs w:val="26"/>
        </w:rPr>
      </w:pPr>
    </w:p>
    <w:p w:rsidR="00D64B01" w:rsidRPr="00D64B01" w:rsidRDefault="00620636" w:rsidP="00F9715A">
      <w:pPr>
        <w:widowControl/>
        <w:ind w:left="1440" w:right="1440"/>
        <w:rPr>
          <w:sz w:val="26"/>
          <w:szCs w:val="26"/>
        </w:rPr>
      </w:pPr>
      <w:r>
        <w:rPr>
          <w:sz w:val="26"/>
          <w:szCs w:val="26"/>
        </w:rPr>
        <w:t xml:space="preserve">(7)  </w:t>
      </w:r>
      <w:r w:rsidR="00D64B01" w:rsidRPr="00D64B01">
        <w:rPr>
          <w:sz w:val="26"/>
          <w:szCs w:val="26"/>
        </w:rPr>
        <w:t xml:space="preserve">Whether the regulated entity cooperated with the Commission’s investigation.  Facts establishing bad faith, active concealment of violations, or attempts to interfere with Commission investigations may result in a higher penalty. </w:t>
      </w:r>
    </w:p>
    <w:p w:rsidR="00D64B01" w:rsidRPr="00D64B01" w:rsidRDefault="00D64B01" w:rsidP="00F9715A">
      <w:pPr>
        <w:widowControl/>
        <w:ind w:left="1440" w:right="1440"/>
        <w:rPr>
          <w:sz w:val="26"/>
          <w:szCs w:val="26"/>
        </w:rPr>
      </w:pPr>
    </w:p>
    <w:p w:rsidR="00D64B01" w:rsidRPr="00D64B01" w:rsidRDefault="00620636" w:rsidP="00F9715A">
      <w:pPr>
        <w:widowControl/>
        <w:ind w:left="1440" w:right="1440"/>
        <w:rPr>
          <w:sz w:val="26"/>
          <w:szCs w:val="26"/>
        </w:rPr>
      </w:pPr>
      <w:r>
        <w:rPr>
          <w:sz w:val="26"/>
          <w:szCs w:val="26"/>
        </w:rPr>
        <w:t xml:space="preserve">(8)  </w:t>
      </w:r>
      <w:r w:rsidR="00D64B01" w:rsidRPr="00D64B01">
        <w:rPr>
          <w:sz w:val="26"/>
          <w:szCs w:val="26"/>
        </w:rPr>
        <w:t xml:space="preserve">The amount of the civil penalty or fine necessary to deter future violations.  The size of the utility may be considered to determine an appropriate penalty amount. </w:t>
      </w:r>
    </w:p>
    <w:p w:rsidR="00D64B01" w:rsidRPr="00D64B01" w:rsidRDefault="00D64B01" w:rsidP="00F9715A">
      <w:pPr>
        <w:widowControl/>
        <w:ind w:left="1440" w:right="1440"/>
        <w:rPr>
          <w:sz w:val="26"/>
          <w:szCs w:val="26"/>
        </w:rPr>
      </w:pPr>
    </w:p>
    <w:p w:rsidR="00D64B01" w:rsidRDefault="00620636" w:rsidP="00F9715A">
      <w:pPr>
        <w:widowControl/>
        <w:ind w:left="1440" w:right="1440"/>
        <w:rPr>
          <w:sz w:val="26"/>
          <w:szCs w:val="26"/>
        </w:rPr>
      </w:pPr>
      <w:r>
        <w:rPr>
          <w:sz w:val="26"/>
          <w:szCs w:val="26"/>
        </w:rPr>
        <w:t xml:space="preserve">(9)  </w:t>
      </w:r>
      <w:r w:rsidR="00D64B01" w:rsidRPr="00D64B01">
        <w:rPr>
          <w:sz w:val="26"/>
          <w:szCs w:val="26"/>
        </w:rPr>
        <w:t xml:space="preserve">Past Commission decisions in similar situations. </w:t>
      </w:r>
    </w:p>
    <w:p w:rsidR="00673946" w:rsidRDefault="00673946" w:rsidP="00F9715A">
      <w:pPr>
        <w:widowControl/>
        <w:ind w:left="1440" w:right="1440"/>
        <w:rPr>
          <w:sz w:val="26"/>
          <w:szCs w:val="26"/>
        </w:rPr>
      </w:pPr>
    </w:p>
    <w:p w:rsidR="00D64B01" w:rsidRPr="00D64B01" w:rsidRDefault="00620636" w:rsidP="00F9715A">
      <w:pPr>
        <w:widowControl/>
        <w:ind w:left="1440" w:right="1440"/>
        <w:rPr>
          <w:sz w:val="26"/>
          <w:szCs w:val="26"/>
        </w:rPr>
      </w:pPr>
      <w:r>
        <w:rPr>
          <w:sz w:val="26"/>
          <w:szCs w:val="26"/>
        </w:rPr>
        <w:t xml:space="preserve">(10)  </w:t>
      </w:r>
      <w:r w:rsidR="00D64B01" w:rsidRPr="00D64B01">
        <w:rPr>
          <w:sz w:val="26"/>
          <w:szCs w:val="26"/>
        </w:rPr>
        <w:t>Other relevant factors.</w:t>
      </w:r>
      <w:bookmarkEnd w:id="2"/>
    </w:p>
    <w:p w:rsidR="00D64B01" w:rsidRPr="00D64B01" w:rsidRDefault="00D64B01" w:rsidP="00D64B01">
      <w:pPr>
        <w:widowControl/>
        <w:spacing w:line="360" w:lineRule="auto"/>
        <w:rPr>
          <w:sz w:val="26"/>
          <w:szCs w:val="26"/>
        </w:rPr>
      </w:pPr>
    </w:p>
    <w:p w:rsidR="00D64B01" w:rsidRDefault="007A0E22" w:rsidP="00D64B01">
      <w:pPr>
        <w:widowControl/>
        <w:spacing w:line="360" w:lineRule="auto"/>
        <w:rPr>
          <w:sz w:val="26"/>
          <w:szCs w:val="26"/>
        </w:rPr>
      </w:pPr>
      <w:r>
        <w:rPr>
          <w:sz w:val="26"/>
          <w:szCs w:val="26"/>
        </w:rPr>
        <w:t xml:space="preserve">I.D. at 32-34 (quoting </w:t>
      </w:r>
      <w:r w:rsidR="00D64B01" w:rsidRPr="00D64B01">
        <w:rPr>
          <w:sz w:val="26"/>
          <w:szCs w:val="26"/>
        </w:rPr>
        <w:t>52 Pa.</w:t>
      </w:r>
      <w:r w:rsidR="00F33C9E">
        <w:rPr>
          <w:sz w:val="26"/>
          <w:szCs w:val="26"/>
        </w:rPr>
        <w:t xml:space="preserve"> </w:t>
      </w:r>
      <w:r w:rsidR="00D64B01" w:rsidRPr="00D64B01">
        <w:rPr>
          <w:sz w:val="26"/>
          <w:szCs w:val="26"/>
        </w:rPr>
        <w:t>Code § 69.1201</w:t>
      </w:r>
      <w:r>
        <w:rPr>
          <w:sz w:val="26"/>
          <w:szCs w:val="26"/>
        </w:rPr>
        <w:t>)</w:t>
      </w:r>
      <w:r w:rsidR="00D64B01" w:rsidRPr="00D64B01">
        <w:rPr>
          <w:sz w:val="26"/>
          <w:szCs w:val="26"/>
        </w:rPr>
        <w:t>.</w:t>
      </w:r>
    </w:p>
    <w:p w:rsidR="007A0E22" w:rsidRDefault="007A0E22" w:rsidP="00D64B01">
      <w:pPr>
        <w:widowControl/>
        <w:spacing w:line="360" w:lineRule="auto"/>
        <w:rPr>
          <w:sz w:val="26"/>
          <w:szCs w:val="26"/>
        </w:rPr>
      </w:pPr>
    </w:p>
    <w:p w:rsidR="007A0E22" w:rsidRPr="00D64B01" w:rsidRDefault="007A0E22" w:rsidP="00D64B01">
      <w:pPr>
        <w:widowControl/>
        <w:spacing w:line="360" w:lineRule="auto"/>
        <w:rPr>
          <w:sz w:val="26"/>
          <w:szCs w:val="26"/>
        </w:rPr>
      </w:pPr>
      <w:r>
        <w:rPr>
          <w:sz w:val="26"/>
          <w:szCs w:val="26"/>
        </w:rPr>
        <w:lastRenderedPageBreak/>
        <w:tab/>
      </w:r>
      <w:r>
        <w:rPr>
          <w:sz w:val="26"/>
          <w:szCs w:val="26"/>
        </w:rPr>
        <w:tab/>
      </w:r>
      <w:r w:rsidR="00253FB9">
        <w:rPr>
          <w:sz w:val="26"/>
          <w:szCs w:val="26"/>
        </w:rPr>
        <w:t>The ALJ summarized the ways in which</w:t>
      </w:r>
      <w:r w:rsidR="00B6154D">
        <w:rPr>
          <w:sz w:val="26"/>
          <w:szCs w:val="26"/>
        </w:rPr>
        <w:t xml:space="preserve"> he found that</w:t>
      </w:r>
      <w:r w:rsidR="00253FB9">
        <w:rPr>
          <w:sz w:val="26"/>
          <w:szCs w:val="26"/>
        </w:rPr>
        <w:t xml:space="preserve"> PECO failed to provide reasonable service to</w:t>
      </w:r>
      <w:r w:rsidR="00CE0491">
        <w:rPr>
          <w:sz w:val="26"/>
          <w:szCs w:val="26"/>
        </w:rPr>
        <w:t xml:space="preserve"> the Complainant, in violation of</w:t>
      </w:r>
      <w:r w:rsidR="00253FB9">
        <w:rPr>
          <w:sz w:val="26"/>
          <w:szCs w:val="26"/>
        </w:rPr>
        <w:t xml:space="preserve"> Section 1501 of the Code, as follows:</w:t>
      </w:r>
    </w:p>
    <w:p w:rsidR="00416F4F" w:rsidRPr="00B03BCC" w:rsidRDefault="00416F4F" w:rsidP="00B03BCC">
      <w:pPr>
        <w:widowControl/>
        <w:spacing w:line="360" w:lineRule="auto"/>
        <w:rPr>
          <w:sz w:val="26"/>
          <w:szCs w:val="26"/>
        </w:rPr>
      </w:pPr>
    </w:p>
    <w:p w:rsidR="00253FB9" w:rsidRPr="00253FB9" w:rsidRDefault="00253FB9" w:rsidP="00253FB9">
      <w:pPr>
        <w:widowControl/>
        <w:ind w:left="1440" w:right="1440"/>
        <w:rPr>
          <w:sz w:val="26"/>
          <w:szCs w:val="26"/>
        </w:rPr>
      </w:pPr>
      <w:r>
        <w:rPr>
          <w:sz w:val="26"/>
          <w:szCs w:val="26"/>
        </w:rPr>
        <w:t>1)</w:t>
      </w:r>
      <w:r w:rsidRPr="00253FB9">
        <w:rPr>
          <w:sz w:val="26"/>
          <w:szCs w:val="26"/>
        </w:rPr>
        <w:tab/>
        <w:t xml:space="preserve">PECO failed to process Complainant’s 2013 application for service in a timely manner. </w:t>
      </w:r>
    </w:p>
    <w:p w:rsidR="00253FB9" w:rsidRPr="00253FB9" w:rsidRDefault="00253FB9" w:rsidP="00253FB9">
      <w:pPr>
        <w:widowControl/>
        <w:ind w:left="1440" w:right="1440"/>
        <w:rPr>
          <w:sz w:val="26"/>
          <w:szCs w:val="26"/>
        </w:rPr>
      </w:pPr>
    </w:p>
    <w:p w:rsidR="00253FB9" w:rsidRPr="00253FB9" w:rsidRDefault="00253FB9" w:rsidP="00253FB9">
      <w:pPr>
        <w:widowControl/>
        <w:ind w:left="1440" w:right="1440"/>
        <w:rPr>
          <w:sz w:val="26"/>
          <w:szCs w:val="26"/>
        </w:rPr>
      </w:pPr>
      <w:r w:rsidRPr="00253FB9">
        <w:rPr>
          <w:sz w:val="26"/>
          <w:szCs w:val="26"/>
        </w:rPr>
        <w:t>2)</w:t>
      </w:r>
      <w:r w:rsidRPr="00253FB9">
        <w:rPr>
          <w:sz w:val="26"/>
          <w:szCs w:val="26"/>
        </w:rPr>
        <w:tab/>
        <w:t xml:space="preserve">PECO failed to initiate Complainant’s service at Aspen Avenue in a timely manner. </w:t>
      </w:r>
    </w:p>
    <w:p w:rsidR="00253FB9" w:rsidRPr="00253FB9" w:rsidRDefault="00253FB9" w:rsidP="00253FB9">
      <w:pPr>
        <w:widowControl/>
        <w:ind w:left="1440" w:right="1440"/>
        <w:rPr>
          <w:sz w:val="26"/>
          <w:szCs w:val="26"/>
        </w:rPr>
      </w:pPr>
    </w:p>
    <w:p w:rsidR="00253FB9" w:rsidRDefault="00253FB9" w:rsidP="00253FB9">
      <w:pPr>
        <w:widowControl/>
        <w:ind w:left="1440" w:right="1440"/>
        <w:rPr>
          <w:sz w:val="26"/>
          <w:szCs w:val="26"/>
        </w:rPr>
      </w:pPr>
      <w:r w:rsidRPr="00253FB9">
        <w:rPr>
          <w:sz w:val="26"/>
          <w:szCs w:val="26"/>
        </w:rPr>
        <w:t>3)</w:t>
      </w:r>
      <w:r w:rsidRPr="00253FB9">
        <w:rPr>
          <w:sz w:val="26"/>
          <w:szCs w:val="26"/>
        </w:rPr>
        <w:tab/>
      </w:r>
      <w:r w:rsidRPr="00715D92">
        <w:rPr>
          <w:sz w:val="26"/>
          <w:szCs w:val="26"/>
        </w:rPr>
        <w:t xml:space="preserve">PECO improperly included in Complainant’s </w:t>
      </w:r>
      <w:r w:rsidR="00D61A8B" w:rsidRPr="00715D92">
        <w:rPr>
          <w:sz w:val="26"/>
          <w:szCs w:val="26"/>
        </w:rPr>
        <w:t>[payment arrangement (</w:t>
      </w:r>
      <w:r w:rsidRPr="00715D92">
        <w:rPr>
          <w:sz w:val="26"/>
          <w:szCs w:val="26"/>
        </w:rPr>
        <w:t>PAR</w:t>
      </w:r>
      <w:r w:rsidR="00D61A8B" w:rsidRPr="00715D92">
        <w:rPr>
          <w:sz w:val="26"/>
          <w:szCs w:val="26"/>
        </w:rPr>
        <w:t>)]</w:t>
      </w:r>
      <w:r w:rsidRPr="00715D92">
        <w:rPr>
          <w:sz w:val="26"/>
          <w:szCs w:val="26"/>
        </w:rPr>
        <w:t xml:space="preserve"> charges that had accrued more than four years ago as a condition of providing service to her.  </w:t>
      </w:r>
    </w:p>
    <w:p w:rsidR="00715D92" w:rsidRPr="00715D92" w:rsidRDefault="00715D92" w:rsidP="00253FB9">
      <w:pPr>
        <w:widowControl/>
        <w:ind w:left="1440" w:right="1440"/>
        <w:rPr>
          <w:sz w:val="26"/>
          <w:szCs w:val="26"/>
        </w:rPr>
      </w:pPr>
    </w:p>
    <w:p w:rsidR="00253FB9" w:rsidRPr="00253FB9" w:rsidRDefault="00253FB9" w:rsidP="00253FB9">
      <w:pPr>
        <w:widowControl/>
        <w:ind w:left="1440" w:right="1440"/>
        <w:rPr>
          <w:sz w:val="26"/>
          <w:szCs w:val="26"/>
        </w:rPr>
      </w:pPr>
      <w:r w:rsidRPr="00715D92">
        <w:rPr>
          <w:sz w:val="26"/>
          <w:szCs w:val="26"/>
        </w:rPr>
        <w:t>4)</w:t>
      </w:r>
      <w:r w:rsidRPr="00715D92">
        <w:rPr>
          <w:sz w:val="26"/>
          <w:szCs w:val="26"/>
        </w:rPr>
        <w:tab/>
        <w:t>PECO improperly</w:t>
      </w:r>
      <w:r w:rsidRPr="00253FB9">
        <w:rPr>
          <w:sz w:val="26"/>
          <w:szCs w:val="26"/>
        </w:rPr>
        <w:t xml:space="preserve"> included in Complainant’s PAR late payment charges based upon charges that that had accrued more than four years ago. </w:t>
      </w:r>
    </w:p>
    <w:p w:rsidR="00253FB9" w:rsidRPr="00253FB9" w:rsidRDefault="00253FB9" w:rsidP="00253FB9">
      <w:pPr>
        <w:widowControl/>
        <w:ind w:left="1440" w:right="1440"/>
        <w:rPr>
          <w:sz w:val="26"/>
          <w:szCs w:val="26"/>
        </w:rPr>
      </w:pPr>
    </w:p>
    <w:p w:rsidR="00253FB9" w:rsidRPr="00253FB9" w:rsidRDefault="00253FB9" w:rsidP="00253FB9">
      <w:pPr>
        <w:widowControl/>
        <w:ind w:left="1440" w:right="1440"/>
        <w:rPr>
          <w:sz w:val="26"/>
          <w:szCs w:val="26"/>
        </w:rPr>
      </w:pPr>
      <w:r w:rsidRPr="00253FB9">
        <w:rPr>
          <w:sz w:val="26"/>
          <w:szCs w:val="26"/>
        </w:rPr>
        <w:t>5)</w:t>
      </w:r>
      <w:r w:rsidRPr="00253FB9">
        <w:rPr>
          <w:sz w:val="26"/>
          <w:szCs w:val="26"/>
        </w:rPr>
        <w:tab/>
        <w:t>PECO failed to conduct a full investigation of Complainant’s high usage dispute.</w:t>
      </w:r>
    </w:p>
    <w:p w:rsidR="00253FB9" w:rsidRPr="00253FB9" w:rsidRDefault="00253FB9" w:rsidP="00253FB9">
      <w:pPr>
        <w:widowControl/>
        <w:ind w:left="1440" w:right="1440"/>
        <w:rPr>
          <w:sz w:val="26"/>
          <w:szCs w:val="26"/>
        </w:rPr>
      </w:pPr>
    </w:p>
    <w:p w:rsidR="00253FB9" w:rsidRDefault="00253FB9" w:rsidP="00253FB9">
      <w:pPr>
        <w:widowControl/>
        <w:ind w:left="1440" w:right="1440"/>
        <w:rPr>
          <w:sz w:val="26"/>
          <w:szCs w:val="26"/>
        </w:rPr>
      </w:pPr>
      <w:r w:rsidRPr="00253FB9">
        <w:rPr>
          <w:sz w:val="26"/>
          <w:szCs w:val="26"/>
        </w:rPr>
        <w:t>6)</w:t>
      </w:r>
      <w:r w:rsidRPr="00253FB9">
        <w:rPr>
          <w:sz w:val="26"/>
          <w:szCs w:val="26"/>
        </w:rPr>
        <w:tab/>
        <w:t>PECO failed to provide a timely explanation of Complainant’s billing charges, i.e., reinstate bad debt service charges.</w:t>
      </w:r>
    </w:p>
    <w:p w:rsidR="00D61A8B" w:rsidRDefault="00D61A8B" w:rsidP="00253FB9">
      <w:pPr>
        <w:widowControl/>
        <w:ind w:left="1440" w:right="1440"/>
        <w:rPr>
          <w:sz w:val="26"/>
          <w:szCs w:val="26"/>
        </w:rPr>
      </w:pPr>
    </w:p>
    <w:p w:rsidR="00D61A8B" w:rsidRDefault="00D61A8B" w:rsidP="00253FB9">
      <w:pPr>
        <w:widowControl/>
        <w:ind w:left="1440" w:right="1440"/>
        <w:rPr>
          <w:sz w:val="26"/>
          <w:szCs w:val="26"/>
        </w:rPr>
      </w:pPr>
    </w:p>
    <w:p w:rsidR="00253FB9" w:rsidRPr="002D4396" w:rsidRDefault="00D61A8B" w:rsidP="00D61A8B">
      <w:pPr>
        <w:widowControl/>
        <w:spacing w:line="360" w:lineRule="auto"/>
        <w:rPr>
          <w:sz w:val="26"/>
          <w:szCs w:val="26"/>
        </w:rPr>
      </w:pPr>
      <w:r>
        <w:rPr>
          <w:sz w:val="26"/>
          <w:szCs w:val="26"/>
        </w:rPr>
        <w:t xml:space="preserve">I.D. at 34.  The ALJ also found that </w:t>
      </w:r>
      <w:r w:rsidR="002D4396">
        <w:rPr>
          <w:sz w:val="26"/>
          <w:szCs w:val="26"/>
        </w:rPr>
        <w:t>PECO violated the Commission’s R</w:t>
      </w:r>
      <w:r w:rsidR="00253FB9" w:rsidRPr="00253FB9">
        <w:rPr>
          <w:sz w:val="26"/>
          <w:szCs w:val="26"/>
        </w:rPr>
        <w:t>egulations concerning payment arrangements for an outstanding balance</w:t>
      </w:r>
      <w:r w:rsidR="002D4396">
        <w:rPr>
          <w:sz w:val="26"/>
          <w:szCs w:val="26"/>
        </w:rPr>
        <w:t xml:space="preserve"> at </w:t>
      </w:r>
      <w:r w:rsidR="002D4396" w:rsidRPr="002D4396">
        <w:rPr>
          <w:sz w:val="26"/>
          <w:szCs w:val="26"/>
        </w:rPr>
        <w:t>52 Pa.</w:t>
      </w:r>
      <w:r w:rsidR="002D4396">
        <w:rPr>
          <w:sz w:val="26"/>
          <w:szCs w:val="26"/>
        </w:rPr>
        <w:t xml:space="preserve"> </w:t>
      </w:r>
      <w:r w:rsidR="002D4396" w:rsidRPr="002D4396">
        <w:rPr>
          <w:sz w:val="26"/>
          <w:szCs w:val="26"/>
        </w:rPr>
        <w:t>Code § 56.35</w:t>
      </w:r>
      <w:r w:rsidR="002D4396">
        <w:rPr>
          <w:sz w:val="26"/>
          <w:szCs w:val="26"/>
        </w:rPr>
        <w:t xml:space="preserve">, </w:t>
      </w:r>
      <w:r w:rsidR="00253FB9" w:rsidRPr="00253FB9">
        <w:rPr>
          <w:sz w:val="26"/>
          <w:szCs w:val="26"/>
        </w:rPr>
        <w:t>and procedures for addressing customer disputes</w:t>
      </w:r>
      <w:r w:rsidR="002D4396">
        <w:rPr>
          <w:sz w:val="26"/>
          <w:szCs w:val="26"/>
        </w:rPr>
        <w:t xml:space="preserve"> at </w:t>
      </w:r>
      <w:r w:rsidR="002D4396" w:rsidRPr="002D4396">
        <w:rPr>
          <w:sz w:val="26"/>
          <w:szCs w:val="26"/>
        </w:rPr>
        <w:t>52 Pa.</w:t>
      </w:r>
      <w:r w:rsidR="002D4396">
        <w:rPr>
          <w:sz w:val="26"/>
          <w:szCs w:val="26"/>
        </w:rPr>
        <w:t xml:space="preserve"> Code § 56.151</w:t>
      </w:r>
      <w:r w:rsidR="00253FB9" w:rsidRPr="002D4396">
        <w:rPr>
          <w:sz w:val="26"/>
          <w:szCs w:val="26"/>
        </w:rPr>
        <w:t>.</w:t>
      </w:r>
      <w:r w:rsidR="002D4396">
        <w:rPr>
          <w:sz w:val="26"/>
          <w:szCs w:val="26"/>
        </w:rPr>
        <w:t xml:space="preserve">  I.D. at 34.</w:t>
      </w:r>
      <w:r w:rsidR="00253FB9" w:rsidRPr="002D4396">
        <w:rPr>
          <w:sz w:val="26"/>
          <w:szCs w:val="26"/>
        </w:rPr>
        <w:t xml:space="preserve"> </w:t>
      </w:r>
    </w:p>
    <w:p w:rsidR="00253FB9" w:rsidRPr="00253FB9" w:rsidRDefault="00253FB9" w:rsidP="00253FB9">
      <w:pPr>
        <w:widowControl/>
        <w:spacing w:line="360" w:lineRule="auto"/>
        <w:rPr>
          <w:sz w:val="26"/>
          <w:szCs w:val="26"/>
        </w:rPr>
      </w:pPr>
    </w:p>
    <w:p w:rsidR="00253FB9" w:rsidRPr="00253FB9" w:rsidRDefault="00253FB9" w:rsidP="00253FB9">
      <w:pPr>
        <w:widowControl/>
        <w:spacing w:line="360" w:lineRule="auto"/>
        <w:rPr>
          <w:sz w:val="26"/>
          <w:szCs w:val="26"/>
        </w:rPr>
      </w:pPr>
      <w:r w:rsidRPr="00253FB9">
        <w:rPr>
          <w:sz w:val="26"/>
          <w:szCs w:val="26"/>
        </w:rPr>
        <w:tab/>
      </w:r>
      <w:r w:rsidRPr="00253FB9">
        <w:rPr>
          <w:sz w:val="26"/>
          <w:szCs w:val="26"/>
        </w:rPr>
        <w:tab/>
        <w:t>In light of</w:t>
      </w:r>
      <w:r w:rsidR="007F635F">
        <w:rPr>
          <w:sz w:val="26"/>
          <w:szCs w:val="26"/>
        </w:rPr>
        <w:t xml:space="preserve"> these findings, the ALJ made the following determinations in accordance with the Commission’s factors and standards for</w:t>
      </w:r>
      <w:r w:rsidR="00F46DAE">
        <w:rPr>
          <w:sz w:val="26"/>
          <w:szCs w:val="26"/>
        </w:rPr>
        <w:t xml:space="preserve"> determining civil penalties, as set forth above:</w:t>
      </w:r>
    </w:p>
    <w:p w:rsidR="00660E4A" w:rsidRDefault="00660E4A" w:rsidP="00253FB9">
      <w:pPr>
        <w:widowControl/>
        <w:spacing w:line="360" w:lineRule="auto"/>
        <w:rPr>
          <w:sz w:val="26"/>
          <w:szCs w:val="26"/>
        </w:rPr>
      </w:pPr>
    </w:p>
    <w:p w:rsidR="00F33C9E" w:rsidRPr="00F33C9E" w:rsidRDefault="00F33C9E" w:rsidP="00F33C9E">
      <w:pPr>
        <w:widowControl/>
        <w:ind w:left="1440" w:right="1440"/>
        <w:rPr>
          <w:sz w:val="26"/>
          <w:szCs w:val="26"/>
        </w:rPr>
      </w:pPr>
      <w:r>
        <w:rPr>
          <w:sz w:val="26"/>
          <w:szCs w:val="26"/>
        </w:rPr>
        <w:tab/>
      </w:r>
      <w:r w:rsidRPr="00F33C9E">
        <w:rPr>
          <w:sz w:val="26"/>
          <w:szCs w:val="26"/>
        </w:rPr>
        <w:t>(1)</w:t>
      </w:r>
      <w:r w:rsidRPr="00F33C9E">
        <w:rPr>
          <w:sz w:val="26"/>
          <w:szCs w:val="26"/>
        </w:rPr>
        <w:tab/>
        <w:t xml:space="preserve">PECO’s failure to provide Ms. Trivelpiece reasonable service in six different aspects, as enumerated above, is of a serious nature and warrants a higher penalty of </w:t>
      </w:r>
      <w:r w:rsidRPr="00F33C9E">
        <w:rPr>
          <w:sz w:val="26"/>
          <w:szCs w:val="26"/>
        </w:rPr>
        <w:lastRenderedPageBreak/>
        <w:t>$500.00 for each separate violation for a cumulative penalty of $3,000.00.</w:t>
      </w:r>
    </w:p>
    <w:p w:rsidR="00F33C9E" w:rsidRPr="00F33C9E" w:rsidRDefault="00F33C9E" w:rsidP="00F33C9E">
      <w:pPr>
        <w:widowControl/>
        <w:ind w:left="1440" w:right="1440"/>
        <w:rPr>
          <w:sz w:val="26"/>
          <w:szCs w:val="26"/>
        </w:rPr>
      </w:pPr>
    </w:p>
    <w:p w:rsidR="00F33C9E" w:rsidRPr="00F33C9E" w:rsidRDefault="00F33C9E" w:rsidP="00F33C9E">
      <w:pPr>
        <w:widowControl/>
        <w:ind w:left="1440" w:right="1440"/>
        <w:rPr>
          <w:sz w:val="26"/>
          <w:szCs w:val="26"/>
        </w:rPr>
      </w:pPr>
      <w:r>
        <w:rPr>
          <w:sz w:val="26"/>
          <w:szCs w:val="26"/>
        </w:rPr>
        <w:tab/>
      </w:r>
      <w:r w:rsidRPr="00F33C9E">
        <w:rPr>
          <w:sz w:val="26"/>
          <w:szCs w:val="26"/>
        </w:rPr>
        <w:t>(2)</w:t>
      </w:r>
      <w:r w:rsidRPr="00F33C9E">
        <w:rPr>
          <w:sz w:val="26"/>
          <w:szCs w:val="26"/>
        </w:rPr>
        <w:tab/>
        <w:t xml:space="preserve">PECO’s delay in processing Ms. Trivelpiece’s 2013 application for service resulted in Ms. Trivelpiece being without service for a month.  The consequences of this delay are of a serious nature and warrant a penalty of $1,000.00. </w:t>
      </w:r>
    </w:p>
    <w:p w:rsidR="00253FB9" w:rsidRPr="00253FB9" w:rsidRDefault="00253FB9" w:rsidP="00F33C9E">
      <w:pPr>
        <w:widowControl/>
        <w:ind w:left="1440" w:right="1440"/>
        <w:rPr>
          <w:sz w:val="26"/>
          <w:szCs w:val="26"/>
        </w:rPr>
      </w:pPr>
    </w:p>
    <w:p w:rsidR="00253FB9" w:rsidRPr="00253FB9" w:rsidRDefault="00F33C9E" w:rsidP="00F33C9E">
      <w:pPr>
        <w:widowControl/>
        <w:ind w:left="1440" w:right="1440"/>
        <w:rPr>
          <w:sz w:val="26"/>
          <w:szCs w:val="26"/>
        </w:rPr>
      </w:pPr>
      <w:r>
        <w:rPr>
          <w:sz w:val="26"/>
          <w:szCs w:val="26"/>
        </w:rPr>
        <w:tab/>
      </w:r>
      <w:r w:rsidR="00253FB9" w:rsidRPr="00253FB9">
        <w:rPr>
          <w:sz w:val="26"/>
          <w:szCs w:val="26"/>
        </w:rPr>
        <w:t>(3)</w:t>
      </w:r>
      <w:r w:rsidR="00253FB9" w:rsidRPr="00253FB9">
        <w:rPr>
          <w:sz w:val="26"/>
          <w:szCs w:val="26"/>
        </w:rPr>
        <w:tab/>
        <w:t>This was a litigated case.  PECO’s inclusion of charges in the PAR that were more than four years old is deemed intentional in light of the fact that PECO would not have initiated service unless Ms. Trivelpiece agreed to the PAR.  Accordingly, a higher penalty of $1,000.00 is warranted.</w:t>
      </w:r>
    </w:p>
    <w:p w:rsidR="00253FB9" w:rsidRPr="00253FB9" w:rsidRDefault="00253FB9" w:rsidP="00F33C9E">
      <w:pPr>
        <w:widowControl/>
        <w:ind w:left="1440" w:right="1440"/>
        <w:rPr>
          <w:sz w:val="26"/>
          <w:szCs w:val="26"/>
        </w:rPr>
      </w:pPr>
    </w:p>
    <w:p w:rsidR="00253FB9" w:rsidRPr="00253FB9" w:rsidRDefault="00F33C9E" w:rsidP="00F33C9E">
      <w:pPr>
        <w:widowControl/>
        <w:ind w:left="1440" w:right="1440"/>
        <w:rPr>
          <w:sz w:val="26"/>
          <w:szCs w:val="26"/>
        </w:rPr>
      </w:pPr>
      <w:r>
        <w:rPr>
          <w:sz w:val="26"/>
          <w:szCs w:val="26"/>
        </w:rPr>
        <w:tab/>
      </w:r>
      <w:r w:rsidR="00253FB9" w:rsidRPr="00253FB9">
        <w:rPr>
          <w:sz w:val="26"/>
          <w:szCs w:val="26"/>
        </w:rPr>
        <w:t>(4)</w:t>
      </w:r>
      <w:r w:rsidR="00253FB9" w:rsidRPr="00253FB9">
        <w:rPr>
          <w:sz w:val="26"/>
          <w:szCs w:val="26"/>
        </w:rPr>
        <w:tab/>
        <w:t>There is no evidence that PECO has made efforts to modify internal practice and procedures to address the conduct at issue and prevent similar conduct in the future.  Therefore, the civil penalties mentioned above are warranted.</w:t>
      </w:r>
    </w:p>
    <w:p w:rsidR="00253FB9" w:rsidRPr="00253FB9" w:rsidRDefault="00253FB9" w:rsidP="00F33C9E">
      <w:pPr>
        <w:widowControl/>
        <w:ind w:left="1440" w:right="1440"/>
        <w:rPr>
          <w:sz w:val="26"/>
          <w:szCs w:val="26"/>
        </w:rPr>
      </w:pPr>
    </w:p>
    <w:p w:rsidR="00253FB9" w:rsidRPr="00253FB9" w:rsidRDefault="00F33C9E" w:rsidP="00F33C9E">
      <w:pPr>
        <w:widowControl/>
        <w:ind w:left="1440" w:right="1440"/>
        <w:rPr>
          <w:sz w:val="26"/>
          <w:szCs w:val="26"/>
        </w:rPr>
      </w:pPr>
      <w:r>
        <w:rPr>
          <w:sz w:val="26"/>
          <w:szCs w:val="26"/>
        </w:rPr>
        <w:tab/>
      </w:r>
      <w:r w:rsidR="00253FB9" w:rsidRPr="00253FB9">
        <w:rPr>
          <w:sz w:val="26"/>
          <w:szCs w:val="26"/>
        </w:rPr>
        <w:t>(5)</w:t>
      </w:r>
      <w:r w:rsidR="00253FB9" w:rsidRPr="00253FB9">
        <w:rPr>
          <w:sz w:val="26"/>
          <w:szCs w:val="26"/>
        </w:rPr>
        <w:tab/>
        <w:t>There is no evidence that other customers were affected by PECO’s violation of the Code and the Commission’s regulations.  As to the duration of the violations, the evidence establishes that PECO’s delay in processing Ms. Trivelpiece’s application for service and delay in initiating service extended over a month.  Additionally, PECO failed to investigate Ms. Trivelpiece’s high usage claim, and PECO failed to explain certain charges on her bill for a number of months.  Therefore, a civil penalty for the duration of the violation is warranted in the amount of $1,000.00.</w:t>
      </w:r>
    </w:p>
    <w:p w:rsidR="00253FB9" w:rsidRPr="00253FB9" w:rsidRDefault="00253FB9" w:rsidP="00F33C9E">
      <w:pPr>
        <w:widowControl/>
        <w:ind w:left="1440" w:right="1440"/>
        <w:rPr>
          <w:sz w:val="26"/>
          <w:szCs w:val="26"/>
        </w:rPr>
      </w:pPr>
    </w:p>
    <w:p w:rsidR="00253FB9" w:rsidRDefault="00F33C9E" w:rsidP="00F33C9E">
      <w:pPr>
        <w:widowControl/>
        <w:ind w:left="1440" w:right="1440"/>
        <w:rPr>
          <w:sz w:val="26"/>
          <w:szCs w:val="26"/>
        </w:rPr>
      </w:pPr>
      <w:r>
        <w:rPr>
          <w:sz w:val="26"/>
          <w:szCs w:val="26"/>
        </w:rPr>
        <w:tab/>
      </w:r>
      <w:r w:rsidR="00253FB9" w:rsidRPr="00253FB9">
        <w:rPr>
          <w:sz w:val="26"/>
          <w:szCs w:val="26"/>
        </w:rPr>
        <w:t xml:space="preserve">(6) </w:t>
      </w:r>
      <w:r w:rsidR="00253FB9" w:rsidRPr="00253FB9">
        <w:rPr>
          <w:sz w:val="26"/>
          <w:szCs w:val="26"/>
        </w:rPr>
        <w:tab/>
        <w:t>In this case the evidence is silent on PECO’s compliance history.</w:t>
      </w:r>
    </w:p>
    <w:p w:rsidR="00F33C9E" w:rsidRPr="00253FB9" w:rsidRDefault="00F33C9E" w:rsidP="00F33C9E">
      <w:pPr>
        <w:widowControl/>
        <w:ind w:left="1440" w:right="1440"/>
        <w:rPr>
          <w:sz w:val="26"/>
          <w:szCs w:val="26"/>
        </w:rPr>
      </w:pPr>
    </w:p>
    <w:p w:rsidR="00253FB9" w:rsidRPr="00253FB9" w:rsidRDefault="00F33C9E" w:rsidP="00F33C9E">
      <w:pPr>
        <w:widowControl/>
        <w:ind w:left="1440" w:right="1440"/>
        <w:rPr>
          <w:sz w:val="26"/>
          <w:szCs w:val="26"/>
        </w:rPr>
      </w:pPr>
      <w:r>
        <w:rPr>
          <w:sz w:val="26"/>
          <w:szCs w:val="26"/>
        </w:rPr>
        <w:tab/>
      </w:r>
      <w:r w:rsidR="00253FB9" w:rsidRPr="00253FB9">
        <w:rPr>
          <w:sz w:val="26"/>
          <w:szCs w:val="26"/>
        </w:rPr>
        <w:t>(7)</w:t>
      </w:r>
      <w:r w:rsidR="00253FB9" w:rsidRPr="00253FB9">
        <w:rPr>
          <w:sz w:val="26"/>
          <w:szCs w:val="26"/>
        </w:rPr>
        <w:tab/>
        <w:t xml:space="preserve">There is insufficient evidence to rule on PECO’s level of cooperation with the Commission’s investigation or to find that PECO acted in bad faith. </w:t>
      </w:r>
    </w:p>
    <w:p w:rsidR="00253FB9" w:rsidRPr="00253FB9" w:rsidRDefault="00253FB9" w:rsidP="00F33C9E">
      <w:pPr>
        <w:widowControl/>
        <w:ind w:left="1440" w:right="1440"/>
        <w:rPr>
          <w:sz w:val="26"/>
          <w:szCs w:val="26"/>
        </w:rPr>
      </w:pPr>
    </w:p>
    <w:p w:rsidR="00253FB9" w:rsidRPr="00253FB9" w:rsidRDefault="00F33C9E" w:rsidP="00F33C9E">
      <w:pPr>
        <w:widowControl/>
        <w:ind w:left="1440" w:right="1440"/>
        <w:rPr>
          <w:sz w:val="26"/>
          <w:szCs w:val="26"/>
        </w:rPr>
      </w:pPr>
      <w:r>
        <w:rPr>
          <w:sz w:val="26"/>
          <w:szCs w:val="26"/>
        </w:rPr>
        <w:t xml:space="preserve"> </w:t>
      </w:r>
      <w:r>
        <w:rPr>
          <w:sz w:val="26"/>
          <w:szCs w:val="26"/>
        </w:rPr>
        <w:tab/>
      </w:r>
      <w:r w:rsidR="00253FB9" w:rsidRPr="00253FB9">
        <w:rPr>
          <w:sz w:val="26"/>
          <w:szCs w:val="26"/>
        </w:rPr>
        <w:t>(8)</w:t>
      </w:r>
      <w:r w:rsidR="00253FB9" w:rsidRPr="00253FB9">
        <w:rPr>
          <w:sz w:val="26"/>
          <w:szCs w:val="26"/>
        </w:rPr>
        <w:tab/>
        <w:t>The civil penalties mentioned above are necessary to deter future violations by PECO.</w:t>
      </w:r>
    </w:p>
    <w:p w:rsidR="00253FB9" w:rsidRPr="00253FB9" w:rsidRDefault="00253FB9" w:rsidP="00F33C9E">
      <w:pPr>
        <w:widowControl/>
        <w:ind w:left="1440" w:right="1440"/>
        <w:rPr>
          <w:sz w:val="26"/>
          <w:szCs w:val="26"/>
        </w:rPr>
      </w:pPr>
    </w:p>
    <w:p w:rsidR="00253FB9" w:rsidRPr="00253FB9" w:rsidRDefault="00F33C9E" w:rsidP="00F33C9E">
      <w:pPr>
        <w:widowControl/>
        <w:ind w:left="1440" w:right="1440"/>
        <w:rPr>
          <w:sz w:val="26"/>
          <w:szCs w:val="26"/>
        </w:rPr>
      </w:pPr>
      <w:r>
        <w:rPr>
          <w:sz w:val="26"/>
          <w:szCs w:val="26"/>
        </w:rPr>
        <w:lastRenderedPageBreak/>
        <w:tab/>
      </w:r>
      <w:r w:rsidR="00253FB9" w:rsidRPr="00253FB9">
        <w:rPr>
          <w:sz w:val="26"/>
          <w:szCs w:val="26"/>
        </w:rPr>
        <w:t>(9)</w:t>
      </w:r>
      <w:r w:rsidR="00253FB9" w:rsidRPr="00253FB9">
        <w:rPr>
          <w:sz w:val="26"/>
          <w:szCs w:val="26"/>
        </w:rPr>
        <w:tab/>
        <w:t xml:space="preserve">In their respective brief and memorandum of law, the parties did not cite any prior Commission decisions concerning the issues raised in this proceeding.  Accordingly a penalty for this factor is not warranted. </w:t>
      </w:r>
    </w:p>
    <w:p w:rsidR="00253FB9" w:rsidRPr="00253FB9" w:rsidRDefault="00253FB9" w:rsidP="00F33C9E">
      <w:pPr>
        <w:widowControl/>
        <w:ind w:left="1440" w:right="1440"/>
        <w:rPr>
          <w:sz w:val="26"/>
          <w:szCs w:val="26"/>
        </w:rPr>
      </w:pPr>
    </w:p>
    <w:p w:rsidR="00253FB9" w:rsidRDefault="00F33C9E" w:rsidP="00F33C9E">
      <w:pPr>
        <w:widowControl/>
        <w:ind w:left="1440" w:right="1440"/>
        <w:rPr>
          <w:sz w:val="26"/>
          <w:szCs w:val="26"/>
        </w:rPr>
      </w:pPr>
      <w:r>
        <w:rPr>
          <w:sz w:val="26"/>
          <w:szCs w:val="26"/>
        </w:rPr>
        <w:tab/>
      </w:r>
      <w:r w:rsidR="00253FB9" w:rsidRPr="00253FB9">
        <w:rPr>
          <w:sz w:val="26"/>
          <w:szCs w:val="26"/>
        </w:rPr>
        <w:t>(10)</w:t>
      </w:r>
      <w:r w:rsidR="00253FB9" w:rsidRPr="00253FB9">
        <w:rPr>
          <w:sz w:val="26"/>
          <w:szCs w:val="26"/>
        </w:rPr>
        <w:tab/>
        <w:t xml:space="preserve">Considering the entire record, the above penalties totaling $6,000.00 are warranted. </w:t>
      </w:r>
    </w:p>
    <w:p w:rsidR="00F33C9E" w:rsidRDefault="00F33C9E" w:rsidP="00F33C9E">
      <w:pPr>
        <w:widowControl/>
        <w:ind w:left="1440" w:right="1440"/>
        <w:rPr>
          <w:sz w:val="26"/>
          <w:szCs w:val="26"/>
        </w:rPr>
      </w:pPr>
    </w:p>
    <w:p w:rsidR="00F33C9E" w:rsidRDefault="00F33C9E" w:rsidP="00F33C9E">
      <w:pPr>
        <w:widowControl/>
        <w:ind w:left="1440" w:right="1440"/>
        <w:rPr>
          <w:sz w:val="26"/>
          <w:szCs w:val="26"/>
        </w:rPr>
      </w:pPr>
    </w:p>
    <w:p w:rsidR="00F33C9E" w:rsidRPr="00253FB9" w:rsidRDefault="00F33C9E" w:rsidP="00F33C9E">
      <w:pPr>
        <w:widowControl/>
        <w:spacing w:line="360" w:lineRule="auto"/>
        <w:rPr>
          <w:sz w:val="26"/>
          <w:szCs w:val="26"/>
        </w:rPr>
      </w:pPr>
      <w:r>
        <w:rPr>
          <w:sz w:val="26"/>
          <w:szCs w:val="26"/>
        </w:rPr>
        <w:t>I.D. at 35-36.</w:t>
      </w:r>
    </w:p>
    <w:p w:rsidR="00A876D7" w:rsidRDefault="00A876D7" w:rsidP="00E36469">
      <w:pPr>
        <w:widowControl/>
        <w:autoSpaceDE w:val="0"/>
        <w:autoSpaceDN w:val="0"/>
        <w:spacing w:line="360" w:lineRule="auto"/>
        <w:rPr>
          <w:sz w:val="26"/>
          <w:szCs w:val="26"/>
        </w:rPr>
      </w:pPr>
    </w:p>
    <w:p w:rsidR="00E634C6" w:rsidRPr="00E634C6" w:rsidRDefault="00E634C6" w:rsidP="000A1A04">
      <w:pPr>
        <w:keepNext/>
        <w:widowControl/>
        <w:autoSpaceDE w:val="0"/>
        <w:autoSpaceDN w:val="0"/>
        <w:spacing w:line="360" w:lineRule="auto"/>
        <w:rPr>
          <w:b/>
          <w:sz w:val="26"/>
          <w:szCs w:val="26"/>
        </w:rPr>
      </w:pPr>
      <w:r>
        <w:rPr>
          <w:sz w:val="26"/>
          <w:szCs w:val="26"/>
        </w:rPr>
        <w:tab/>
      </w:r>
      <w:r>
        <w:rPr>
          <w:sz w:val="26"/>
          <w:szCs w:val="26"/>
        </w:rPr>
        <w:tab/>
      </w:r>
      <w:r w:rsidRPr="00E634C6">
        <w:rPr>
          <w:b/>
          <w:sz w:val="26"/>
          <w:szCs w:val="26"/>
        </w:rPr>
        <w:t>b.</w:t>
      </w:r>
      <w:r w:rsidRPr="00E634C6">
        <w:rPr>
          <w:b/>
          <w:sz w:val="26"/>
          <w:szCs w:val="26"/>
        </w:rPr>
        <w:tab/>
        <w:t>PECO’s Exceptions</w:t>
      </w:r>
    </w:p>
    <w:p w:rsidR="00790980" w:rsidRDefault="00790980" w:rsidP="000A1A04">
      <w:pPr>
        <w:keepNext/>
        <w:widowControl/>
        <w:autoSpaceDE w:val="0"/>
        <w:autoSpaceDN w:val="0"/>
        <w:spacing w:line="360" w:lineRule="auto"/>
        <w:rPr>
          <w:sz w:val="26"/>
          <w:szCs w:val="26"/>
        </w:rPr>
      </w:pPr>
    </w:p>
    <w:p w:rsidR="00E634C6" w:rsidRDefault="00790980" w:rsidP="00E36469">
      <w:pPr>
        <w:widowControl/>
        <w:autoSpaceDE w:val="0"/>
        <w:autoSpaceDN w:val="0"/>
        <w:spacing w:line="360" w:lineRule="auto"/>
        <w:rPr>
          <w:sz w:val="26"/>
          <w:szCs w:val="26"/>
        </w:rPr>
      </w:pPr>
      <w:r>
        <w:rPr>
          <w:sz w:val="26"/>
          <w:szCs w:val="26"/>
        </w:rPr>
        <w:tab/>
      </w:r>
      <w:r>
        <w:rPr>
          <w:sz w:val="26"/>
          <w:szCs w:val="26"/>
        </w:rPr>
        <w:tab/>
        <w:t xml:space="preserve">Because PECO does not agree with the ALJ that it violated any Commission </w:t>
      </w:r>
      <w:r w:rsidR="007008F5">
        <w:rPr>
          <w:sz w:val="26"/>
          <w:szCs w:val="26"/>
        </w:rPr>
        <w:t>R</w:t>
      </w:r>
      <w:r>
        <w:rPr>
          <w:sz w:val="26"/>
          <w:szCs w:val="26"/>
        </w:rPr>
        <w:t>egulations or provided unreasonable service to the Complainant with regard to any of the issues addressed in this pro</w:t>
      </w:r>
      <w:r w:rsidR="00694C33">
        <w:rPr>
          <w:sz w:val="26"/>
          <w:szCs w:val="26"/>
        </w:rPr>
        <w:t>ceeding, it excepts to the civil penalties</w:t>
      </w:r>
      <w:r>
        <w:rPr>
          <w:sz w:val="26"/>
          <w:szCs w:val="26"/>
        </w:rPr>
        <w:t xml:space="preserve"> imposed by the ALJ as a result of his conclusions.  Exc. at 4, 9, 15, </w:t>
      </w:r>
      <w:r w:rsidR="00BB6F41">
        <w:rPr>
          <w:sz w:val="26"/>
          <w:szCs w:val="26"/>
        </w:rPr>
        <w:t>17, 20.</w:t>
      </w:r>
    </w:p>
    <w:p w:rsidR="00E634C6" w:rsidRDefault="00E634C6" w:rsidP="00E36469">
      <w:pPr>
        <w:widowControl/>
        <w:autoSpaceDE w:val="0"/>
        <w:autoSpaceDN w:val="0"/>
        <w:spacing w:line="360" w:lineRule="auto"/>
        <w:rPr>
          <w:sz w:val="26"/>
          <w:szCs w:val="26"/>
        </w:rPr>
      </w:pPr>
    </w:p>
    <w:p w:rsidR="00E634C6" w:rsidRPr="00E634C6" w:rsidRDefault="00E634C6" w:rsidP="001305F8">
      <w:pPr>
        <w:keepNext/>
        <w:widowControl/>
        <w:autoSpaceDE w:val="0"/>
        <w:autoSpaceDN w:val="0"/>
        <w:spacing w:line="360" w:lineRule="auto"/>
        <w:rPr>
          <w:b/>
          <w:sz w:val="26"/>
          <w:szCs w:val="26"/>
        </w:rPr>
      </w:pPr>
      <w:r>
        <w:rPr>
          <w:sz w:val="26"/>
          <w:szCs w:val="26"/>
        </w:rPr>
        <w:tab/>
      </w:r>
      <w:r>
        <w:rPr>
          <w:sz w:val="26"/>
          <w:szCs w:val="26"/>
        </w:rPr>
        <w:tab/>
      </w:r>
      <w:r w:rsidRPr="00E634C6">
        <w:rPr>
          <w:b/>
          <w:sz w:val="26"/>
          <w:szCs w:val="26"/>
        </w:rPr>
        <w:t>c.</w:t>
      </w:r>
      <w:r w:rsidRPr="00E634C6">
        <w:rPr>
          <w:b/>
          <w:sz w:val="26"/>
          <w:szCs w:val="26"/>
        </w:rPr>
        <w:tab/>
        <w:t>Complainant’s Replies to PECO’s Exceptions</w:t>
      </w:r>
    </w:p>
    <w:p w:rsidR="00E634C6" w:rsidRDefault="00E634C6" w:rsidP="001305F8">
      <w:pPr>
        <w:keepNext/>
        <w:widowControl/>
        <w:autoSpaceDE w:val="0"/>
        <w:autoSpaceDN w:val="0"/>
        <w:spacing w:line="360" w:lineRule="auto"/>
        <w:rPr>
          <w:sz w:val="26"/>
          <w:szCs w:val="26"/>
        </w:rPr>
      </w:pPr>
    </w:p>
    <w:p w:rsidR="00E634C6" w:rsidRDefault="00BB6F41" w:rsidP="00E36469">
      <w:pPr>
        <w:widowControl/>
        <w:autoSpaceDE w:val="0"/>
        <w:autoSpaceDN w:val="0"/>
        <w:spacing w:line="360" w:lineRule="auto"/>
        <w:rPr>
          <w:sz w:val="26"/>
          <w:szCs w:val="26"/>
        </w:rPr>
      </w:pPr>
      <w:r>
        <w:rPr>
          <w:sz w:val="26"/>
          <w:szCs w:val="26"/>
        </w:rPr>
        <w:tab/>
      </w:r>
      <w:r>
        <w:rPr>
          <w:sz w:val="26"/>
          <w:szCs w:val="26"/>
        </w:rPr>
        <w:tab/>
        <w:t>The Complainant did not explicitly address the issue of civil penalties in its Replies to PECO’s Exceptions.</w:t>
      </w:r>
    </w:p>
    <w:p w:rsidR="00BB6F41" w:rsidRDefault="00BB6F41" w:rsidP="00E36469">
      <w:pPr>
        <w:widowControl/>
        <w:autoSpaceDE w:val="0"/>
        <w:autoSpaceDN w:val="0"/>
        <w:spacing w:line="360" w:lineRule="auto"/>
        <w:rPr>
          <w:sz w:val="26"/>
          <w:szCs w:val="26"/>
        </w:rPr>
      </w:pPr>
    </w:p>
    <w:p w:rsidR="00E634C6" w:rsidRPr="00E634C6" w:rsidRDefault="00E634C6" w:rsidP="00105028">
      <w:pPr>
        <w:keepNext/>
        <w:widowControl/>
        <w:autoSpaceDE w:val="0"/>
        <w:autoSpaceDN w:val="0"/>
        <w:spacing w:line="360" w:lineRule="auto"/>
        <w:rPr>
          <w:b/>
          <w:sz w:val="26"/>
          <w:szCs w:val="26"/>
        </w:rPr>
      </w:pPr>
      <w:r>
        <w:rPr>
          <w:sz w:val="26"/>
          <w:szCs w:val="26"/>
        </w:rPr>
        <w:tab/>
      </w:r>
      <w:r>
        <w:rPr>
          <w:sz w:val="26"/>
          <w:szCs w:val="26"/>
        </w:rPr>
        <w:tab/>
      </w:r>
      <w:r w:rsidRPr="00E634C6">
        <w:rPr>
          <w:b/>
          <w:sz w:val="26"/>
          <w:szCs w:val="26"/>
        </w:rPr>
        <w:t>d.</w:t>
      </w:r>
      <w:r w:rsidRPr="00E634C6">
        <w:rPr>
          <w:b/>
          <w:sz w:val="26"/>
          <w:szCs w:val="26"/>
        </w:rPr>
        <w:tab/>
        <w:t>Disposition</w:t>
      </w:r>
    </w:p>
    <w:p w:rsidR="00E634C6" w:rsidRDefault="00E634C6" w:rsidP="00105028">
      <w:pPr>
        <w:keepNext/>
        <w:widowControl/>
        <w:autoSpaceDE w:val="0"/>
        <w:autoSpaceDN w:val="0"/>
        <w:spacing w:line="360" w:lineRule="auto"/>
        <w:rPr>
          <w:sz w:val="26"/>
          <w:szCs w:val="26"/>
        </w:rPr>
      </w:pPr>
    </w:p>
    <w:p w:rsidR="00003EFF" w:rsidRPr="001919F3" w:rsidRDefault="000C3261" w:rsidP="00003EFF">
      <w:pPr>
        <w:widowControl/>
        <w:autoSpaceDE w:val="0"/>
        <w:autoSpaceDN w:val="0"/>
        <w:spacing w:line="360" w:lineRule="auto"/>
        <w:rPr>
          <w:sz w:val="26"/>
          <w:szCs w:val="26"/>
        </w:rPr>
      </w:pPr>
      <w:r>
        <w:rPr>
          <w:sz w:val="26"/>
          <w:szCs w:val="26"/>
        </w:rPr>
        <w:tab/>
      </w:r>
      <w:r>
        <w:rPr>
          <w:sz w:val="26"/>
          <w:szCs w:val="26"/>
        </w:rPr>
        <w:tab/>
      </w:r>
      <w:r w:rsidRPr="00FE1CDC">
        <w:rPr>
          <w:sz w:val="26"/>
          <w:szCs w:val="26"/>
        </w:rPr>
        <w:t>As discussed above, we do not agree with the ALJ</w:t>
      </w:r>
      <w:r w:rsidR="00FE1CDC" w:rsidRPr="00FE1CDC">
        <w:rPr>
          <w:sz w:val="26"/>
          <w:szCs w:val="26"/>
        </w:rPr>
        <w:t>’s finding</w:t>
      </w:r>
      <w:r w:rsidRPr="00FE1CDC">
        <w:rPr>
          <w:sz w:val="26"/>
          <w:szCs w:val="26"/>
        </w:rPr>
        <w:t xml:space="preserve"> that PECO failed to process or initiate the Complainant’s service at her Aspen Avenue address in a timely manner,</w:t>
      </w:r>
      <w:r w:rsidR="00FE1CDC" w:rsidRPr="00FE1CDC">
        <w:rPr>
          <w:sz w:val="26"/>
          <w:szCs w:val="26"/>
        </w:rPr>
        <w:t xml:space="preserve"> as we found that that issue was not properly before the ALJ for disposition in this proceeding.</w:t>
      </w:r>
      <w:r w:rsidRPr="00FE1CDC">
        <w:rPr>
          <w:sz w:val="26"/>
          <w:szCs w:val="26"/>
        </w:rPr>
        <w:t xml:space="preserve"> </w:t>
      </w:r>
      <w:r w:rsidR="00FE1CDC" w:rsidRPr="00FE1CDC">
        <w:rPr>
          <w:sz w:val="26"/>
          <w:szCs w:val="26"/>
        </w:rPr>
        <w:t xml:space="preserve"> In addition, we do not agree that </w:t>
      </w:r>
      <w:r w:rsidRPr="00FE1CDC">
        <w:rPr>
          <w:sz w:val="26"/>
          <w:szCs w:val="26"/>
        </w:rPr>
        <w:t>PECO</w:t>
      </w:r>
      <w:r w:rsidR="00FE1CDC" w:rsidRPr="00FE1CDC">
        <w:rPr>
          <w:sz w:val="26"/>
          <w:szCs w:val="26"/>
        </w:rPr>
        <w:t xml:space="preserve"> provided inadequate service in violation of 66 Pa. C.S. § 1501 by failing</w:t>
      </w:r>
      <w:r w:rsidRPr="00FE1CDC">
        <w:rPr>
          <w:sz w:val="26"/>
          <w:szCs w:val="26"/>
        </w:rPr>
        <w:t xml:space="preserve"> to </w:t>
      </w:r>
      <w:r w:rsidR="00FE1CDC" w:rsidRPr="00FE1CDC">
        <w:rPr>
          <w:sz w:val="26"/>
          <w:szCs w:val="26"/>
        </w:rPr>
        <w:t xml:space="preserve">conduct a </w:t>
      </w:r>
      <w:r w:rsidRPr="00FE1CDC">
        <w:rPr>
          <w:sz w:val="26"/>
          <w:szCs w:val="26"/>
        </w:rPr>
        <w:t xml:space="preserve">high usage </w:t>
      </w:r>
      <w:r w:rsidRPr="007C04AA">
        <w:rPr>
          <w:sz w:val="26"/>
          <w:szCs w:val="26"/>
        </w:rPr>
        <w:t>investigation at the Complainant’s residence</w:t>
      </w:r>
      <w:r w:rsidR="00FE1CDC" w:rsidRPr="007C04AA">
        <w:rPr>
          <w:sz w:val="26"/>
          <w:szCs w:val="26"/>
        </w:rPr>
        <w:t xml:space="preserve">, or by failing to provide a clear and timely explanation to the Complainant of the “reinstate bad debt” charges that appeared on her </w:t>
      </w:r>
      <w:r w:rsidR="00FE1CDC" w:rsidRPr="007C04AA">
        <w:rPr>
          <w:sz w:val="26"/>
          <w:szCs w:val="26"/>
        </w:rPr>
        <w:lastRenderedPageBreak/>
        <w:t xml:space="preserve">bills.  </w:t>
      </w:r>
      <w:r w:rsidRPr="007C04AA">
        <w:rPr>
          <w:sz w:val="26"/>
          <w:szCs w:val="26"/>
        </w:rPr>
        <w:t>However, we agree with the ALJ that PECO improperly conditioned the initiation of service at Aspen Avenue on the Complainant’s acceptance of a payment agreement based upon an outstanding balance that included amounts that had accrued more than four years prior to the date of the Complainant’s request for service</w:t>
      </w:r>
      <w:r w:rsidR="00B25955" w:rsidRPr="007C04AA">
        <w:rPr>
          <w:sz w:val="26"/>
          <w:szCs w:val="26"/>
        </w:rPr>
        <w:t>, in violation of</w:t>
      </w:r>
      <w:r w:rsidR="00915704" w:rsidRPr="007C04AA">
        <w:rPr>
          <w:sz w:val="26"/>
          <w:szCs w:val="26"/>
        </w:rPr>
        <w:t xml:space="preserve"> 52 Pa. Code § 56.35</w:t>
      </w:r>
      <w:r w:rsidR="00AD209A" w:rsidRPr="007C04AA">
        <w:rPr>
          <w:sz w:val="26"/>
          <w:szCs w:val="26"/>
        </w:rPr>
        <w:t xml:space="preserve">.  We also agree </w:t>
      </w:r>
      <w:r w:rsidR="0016216C" w:rsidRPr="007C04AA">
        <w:rPr>
          <w:sz w:val="26"/>
          <w:szCs w:val="26"/>
        </w:rPr>
        <w:t>that the October 29, 2013</w:t>
      </w:r>
      <w:r w:rsidR="00B934AB" w:rsidRPr="007C04AA">
        <w:rPr>
          <w:sz w:val="26"/>
          <w:szCs w:val="26"/>
        </w:rPr>
        <w:t xml:space="preserve"> </w:t>
      </w:r>
      <w:r w:rsidR="0014400F" w:rsidRPr="007C04AA">
        <w:rPr>
          <w:sz w:val="26"/>
          <w:szCs w:val="26"/>
        </w:rPr>
        <w:t>Service Denial Notice</w:t>
      </w:r>
      <w:r w:rsidR="00B934AB" w:rsidRPr="007C04AA">
        <w:rPr>
          <w:sz w:val="26"/>
          <w:szCs w:val="26"/>
        </w:rPr>
        <w:t xml:space="preserve"> misrepresented the amount of the unpaid balance that the Complainant was lawfully required to pay in order to receive utility service from PECO, in violation of 52</w:t>
      </w:r>
      <w:r w:rsidR="00284719" w:rsidRPr="007C04AA">
        <w:rPr>
          <w:sz w:val="26"/>
          <w:szCs w:val="26"/>
        </w:rPr>
        <w:t> </w:t>
      </w:r>
      <w:r w:rsidR="00B934AB" w:rsidRPr="007C04AA">
        <w:rPr>
          <w:sz w:val="26"/>
          <w:szCs w:val="26"/>
        </w:rPr>
        <w:t>Pa. Code § 56.36(b)(1).</w:t>
      </w:r>
      <w:r w:rsidR="007C04AA" w:rsidRPr="007C04AA">
        <w:rPr>
          <w:sz w:val="26"/>
          <w:szCs w:val="26"/>
        </w:rPr>
        <w:t xml:space="preserve">  </w:t>
      </w:r>
      <w:r w:rsidR="007C04AA" w:rsidRPr="001919F3">
        <w:rPr>
          <w:sz w:val="26"/>
          <w:szCs w:val="26"/>
        </w:rPr>
        <w:t xml:space="preserve">Nevertheless, we do not believe that PECO’s behavior with regard to these matters justifies the imposition of any civil penalties.  Accordingly, we will </w:t>
      </w:r>
      <w:r w:rsidR="001919F3" w:rsidRPr="001919F3">
        <w:rPr>
          <w:sz w:val="26"/>
          <w:szCs w:val="26"/>
        </w:rPr>
        <w:t>eliminate the civil penalty</w:t>
      </w:r>
      <w:r w:rsidR="00003EFF" w:rsidRPr="001919F3">
        <w:rPr>
          <w:sz w:val="26"/>
          <w:szCs w:val="26"/>
        </w:rPr>
        <w:t xml:space="preserve"> imposed on PECO by the ALJ, in accordance with the following analysis</w:t>
      </w:r>
      <w:r w:rsidR="003C3DD3" w:rsidRPr="001919F3">
        <w:rPr>
          <w:sz w:val="26"/>
          <w:szCs w:val="26"/>
        </w:rPr>
        <w:t xml:space="preserve"> of the </w:t>
      </w:r>
      <w:r w:rsidR="00003EFF" w:rsidRPr="001919F3">
        <w:rPr>
          <w:sz w:val="26"/>
          <w:szCs w:val="26"/>
        </w:rPr>
        <w:t>violations in light of the ten factors and standards set forth in 52 P</w:t>
      </w:r>
      <w:r w:rsidR="002F1D8A" w:rsidRPr="001919F3">
        <w:rPr>
          <w:sz w:val="26"/>
          <w:szCs w:val="26"/>
        </w:rPr>
        <w:t>a. Code § 69.1201</w:t>
      </w:r>
      <w:r w:rsidR="00003EFF" w:rsidRPr="001919F3">
        <w:rPr>
          <w:sz w:val="26"/>
          <w:szCs w:val="26"/>
        </w:rPr>
        <w:t>.</w:t>
      </w:r>
    </w:p>
    <w:p w:rsidR="003C3DD3" w:rsidRPr="001919F3" w:rsidRDefault="003C3DD3" w:rsidP="00003EFF">
      <w:pPr>
        <w:widowControl/>
        <w:autoSpaceDE w:val="0"/>
        <w:autoSpaceDN w:val="0"/>
        <w:spacing w:line="360" w:lineRule="auto"/>
        <w:rPr>
          <w:sz w:val="26"/>
          <w:szCs w:val="26"/>
        </w:rPr>
      </w:pPr>
    </w:p>
    <w:p w:rsidR="003C3DD3" w:rsidRPr="00166A04" w:rsidRDefault="003C3DD3" w:rsidP="003C3DD3">
      <w:pPr>
        <w:widowControl/>
        <w:autoSpaceDE w:val="0"/>
        <w:autoSpaceDN w:val="0"/>
        <w:spacing w:line="360" w:lineRule="auto"/>
        <w:rPr>
          <w:sz w:val="26"/>
          <w:szCs w:val="26"/>
        </w:rPr>
      </w:pPr>
      <w:r w:rsidRPr="00166A04">
        <w:rPr>
          <w:sz w:val="26"/>
          <w:szCs w:val="26"/>
        </w:rPr>
        <w:tab/>
      </w:r>
      <w:r w:rsidRPr="00166A04">
        <w:rPr>
          <w:sz w:val="26"/>
          <w:szCs w:val="26"/>
        </w:rPr>
        <w:tab/>
        <w:t>The first criterion to consider is whether the conduct at issue was of a serious nature or whether it was less egregious, such as an administrative or technical error.</w:t>
      </w:r>
      <w:r w:rsidR="006B4B55" w:rsidRPr="00166A04">
        <w:rPr>
          <w:sz w:val="26"/>
          <w:szCs w:val="26"/>
        </w:rPr>
        <w:t xml:space="preserve">  52 Pa. Code § 69.1201(c)(1).</w:t>
      </w:r>
      <w:r w:rsidRPr="00166A04">
        <w:rPr>
          <w:sz w:val="26"/>
          <w:szCs w:val="26"/>
        </w:rPr>
        <w:t xml:space="preserve">  </w:t>
      </w:r>
      <w:r w:rsidR="00B86FD2" w:rsidRPr="00166A04">
        <w:rPr>
          <w:sz w:val="26"/>
          <w:szCs w:val="26"/>
        </w:rPr>
        <w:t>We</w:t>
      </w:r>
      <w:r w:rsidR="001919F3" w:rsidRPr="00166A04">
        <w:rPr>
          <w:sz w:val="26"/>
          <w:szCs w:val="26"/>
        </w:rPr>
        <w:t xml:space="preserve"> do not find  </w:t>
      </w:r>
      <w:r w:rsidR="00B86FD2" w:rsidRPr="00166A04">
        <w:rPr>
          <w:sz w:val="26"/>
          <w:szCs w:val="26"/>
        </w:rPr>
        <w:t>the violatio</w:t>
      </w:r>
      <w:r w:rsidR="00166A04" w:rsidRPr="00166A04">
        <w:rPr>
          <w:sz w:val="26"/>
          <w:szCs w:val="26"/>
        </w:rPr>
        <w:t xml:space="preserve">ns committed by PECO to be </w:t>
      </w:r>
      <w:r w:rsidR="00B86FD2" w:rsidRPr="00166A04">
        <w:rPr>
          <w:sz w:val="26"/>
          <w:szCs w:val="26"/>
        </w:rPr>
        <w:t>serious</w:t>
      </w:r>
      <w:r w:rsidR="00166A04" w:rsidRPr="00166A04">
        <w:rPr>
          <w:sz w:val="26"/>
          <w:szCs w:val="26"/>
        </w:rPr>
        <w:t xml:space="preserve"> enough to warrant the imposition of any civil penalties.</w:t>
      </w:r>
    </w:p>
    <w:p w:rsidR="00207DDB" w:rsidRPr="00166A04" w:rsidRDefault="00207DDB" w:rsidP="003C3DD3">
      <w:pPr>
        <w:widowControl/>
        <w:autoSpaceDE w:val="0"/>
        <w:autoSpaceDN w:val="0"/>
        <w:spacing w:line="360" w:lineRule="auto"/>
        <w:rPr>
          <w:sz w:val="26"/>
          <w:szCs w:val="26"/>
        </w:rPr>
      </w:pPr>
    </w:p>
    <w:p w:rsidR="00207DDB" w:rsidRPr="00166A04" w:rsidRDefault="00207DDB" w:rsidP="003C3DD3">
      <w:pPr>
        <w:widowControl/>
        <w:autoSpaceDE w:val="0"/>
        <w:autoSpaceDN w:val="0"/>
        <w:spacing w:line="360" w:lineRule="auto"/>
        <w:rPr>
          <w:sz w:val="26"/>
          <w:szCs w:val="26"/>
        </w:rPr>
      </w:pPr>
      <w:r w:rsidRPr="00166A04">
        <w:rPr>
          <w:sz w:val="26"/>
          <w:szCs w:val="26"/>
        </w:rPr>
        <w:tab/>
      </w:r>
      <w:r w:rsidRPr="00166A04">
        <w:rPr>
          <w:sz w:val="26"/>
          <w:szCs w:val="26"/>
        </w:rPr>
        <w:tab/>
        <w:t>The second criterion is whether the resulting consequences of the conduct were of a serious nature, such as personal injury or property damage.</w:t>
      </w:r>
      <w:r w:rsidR="008D7A5E" w:rsidRPr="00166A04">
        <w:rPr>
          <w:sz w:val="26"/>
          <w:szCs w:val="26"/>
        </w:rPr>
        <w:t xml:space="preserve">  </w:t>
      </w:r>
      <w:r w:rsidR="003628B9" w:rsidRPr="00166A04">
        <w:rPr>
          <w:sz w:val="26"/>
          <w:szCs w:val="26"/>
        </w:rPr>
        <w:t>52 Pa. Code § 69.1201(c)(2).  The violations committed by P</w:t>
      </w:r>
      <w:r w:rsidR="00166A04" w:rsidRPr="00166A04">
        <w:rPr>
          <w:sz w:val="26"/>
          <w:szCs w:val="26"/>
        </w:rPr>
        <w:t xml:space="preserve">ECO resulted in the imposition of a </w:t>
      </w:r>
      <w:r w:rsidR="003628B9" w:rsidRPr="00166A04">
        <w:rPr>
          <w:sz w:val="26"/>
          <w:szCs w:val="26"/>
        </w:rPr>
        <w:t>payment arrangement on the Co</w:t>
      </w:r>
      <w:r w:rsidR="00166A04" w:rsidRPr="00166A04">
        <w:rPr>
          <w:sz w:val="26"/>
          <w:szCs w:val="26"/>
        </w:rPr>
        <w:t xml:space="preserve">mplainant that was based upon an account balance that improperly included amounts that had accrued more than four years prior to the date of the Complainant’s request for service.  </w:t>
      </w:r>
      <w:r w:rsidR="00D4499F" w:rsidRPr="00166A04">
        <w:rPr>
          <w:sz w:val="26"/>
          <w:szCs w:val="26"/>
        </w:rPr>
        <w:t>The violations did not result in personal injury or property</w:t>
      </w:r>
      <w:r w:rsidR="00166A04" w:rsidRPr="00166A04">
        <w:rPr>
          <w:sz w:val="26"/>
          <w:szCs w:val="26"/>
        </w:rPr>
        <w:t xml:space="preserve"> damage.  Also, </w:t>
      </w:r>
      <w:r w:rsidR="00D4499F" w:rsidRPr="00166A04">
        <w:rPr>
          <w:sz w:val="26"/>
          <w:szCs w:val="26"/>
        </w:rPr>
        <w:t>we found no evidence to conclude that the Complainant was without utility service for a month, as the ALJ determined.  Therefore, we</w:t>
      </w:r>
      <w:r w:rsidR="00166A04">
        <w:rPr>
          <w:sz w:val="26"/>
          <w:szCs w:val="26"/>
        </w:rPr>
        <w:t xml:space="preserve"> do not</w:t>
      </w:r>
      <w:r w:rsidR="00D4499F" w:rsidRPr="00166A04">
        <w:rPr>
          <w:sz w:val="26"/>
          <w:szCs w:val="26"/>
        </w:rPr>
        <w:t xml:space="preserve"> find the consequences</w:t>
      </w:r>
      <w:r w:rsidR="00166A04">
        <w:rPr>
          <w:sz w:val="26"/>
          <w:szCs w:val="26"/>
        </w:rPr>
        <w:t xml:space="preserve"> of PECO’s violations to be of a serious nature.</w:t>
      </w:r>
    </w:p>
    <w:p w:rsidR="00915937" w:rsidRPr="00166A04" w:rsidRDefault="00915937" w:rsidP="003C3DD3">
      <w:pPr>
        <w:widowControl/>
        <w:autoSpaceDE w:val="0"/>
        <w:autoSpaceDN w:val="0"/>
        <w:spacing w:line="360" w:lineRule="auto"/>
        <w:rPr>
          <w:sz w:val="26"/>
          <w:szCs w:val="26"/>
        </w:rPr>
      </w:pPr>
    </w:p>
    <w:p w:rsidR="00207DDB" w:rsidRPr="00776EBA" w:rsidRDefault="00D4499F" w:rsidP="00D4499F">
      <w:pPr>
        <w:widowControl/>
        <w:autoSpaceDE w:val="0"/>
        <w:autoSpaceDN w:val="0"/>
        <w:spacing w:line="360" w:lineRule="auto"/>
        <w:rPr>
          <w:sz w:val="26"/>
          <w:szCs w:val="26"/>
        </w:rPr>
      </w:pPr>
      <w:r w:rsidRPr="00776EBA">
        <w:rPr>
          <w:sz w:val="26"/>
          <w:szCs w:val="26"/>
        </w:rPr>
        <w:lastRenderedPageBreak/>
        <w:tab/>
      </w:r>
      <w:r w:rsidRPr="00776EBA">
        <w:rPr>
          <w:sz w:val="26"/>
          <w:szCs w:val="26"/>
        </w:rPr>
        <w:tab/>
        <w:t xml:space="preserve">The third criterion is whether the conduct at issue was deemed intentional or negligent.  </w:t>
      </w:r>
      <w:r w:rsidR="008D7A5E" w:rsidRPr="00776EBA">
        <w:rPr>
          <w:sz w:val="26"/>
          <w:szCs w:val="26"/>
        </w:rPr>
        <w:t xml:space="preserve">52 Pa. Code § 69.1201(c)(3).  </w:t>
      </w:r>
      <w:r w:rsidR="000C2E2D" w:rsidRPr="00776EBA">
        <w:rPr>
          <w:sz w:val="26"/>
          <w:szCs w:val="26"/>
        </w:rPr>
        <w:t>PECO’s actions regarding the imposition of a payment arrangement before furnishing service to the Complainant appear to have resulted from a misinterpretation of Commission Regulations, and there is no evidence that PECO intended to deliberately violate those Regulations or cause harm to the Complainant.  Accordingly, we find PECO’s conduct to be negligent ra</w:t>
      </w:r>
      <w:r w:rsidR="0046494A" w:rsidRPr="00776EBA">
        <w:rPr>
          <w:sz w:val="26"/>
          <w:szCs w:val="26"/>
        </w:rPr>
        <w:t>ther than intentional</w:t>
      </w:r>
      <w:r w:rsidR="007D0741" w:rsidRPr="00776EBA">
        <w:rPr>
          <w:sz w:val="26"/>
          <w:szCs w:val="26"/>
        </w:rPr>
        <w:t>.</w:t>
      </w:r>
    </w:p>
    <w:p w:rsidR="007D0741" w:rsidRPr="00776EBA" w:rsidRDefault="007D0741" w:rsidP="00D4499F">
      <w:pPr>
        <w:widowControl/>
        <w:autoSpaceDE w:val="0"/>
        <w:autoSpaceDN w:val="0"/>
        <w:spacing w:line="360" w:lineRule="auto"/>
        <w:rPr>
          <w:sz w:val="26"/>
          <w:szCs w:val="26"/>
        </w:rPr>
      </w:pPr>
    </w:p>
    <w:p w:rsidR="003C3DD3" w:rsidRPr="00776EBA" w:rsidRDefault="007D0741" w:rsidP="00003EFF">
      <w:pPr>
        <w:widowControl/>
        <w:autoSpaceDE w:val="0"/>
        <w:autoSpaceDN w:val="0"/>
        <w:spacing w:line="360" w:lineRule="auto"/>
        <w:rPr>
          <w:sz w:val="26"/>
          <w:szCs w:val="26"/>
        </w:rPr>
      </w:pPr>
      <w:r w:rsidRPr="00776EBA">
        <w:rPr>
          <w:sz w:val="26"/>
          <w:szCs w:val="26"/>
        </w:rPr>
        <w:tab/>
      </w:r>
      <w:r w:rsidRPr="00776EBA">
        <w:rPr>
          <w:sz w:val="26"/>
          <w:szCs w:val="26"/>
        </w:rPr>
        <w:tab/>
      </w:r>
      <w:r w:rsidR="00C73A1C" w:rsidRPr="00776EBA">
        <w:rPr>
          <w:sz w:val="26"/>
          <w:szCs w:val="26"/>
        </w:rPr>
        <w:t>The fourth criterion is whether the utility made efforts to modify internal practices and procedures to address the conduct and prevent similar conduct, and the amount of time it took for the implementation of these measures.</w:t>
      </w:r>
      <w:r w:rsidR="00BD6009" w:rsidRPr="00776EBA">
        <w:rPr>
          <w:sz w:val="26"/>
          <w:szCs w:val="26"/>
        </w:rPr>
        <w:t xml:space="preserve">  52 Pa. Code § </w:t>
      </w:r>
      <w:r w:rsidR="00567532" w:rsidRPr="00776EBA">
        <w:rPr>
          <w:sz w:val="26"/>
          <w:szCs w:val="26"/>
        </w:rPr>
        <w:t>69.1201(c)(4).</w:t>
      </w:r>
      <w:r w:rsidR="00C73A1C" w:rsidRPr="00776EBA">
        <w:rPr>
          <w:sz w:val="26"/>
          <w:szCs w:val="26"/>
        </w:rPr>
        <w:t xml:space="preserve">  </w:t>
      </w:r>
      <w:r w:rsidR="00F90D5E" w:rsidRPr="00776EBA">
        <w:rPr>
          <w:sz w:val="26"/>
          <w:szCs w:val="26"/>
        </w:rPr>
        <w:t>There is no evidence that PECO made efforts to modify its practices and procedures, though it is clear in this case that PECO did not believe its current procedures were improper or inadequate.</w:t>
      </w:r>
    </w:p>
    <w:p w:rsidR="00F90D5E" w:rsidRPr="00776EBA" w:rsidRDefault="00F90D5E" w:rsidP="00003EFF">
      <w:pPr>
        <w:widowControl/>
        <w:autoSpaceDE w:val="0"/>
        <w:autoSpaceDN w:val="0"/>
        <w:spacing w:line="360" w:lineRule="auto"/>
        <w:rPr>
          <w:sz w:val="26"/>
          <w:szCs w:val="26"/>
        </w:rPr>
      </w:pPr>
    </w:p>
    <w:p w:rsidR="00F90D5E" w:rsidRPr="00776EBA" w:rsidRDefault="00F90D5E" w:rsidP="00003EFF">
      <w:pPr>
        <w:widowControl/>
        <w:autoSpaceDE w:val="0"/>
        <w:autoSpaceDN w:val="0"/>
        <w:spacing w:line="360" w:lineRule="auto"/>
        <w:rPr>
          <w:sz w:val="26"/>
          <w:szCs w:val="26"/>
        </w:rPr>
      </w:pPr>
      <w:r w:rsidRPr="00776EBA">
        <w:rPr>
          <w:sz w:val="26"/>
          <w:szCs w:val="26"/>
        </w:rPr>
        <w:tab/>
      </w:r>
      <w:r w:rsidRPr="00776EBA">
        <w:rPr>
          <w:sz w:val="26"/>
          <w:szCs w:val="26"/>
        </w:rPr>
        <w:tab/>
        <w:t>The fifth criterion is the number of customers affected and the duration of the violation.</w:t>
      </w:r>
      <w:r w:rsidR="00B308DB" w:rsidRPr="00776EBA">
        <w:rPr>
          <w:sz w:val="26"/>
          <w:szCs w:val="26"/>
        </w:rPr>
        <w:t xml:space="preserve">  </w:t>
      </w:r>
      <w:r w:rsidR="00567532" w:rsidRPr="00776EBA">
        <w:rPr>
          <w:sz w:val="26"/>
          <w:szCs w:val="26"/>
        </w:rPr>
        <w:t xml:space="preserve">52 Pa. Code § 69.1201(c)(5).  </w:t>
      </w:r>
      <w:r w:rsidR="00B308DB" w:rsidRPr="00776EBA">
        <w:rPr>
          <w:sz w:val="26"/>
          <w:szCs w:val="26"/>
        </w:rPr>
        <w:t>As the ALJ determined, there is no evidence that other customers were affected by the violations fou</w:t>
      </w:r>
      <w:r w:rsidR="00776EBA" w:rsidRPr="00776EBA">
        <w:rPr>
          <w:sz w:val="26"/>
          <w:szCs w:val="26"/>
        </w:rPr>
        <w:t xml:space="preserve">nd in this proceeding. </w:t>
      </w:r>
    </w:p>
    <w:p w:rsidR="00F30243" w:rsidRPr="00776EBA" w:rsidRDefault="00F30243" w:rsidP="00003EFF">
      <w:pPr>
        <w:widowControl/>
        <w:autoSpaceDE w:val="0"/>
        <w:autoSpaceDN w:val="0"/>
        <w:spacing w:line="360" w:lineRule="auto"/>
        <w:rPr>
          <w:sz w:val="26"/>
          <w:szCs w:val="26"/>
        </w:rPr>
      </w:pPr>
    </w:p>
    <w:p w:rsidR="00F30243" w:rsidRPr="00776EBA" w:rsidRDefault="00F30243" w:rsidP="00003EFF">
      <w:pPr>
        <w:widowControl/>
        <w:autoSpaceDE w:val="0"/>
        <w:autoSpaceDN w:val="0"/>
        <w:spacing w:line="360" w:lineRule="auto"/>
        <w:rPr>
          <w:sz w:val="26"/>
          <w:szCs w:val="26"/>
        </w:rPr>
      </w:pPr>
      <w:r w:rsidRPr="00776EBA">
        <w:rPr>
          <w:sz w:val="26"/>
          <w:szCs w:val="26"/>
        </w:rPr>
        <w:tab/>
      </w:r>
      <w:r w:rsidRPr="00776EBA">
        <w:rPr>
          <w:sz w:val="26"/>
          <w:szCs w:val="26"/>
        </w:rPr>
        <w:tab/>
      </w:r>
      <w:r w:rsidR="00A979A3" w:rsidRPr="00776EBA">
        <w:rPr>
          <w:sz w:val="26"/>
          <w:szCs w:val="26"/>
        </w:rPr>
        <w:t xml:space="preserve">The sixth criterion is a consideration of the compliance history of the utility.  </w:t>
      </w:r>
      <w:r w:rsidR="0043243A" w:rsidRPr="00776EBA">
        <w:rPr>
          <w:sz w:val="26"/>
          <w:szCs w:val="26"/>
        </w:rPr>
        <w:t xml:space="preserve">52 Pa. Code § 69.1201(c)(6).  </w:t>
      </w:r>
      <w:r w:rsidR="00A979A3" w:rsidRPr="00776EBA">
        <w:rPr>
          <w:sz w:val="26"/>
          <w:szCs w:val="26"/>
        </w:rPr>
        <w:t>We agree with the ALJ that the evidence</w:t>
      </w:r>
      <w:r w:rsidR="007A1CC3" w:rsidRPr="00776EBA">
        <w:rPr>
          <w:sz w:val="26"/>
          <w:szCs w:val="26"/>
        </w:rPr>
        <w:t xml:space="preserve"> in this proceeding is silent on</w:t>
      </w:r>
      <w:r w:rsidR="00A979A3" w:rsidRPr="00776EBA">
        <w:rPr>
          <w:sz w:val="26"/>
          <w:szCs w:val="26"/>
        </w:rPr>
        <w:t xml:space="preserve"> PECO’s compliance history.</w:t>
      </w:r>
    </w:p>
    <w:p w:rsidR="00A979A3" w:rsidRPr="00776EBA" w:rsidRDefault="00A979A3" w:rsidP="00003EFF">
      <w:pPr>
        <w:widowControl/>
        <w:autoSpaceDE w:val="0"/>
        <w:autoSpaceDN w:val="0"/>
        <w:spacing w:line="360" w:lineRule="auto"/>
        <w:rPr>
          <w:sz w:val="26"/>
          <w:szCs w:val="26"/>
        </w:rPr>
      </w:pPr>
    </w:p>
    <w:p w:rsidR="00A979A3" w:rsidRPr="0013064E" w:rsidRDefault="00A979A3" w:rsidP="00003EFF">
      <w:pPr>
        <w:widowControl/>
        <w:autoSpaceDE w:val="0"/>
        <w:autoSpaceDN w:val="0"/>
        <w:spacing w:line="360" w:lineRule="auto"/>
        <w:rPr>
          <w:sz w:val="26"/>
          <w:szCs w:val="26"/>
        </w:rPr>
      </w:pPr>
      <w:r w:rsidRPr="00776EBA">
        <w:rPr>
          <w:sz w:val="26"/>
          <w:szCs w:val="26"/>
        </w:rPr>
        <w:tab/>
      </w:r>
      <w:r w:rsidRPr="00776EBA">
        <w:rPr>
          <w:sz w:val="26"/>
          <w:szCs w:val="26"/>
        </w:rPr>
        <w:tab/>
      </w:r>
      <w:r w:rsidR="00121F18" w:rsidRPr="00776EBA">
        <w:rPr>
          <w:sz w:val="26"/>
          <w:szCs w:val="26"/>
        </w:rPr>
        <w:t xml:space="preserve">The seventh criterion is whether the regulated entity cooperated with the Commission’s investigation.  </w:t>
      </w:r>
      <w:r w:rsidR="0043243A" w:rsidRPr="00776EBA">
        <w:rPr>
          <w:sz w:val="26"/>
          <w:szCs w:val="26"/>
        </w:rPr>
        <w:t xml:space="preserve">52 Pa. Code § 69.1201(c)(7).  </w:t>
      </w:r>
      <w:r w:rsidR="00121F18" w:rsidRPr="00776EBA">
        <w:rPr>
          <w:sz w:val="26"/>
          <w:szCs w:val="26"/>
        </w:rPr>
        <w:t xml:space="preserve">We agree with the ALJ that there is no evidence in this proceeding to support a finding that PECO failed to cooperate with the </w:t>
      </w:r>
      <w:r w:rsidR="00121F18" w:rsidRPr="0013064E">
        <w:rPr>
          <w:sz w:val="26"/>
          <w:szCs w:val="26"/>
        </w:rPr>
        <w:t>Commission’s investigation or acted in bad faith.</w:t>
      </w:r>
    </w:p>
    <w:p w:rsidR="00E51316" w:rsidRPr="0013064E" w:rsidRDefault="00E51316" w:rsidP="00003EFF">
      <w:pPr>
        <w:widowControl/>
        <w:autoSpaceDE w:val="0"/>
        <w:autoSpaceDN w:val="0"/>
        <w:spacing w:line="360" w:lineRule="auto"/>
        <w:rPr>
          <w:sz w:val="26"/>
          <w:szCs w:val="26"/>
        </w:rPr>
      </w:pPr>
    </w:p>
    <w:p w:rsidR="00A76C6E" w:rsidRPr="0013064E" w:rsidRDefault="00E51316" w:rsidP="00003EFF">
      <w:pPr>
        <w:widowControl/>
        <w:autoSpaceDE w:val="0"/>
        <w:autoSpaceDN w:val="0"/>
        <w:spacing w:line="360" w:lineRule="auto"/>
        <w:rPr>
          <w:sz w:val="26"/>
          <w:szCs w:val="26"/>
        </w:rPr>
      </w:pPr>
      <w:r w:rsidRPr="0013064E">
        <w:rPr>
          <w:sz w:val="26"/>
          <w:szCs w:val="26"/>
        </w:rPr>
        <w:lastRenderedPageBreak/>
        <w:tab/>
      </w:r>
      <w:r w:rsidRPr="0013064E">
        <w:rPr>
          <w:sz w:val="26"/>
          <w:szCs w:val="26"/>
        </w:rPr>
        <w:tab/>
        <w:t xml:space="preserve">The eighth criterion is the amount of the civil penalty necessary to deter future violations, with consideration of the size of the utility.  </w:t>
      </w:r>
      <w:r w:rsidR="00BD6009" w:rsidRPr="0013064E">
        <w:rPr>
          <w:sz w:val="26"/>
          <w:szCs w:val="26"/>
        </w:rPr>
        <w:t>52 Pa. Code § </w:t>
      </w:r>
      <w:r w:rsidR="0043243A" w:rsidRPr="0013064E">
        <w:rPr>
          <w:sz w:val="26"/>
          <w:szCs w:val="26"/>
        </w:rPr>
        <w:t xml:space="preserve">69.1201(c)(8).  </w:t>
      </w:r>
      <w:r w:rsidR="00A76C6E" w:rsidRPr="0013064E">
        <w:rPr>
          <w:sz w:val="26"/>
          <w:szCs w:val="26"/>
        </w:rPr>
        <w:t>Because we do not agree with the ALJ regarding the scope and severity of PEC</w:t>
      </w:r>
      <w:r w:rsidR="0013064E" w:rsidRPr="0013064E">
        <w:rPr>
          <w:sz w:val="26"/>
          <w:szCs w:val="26"/>
        </w:rPr>
        <w:t>O’s violations, we find that no civil penalty is necessary.</w:t>
      </w:r>
    </w:p>
    <w:p w:rsidR="00A76C6E" w:rsidRPr="0013064E" w:rsidRDefault="00A76C6E" w:rsidP="00003EFF">
      <w:pPr>
        <w:widowControl/>
        <w:autoSpaceDE w:val="0"/>
        <w:autoSpaceDN w:val="0"/>
        <w:spacing w:line="360" w:lineRule="auto"/>
        <w:rPr>
          <w:sz w:val="26"/>
          <w:szCs w:val="26"/>
        </w:rPr>
      </w:pPr>
    </w:p>
    <w:p w:rsidR="00E51316" w:rsidRPr="0013064E" w:rsidRDefault="00A76C6E" w:rsidP="00003EFF">
      <w:pPr>
        <w:widowControl/>
        <w:autoSpaceDE w:val="0"/>
        <w:autoSpaceDN w:val="0"/>
        <w:spacing w:line="360" w:lineRule="auto"/>
        <w:rPr>
          <w:sz w:val="26"/>
          <w:szCs w:val="26"/>
        </w:rPr>
      </w:pPr>
      <w:r w:rsidRPr="0013064E">
        <w:rPr>
          <w:sz w:val="26"/>
          <w:szCs w:val="26"/>
        </w:rPr>
        <w:tab/>
      </w:r>
      <w:r w:rsidRPr="0013064E">
        <w:rPr>
          <w:sz w:val="26"/>
          <w:szCs w:val="26"/>
        </w:rPr>
        <w:tab/>
      </w:r>
      <w:r w:rsidR="00AB1363" w:rsidRPr="0013064E">
        <w:rPr>
          <w:sz w:val="26"/>
          <w:szCs w:val="26"/>
        </w:rPr>
        <w:t>The ninth criterion involves a consideration of past Commission decisions in similar situations.</w:t>
      </w:r>
      <w:r w:rsidR="00FE5CB4" w:rsidRPr="0013064E">
        <w:rPr>
          <w:sz w:val="26"/>
          <w:szCs w:val="26"/>
        </w:rPr>
        <w:t xml:space="preserve">  </w:t>
      </w:r>
      <w:r w:rsidR="00D06F42" w:rsidRPr="0013064E">
        <w:rPr>
          <w:sz w:val="26"/>
          <w:szCs w:val="26"/>
        </w:rPr>
        <w:t xml:space="preserve">52 Pa. Code § 69.1201(c)(9).  </w:t>
      </w:r>
      <w:r w:rsidR="00FE5CB4" w:rsidRPr="0013064E">
        <w:rPr>
          <w:sz w:val="26"/>
          <w:szCs w:val="26"/>
        </w:rPr>
        <w:t xml:space="preserve">We are not aware of past Commission decisions that have definitively addressed the </w:t>
      </w:r>
      <w:r w:rsidR="007A1CC3" w:rsidRPr="0013064E">
        <w:rPr>
          <w:sz w:val="26"/>
          <w:szCs w:val="26"/>
        </w:rPr>
        <w:t xml:space="preserve">specific </w:t>
      </w:r>
      <w:r w:rsidR="00FE5CB4" w:rsidRPr="0013064E">
        <w:rPr>
          <w:sz w:val="26"/>
          <w:szCs w:val="26"/>
        </w:rPr>
        <w:t>violations considered herein.</w:t>
      </w:r>
    </w:p>
    <w:p w:rsidR="00FE5CB4" w:rsidRPr="0013064E" w:rsidRDefault="00FE5CB4" w:rsidP="00003EFF">
      <w:pPr>
        <w:widowControl/>
        <w:autoSpaceDE w:val="0"/>
        <w:autoSpaceDN w:val="0"/>
        <w:spacing w:line="360" w:lineRule="auto"/>
        <w:rPr>
          <w:sz w:val="26"/>
          <w:szCs w:val="26"/>
        </w:rPr>
      </w:pPr>
    </w:p>
    <w:p w:rsidR="00FE5CB4" w:rsidRPr="0013064E" w:rsidRDefault="00FE5CB4" w:rsidP="00003EFF">
      <w:pPr>
        <w:widowControl/>
        <w:autoSpaceDE w:val="0"/>
        <w:autoSpaceDN w:val="0"/>
        <w:spacing w:line="360" w:lineRule="auto"/>
        <w:rPr>
          <w:sz w:val="26"/>
          <w:szCs w:val="26"/>
        </w:rPr>
      </w:pPr>
      <w:r w:rsidRPr="0013064E">
        <w:rPr>
          <w:sz w:val="26"/>
          <w:szCs w:val="26"/>
        </w:rPr>
        <w:tab/>
      </w:r>
      <w:r w:rsidRPr="0013064E">
        <w:rPr>
          <w:sz w:val="26"/>
          <w:szCs w:val="26"/>
        </w:rPr>
        <w:tab/>
        <w:t xml:space="preserve">The tenth criterion is other relevant factors.  </w:t>
      </w:r>
      <w:r w:rsidR="00D06F42" w:rsidRPr="0013064E">
        <w:rPr>
          <w:sz w:val="26"/>
          <w:szCs w:val="26"/>
        </w:rPr>
        <w:t xml:space="preserve">52 Pa. Code § 69.1201(c)(10).  </w:t>
      </w:r>
      <w:r w:rsidRPr="0013064E">
        <w:rPr>
          <w:sz w:val="26"/>
          <w:szCs w:val="26"/>
        </w:rPr>
        <w:t>We believe that all factors relevant to the determination of an appropriate civil penalty have been considered above.</w:t>
      </w:r>
    </w:p>
    <w:p w:rsidR="00FE5CB4" w:rsidRPr="0013064E" w:rsidRDefault="00FE5CB4" w:rsidP="00003EFF">
      <w:pPr>
        <w:widowControl/>
        <w:autoSpaceDE w:val="0"/>
        <w:autoSpaceDN w:val="0"/>
        <w:spacing w:line="360" w:lineRule="auto"/>
        <w:rPr>
          <w:sz w:val="26"/>
          <w:szCs w:val="26"/>
        </w:rPr>
      </w:pPr>
    </w:p>
    <w:p w:rsidR="00FE5CB4" w:rsidRPr="0013064E" w:rsidRDefault="005B7DF4" w:rsidP="00003EFF">
      <w:pPr>
        <w:widowControl/>
        <w:autoSpaceDE w:val="0"/>
        <w:autoSpaceDN w:val="0"/>
        <w:spacing w:line="360" w:lineRule="auto"/>
        <w:rPr>
          <w:sz w:val="26"/>
          <w:szCs w:val="26"/>
        </w:rPr>
      </w:pPr>
      <w:r w:rsidRPr="0013064E">
        <w:rPr>
          <w:sz w:val="26"/>
          <w:szCs w:val="26"/>
        </w:rPr>
        <w:tab/>
      </w:r>
      <w:r w:rsidRPr="0013064E">
        <w:rPr>
          <w:sz w:val="26"/>
          <w:szCs w:val="26"/>
        </w:rPr>
        <w:tab/>
        <w:t xml:space="preserve">In light of the foregoing analysis of the </w:t>
      </w:r>
      <w:r w:rsidR="0013064E" w:rsidRPr="0013064E">
        <w:rPr>
          <w:sz w:val="26"/>
          <w:szCs w:val="26"/>
        </w:rPr>
        <w:t xml:space="preserve">violations discussed above, we find that no </w:t>
      </w:r>
      <w:r w:rsidRPr="0013064E">
        <w:rPr>
          <w:sz w:val="26"/>
          <w:szCs w:val="26"/>
        </w:rPr>
        <w:t>civil penalty</w:t>
      </w:r>
      <w:r w:rsidR="0013064E" w:rsidRPr="0013064E">
        <w:rPr>
          <w:sz w:val="26"/>
          <w:szCs w:val="26"/>
        </w:rPr>
        <w:t xml:space="preserve"> is warranted in this proceeding.  Accordingly, we will grant PECO’s Exceptions on this matter and reverse</w:t>
      </w:r>
      <w:r w:rsidR="007D5AC9" w:rsidRPr="0013064E">
        <w:rPr>
          <w:sz w:val="26"/>
          <w:szCs w:val="26"/>
        </w:rPr>
        <w:t xml:space="preserve"> the Initial Decision</w:t>
      </w:r>
      <w:r w:rsidR="0013064E" w:rsidRPr="0013064E">
        <w:rPr>
          <w:sz w:val="26"/>
          <w:szCs w:val="26"/>
        </w:rPr>
        <w:t xml:space="preserve"> regarding the imposition of civil penalties. </w:t>
      </w:r>
    </w:p>
    <w:p w:rsidR="00317695" w:rsidRPr="0013064E" w:rsidRDefault="00317695" w:rsidP="0088313D">
      <w:pPr>
        <w:widowControl/>
        <w:spacing w:line="360" w:lineRule="auto"/>
        <w:rPr>
          <w:sz w:val="26"/>
          <w:szCs w:val="26"/>
        </w:rPr>
      </w:pPr>
    </w:p>
    <w:p w:rsidR="00A423C4" w:rsidRPr="00974C4C" w:rsidRDefault="00042E25" w:rsidP="004D1313">
      <w:pPr>
        <w:keepNext/>
        <w:widowControl/>
        <w:spacing w:line="360" w:lineRule="auto"/>
        <w:jc w:val="center"/>
        <w:rPr>
          <w:b/>
          <w:sz w:val="26"/>
          <w:szCs w:val="26"/>
        </w:rPr>
      </w:pPr>
      <w:r w:rsidRPr="00974C4C">
        <w:rPr>
          <w:b/>
          <w:sz w:val="26"/>
          <w:szCs w:val="26"/>
        </w:rPr>
        <w:t>III.</w:t>
      </w:r>
      <w:r w:rsidRPr="00974C4C">
        <w:rPr>
          <w:b/>
          <w:sz w:val="26"/>
          <w:szCs w:val="26"/>
        </w:rPr>
        <w:tab/>
      </w:r>
      <w:r w:rsidR="00A423C4" w:rsidRPr="00974C4C">
        <w:rPr>
          <w:b/>
          <w:sz w:val="26"/>
          <w:szCs w:val="26"/>
        </w:rPr>
        <w:t>Conclusion</w:t>
      </w:r>
    </w:p>
    <w:p w:rsidR="00A423C4" w:rsidRPr="00974C4C" w:rsidRDefault="00A423C4" w:rsidP="008A4887">
      <w:pPr>
        <w:keepNext/>
        <w:widowControl/>
        <w:spacing w:line="360" w:lineRule="auto"/>
        <w:rPr>
          <w:sz w:val="26"/>
          <w:szCs w:val="26"/>
        </w:rPr>
      </w:pPr>
    </w:p>
    <w:p w:rsidR="00A423C4" w:rsidRPr="00974C4C" w:rsidRDefault="00987567" w:rsidP="00987567">
      <w:pPr>
        <w:keepNext/>
        <w:widowControl/>
        <w:spacing w:line="360" w:lineRule="auto"/>
        <w:rPr>
          <w:sz w:val="26"/>
          <w:szCs w:val="26"/>
        </w:rPr>
      </w:pPr>
      <w:r w:rsidRPr="00974C4C">
        <w:rPr>
          <w:sz w:val="26"/>
          <w:szCs w:val="26"/>
        </w:rPr>
        <w:tab/>
      </w:r>
      <w:r w:rsidRPr="00974C4C">
        <w:rPr>
          <w:sz w:val="26"/>
          <w:szCs w:val="26"/>
        </w:rPr>
        <w:tab/>
      </w:r>
      <w:r w:rsidR="00A423C4" w:rsidRPr="00974C4C">
        <w:rPr>
          <w:sz w:val="26"/>
          <w:szCs w:val="26"/>
        </w:rPr>
        <w:t>In light of the above</w:t>
      </w:r>
      <w:r w:rsidR="00FA57AA" w:rsidRPr="00974C4C">
        <w:rPr>
          <w:sz w:val="26"/>
          <w:szCs w:val="26"/>
        </w:rPr>
        <w:t xml:space="preserve"> discussion</w:t>
      </w:r>
      <w:r w:rsidR="00A423C4" w:rsidRPr="00974C4C">
        <w:rPr>
          <w:sz w:val="26"/>
          <w:szCs w:val="26"/>
        </w:rPr>
        <w:t xml:space="preserve">, we shall:  </w:t>
      </w:r>
      <w:r w:rsidR="000C332D" w:rsidRPr="00974C4C">
        <w:rPr>
          <w:sz w:val="26"/>
          <w:szCs w:val="26"/>
        </w:rPr>
        <w:t>(1)</w:t>
      </w:r>
      <w:r w:rsidR="006F7BF9" w:rsidRPr="00974C4C">
        <w:rPr>
          <w:sz w:val="26"/>
          <w:szCs w:val="26"/>
        </w:rPr>
        <w:t xml:space="preserve"> grant, in part, and deny, in part, PECO’s Exceptions;</w:t>
      </w:r>
      <w:r w:rsidR="000C332D" w:rsidRPr="00974C4C">
        <w:rPr>
          <w:sz w:val="26"/>
          <w:szCs w:val="26"/>
        </w:rPr>
        <w:t xml:space="preserve"> </w:t>
      </w:r>
      <w:r w:rsidR="00361146" w:rsidRPr="00974C4C">
        <w:rPr>
          <w:sz w:val="26"/>
          <w:szCs w:val="26"/>
        </w:rPr>
        <w:t>(2) adopt the</w:t>
      </w:r>
      <w:r w:rsidR="005B55F4" w:rsidRPr="00974C4C">
        <w:rPr>
          <w:sz w:val="26"/>
          <w:szCs w:val="26"/>
        </w:rPr>
        <w:t xml:space="preserve"> I</w:t>
      </w:r>
      <w:r w:rsidR="006A7E95" w:rsidRPr="00974C4C">
        <w:rPr>
          <w:sz w:val="26"/>
          <w:szCs w:val="26"/>
        </w:rPr>
        <w:t>nitial Decision</w:t>
      </w:r>
      <w:r w:rsidR="00E252C5" w:rsidRPr="00974C4C">
        <w:rPr>
          <w:sz w:val="26"/>
          <w:szCs w:val="26"/>
        </w:rPr>
        <w:t xml:space="preserve"> as modified</w:t>
      </w:r>
      <w:r w:rsidR="00B500E0" w:rsidRPr="00974C4C">
        <w:rPr>
          <w:sz w:val="26"/>
          <w:szCs w:val="26"/>
        </w:rPr>
        <w:t xml:space="preserve">; </w:t>
      </w:r>
      <w:r w:rsidR="00A423C4" w:rsidRPr="00974C4C">
        <w:rPr>
          <w:sz w:val="26"/>
          <w:szCs w:val="26"/>
        </w:rPr>
        <w:t xml:space="preserve">and (3) </w:t>
      </w:r>
      <w:r w:rsidR="002C71DF" w:rsidRPr="00974C4C">
        <w:rPr>
          <w:sz w:val="26"/>
          <w:szCs w:val="26"/>
        </w:rPr>
        <w:t>sustain</w:t>
      </w:r>
      <w:r w:rsidR="006D159B" w:rsidRPr="00974C4C">
        <w:rPr>
          <w:sz w:val="26"/>
          <w:szCs w:val="26"/>
        </w:rPr>
        <w:t xml:space="preserve">, in part, and </w:t>
      </w:r>
      <w:r w:rsidR="00A423C4" w:rsidRPr="00974C4C">
        <w:rPr>
          <w:sz w:val="26"/>
          <w:szCs w:val="26"/>
        </w:rPr>
        <w:t>dismiss</w:t>
      </w:r>
      <w:r w:rsidR="006D159B" w:rsidRPr="00974C4C">
        <w:rPr>
          <w:sz w:val="26"/>
          <w:szCs w:val="26"/>
        </w:rPr>
        <w:t>, in part,</w:t>
      </w:r>
      <w:r w:rsidR="00A423C4" w:rsidRPr="00974C4C">
        <w:rPr>
          <w:sz w:val="26"/>
          <w:szCs w:val="26"/>
        </w:rPr>
        <w:t xml:space="preserve"> the Complaint; </w:t>
      </w:r>
      <w:r w:rsidR="00A423C4" w:rsidRPr="00974C4C">
        <w:rPr>
          <w:b/>
          <w:sz w:val="26"/>
          <w:szCs w:val="26"/>
        </w:rPr>
        <w:t>THEREFORE,</w:t>
      </w:r>
      <w:r w:rsidR="00A423C4" w:rsidRPr="00974C4C">
        <w:rPr>
          <w:sz w:val="26"/>
          <w:szCs w:val="26"/>
        </w:rPr>
        <w:t xml:space="preserve"> </w:t>
      </w:r>
    </w:p>
    <w:p w:rsidR="00A423C4" w:rsidRPr="00974C4C" w:rsidRDefault="00A423C4" w:rsidP="004D1313">
      <w:pPr>
        <w:widowControl/>
        <w:spacing w:line="360" w:lineRule="auto"/>
        <w:rPr>
          <w:sz w:val="26"/>
          <w:szCs w:val="26"/>
        </w:rPr>
      </w:pPr>
    </w:p>
    <w:p w:rsidR="00A423C4" w:rsidRPr="00974C4C" w:rsidRDefault="00987567" w:rsidP="00987567">
      <w:pPr>
        <w:keepNext/>
        <w:widowControl/>
        <w:rPr>
          <w:b/>
          <w:sz w:val="26"/>
          <w:szCs w:val="26"/>
        </w:rPr>
      </w:pPr>
      <w:r w:rsidRPr="00974C4C">
        <w:rPr>
          <w:b/>
          <w:sz w:val="26"/>
          <w:szCs w:val="26"/>
        </w:rPr>
        <w:lastRenderedPageBreak/>
        <w:tab/>
      </w:r>
      <w:r w:rsidRPr="00974C4C">
        <w:rPr>
          <w:b/>
          <w:sz w:val="26"/>
          <w:szCs w:val="26"/>
        </w:rPr>
        <w:tab/>
      </w:r>
      <w:r w:rsidR="00A423C4" w:rsidRPr="00974C4C">
        <w:rPr>
          <w:b/>
          <w:sz w:val="26"/>
          <w:szCs w:val="26"/>
        </w:rPr>
        <w:t>IT IS ORDERED:</w:t>
      </w:r>
    </w:p>
    <w:p w:rsidR="00A423C4" w:rsidRPr="00974C4C" w:rsidRDefault="00A423C4" w:rsidP="00681927">
      <w:pPr>
        <w:keepNext/>
        <w:widowControl/>
        <w:spacing w:line="360" w:lineRule="auto"/>
        <w:rPr>
          <w:sz w:val="26"/>
          <w:szCs w:val="26"/>
        </w:rPr>
      </w:pPr>
    </w:p>
    <w:p w:rsidR="003F51F4" w:rsidRPr="00974C4C" w:rsidRDefault="009155F7" w:rsidP="006D159B">
      <w:pPr>
        <w:keepNext/>
        <w:widowControl/>
        <w:numPr>
          <w:ilvl w:val="0"/>
          <w:numId w:val="1"/>
        </w:numPr>
        <w:tabs>
          <w:tab w:val="clear" w:pos="2160"/>
          <w:tab w:val="num" w:pos="0"/>
        </w:tabs>
        <w:spacing w:line="360" w:lineRule="auto"/>
        <w:ind w:left="0" w:firstLine="1440"/>
        <w:rPr>
          <w:sz w:val="26"/>
          <w:szCs w:val="26"/>
        </w:rPr>
      </w:pPr>
      <w:r w:rsidRPr="00974C4C">
        <w:rPr>
          <w:sz w:val="26"/>
          <w:szCs w:val="26"/>
        </w:rPr>
        <w:t>That the</w:t>
      </w:r>
      <w:r w:rsidR="00820434" w:rsidRPr="00974C4C">
        <w:rPr>
          <w:color w:val="000000"/>
          <w:sz w:val="26"/>
        </w:rPr>
        <w:t xml:space="preserve"> Exceptions</w:t>
      </w:r>
      <w:r w:rsidR="006D159B" w:rsidRPr="00974C4C">
        <w:rPr>
          <w:color w:val="000000"/>
          <w:sz w:val="26"/>
        </w:rPr>
        <w:t xml:space="preserve"> of </w:t>
      </w:r>
      <w:r w:rsidR="00A57306" w:rsidRPr="00974C4C">
        <w:rPr>
          <w:color w:val="000000"/>
          <w:sz w:val="26"/>
        </w:rPr>
        <w:t xml:space="preserve">PECO Energy Company, filed on November 18, 2015, to the Initial Decision of Administrative Law Judge Conrad A. Johnson, </w:t>
      </w:r>
      <w:r w:rsidR="00B13544" w:rsidRPr="00974C4C">
        <w:rPr>
          <w:color w:val="000000"/>
          <w:sz w:val="26"/>
        </w:rPr>
        <w:t>are</w:t>
      </w:r>
      <w:r w:rsidR="002E643A" w:rsidRPr="00974C4C">
        <w:rPr>
          <w:sz w:val="26"/>
          <w:szCs w:val="26"/>
        </w:rPr>
        <w:t xml:space="preserve"> </w:t>
      </w:r>
      <w:r w:rsidR="00A57306" w:rsidRPr="00974C4C">
        <w:rPr>
          <w:sz w:val="26"/>
          <w:szCs w:val="26"/>
        </w:rPr>
        <w:t xml:space="preserve">granted, in part, and </w:t>
      </w:r>
      <w:r w:rsidR="00251918" w:rsidRPr="00974C4C">
        <w:rPr>
          <w:sz w:val="26"/>
          <w:szCs w:val="26"/>
        </w:rPr>
        <w:t>denied</w:t>
      </w:r>
      <w:r w:rsidR="004C717A" w:rsidRPr="00974C4C">
        <w:rPr>
          <w:sz w:val="26"/>
          <w:szCs w:val="26"/>
        </w:rPr>
        <w:t>,</w:t>
      </w:r>
      <w:r w:rsidR="00A57306" w:rsidRPr="00974C4C">
        <w:rPr>
          <w:sz w:val="26"/>
          <w:szCs w:val="26"/>
        </w:rPr>
        <w:t xml:space="preserve"> in part,</w:t>
      </w:r>
      <w:r w:rsidR="004C717A" w:rsidRPr="00974C4C">
        <w:rPr>
          <w:sz w:val="26"/>
          <w:szCs w:val="26"/>
        </w:rPr>
        <w:t xml:space="preserve"> consistent with this Opinion and Order</w:t>
      </w:r>
      <w:r w:rsidR="00B40E9F" w:rsidRPr="00974C4C">
        <w:rPr>
          <w:sz w:val="26"/>
          <w:szCs w:val="26"/>
        </w:rPr>
        <w:t>.</w:t>
      </w:r>
    </w:p>
    <w:p w:rsidR="0088192E" w:rsidRPr="00974C4C" w:rsidRDefault="0088192E" w:rsidP="0088192E">
      <w:pPr>
        <w:keepNext/>
        <w:widowControl/>
        <w:spacing w:line="360" w:lineRule="auto"/>
        <w:rPr>
          <w:sz w:val="26"/>
          <w:szCs w:val="26"/>
        </w:rPr>
      </w:pPr>
    </w:p>
    <w:p w:rsidR="00CA43A5" w:rsidRPr="00974C4C" w:rsidRDefault="002C27FE" w:rsidP="004D1313">
      <w:pPr>
        <w:widowControl/>
        <w:numPr>
          <w:ilvl w:val="0"/>
          <w:numId w:val="1"/>
        </w:numPr>
        <w:tabs>
          <w:tab w:val="clear" w:pos="2160"/>
          <w:tab w:val="num" w:pos="0"/>
        </w:tabs>
        <w:spacing w:line="360" w:lineRule="auto"/>
        <w:ind w:left="0" w:firstLine="1440"/>
        <w:rPr>
          <w:sz w:val="26"/>
          <w:szCs w:val="26"/>
        </w:rPr>
      </w:pPr>
      <w:r w:rsidRPr="00974C4C">
        <w:rPr>
          <w:sz w:val="26"/>
          <w:szCs w:val="26"/>
        </w:rPr>
        <w:t xml:space="preserve">That the Initial Decision of </w:t>
      </w:r>
      <w:r w:rsidR="00A2263C" w:rsidRPr="00974C4C">
        <w:rPr>
          <w:sz w:val="26"/>
          <w:szCs w:val="26"/>
        </w:rPr>
        <w:t xml:space="preserve">Administrative Law </w:t>
      </w:r>
      <w:r w:rsidR="00383A97" w:rsidRPr="00974C4C">
        <w:rPr>
          <w:sz w:val="26"/>
          <w:szCs w:val="26"/>
        </w:rPr>
        <w:t xml:space="preserve">Judge </w:t>
      </w:r>
      <w:r w:rsidR="00383A97" w:rsidRPr="00974C4C">
        <w:rPr>
          <w:color w:val="000000"/>
          <w:sz w:val="26"/>
        </w:rPr>
        <w:t>Conrad A. Johnson, issued on October 29, 2015</w:t>
      </w:r>
      <w:r w:rsidR="00745E99" w:rsidRPr="00974C4C">
        <w:rPr>
          <w:sz w:val="26"/>
          <w:szCs w:val="26"/>
        </w:rPr>
        <w:t>,</w:t>
      </w:r>
      <w:r w:rsidR="00361146" w:rsidRPr="00974C4C">
        <w:rPr>
          <w:sz w:val="26"/>
          <w:szCs w:val="26"/>
        </w:rPr>
        <w:t xml:space="preserve"> is </w:t>
      </w:r>
      <w:r w:rsidR="00E7640B" w:rsidRPr="00974C4C">
        <w:rPr>
          <w:sz w:val="26"/>
          <w:szCs w:val="26"/>
        </w:rPr>
        <w:t>adopted as</w:t>
      </w:r>
      <w:r w:rsidR="00E252C5" w:rsidRPr="00974C4C">
        <w:rPr>
          <w:sz w:val="26"/>
          <w:szCs w:val="26"/>
        </w:rPr>
        <w:t xml:space="preserve"> modified by</w:t>
      </w:r>
      <w:r w:rsidR="00AB4745" w:rsidRPr="00974C4C">
        <w:rPr>
          <w:sz w:val="26"/>
          <w:szCs w:val="26"/>
        </w:rPr>
        <w:t xml:space="preserve"> this Opinion and Order</w:t>
      </w:r>
      <w:r w:rsidR="00CA43A5" w:rsidRPr="00974C4C">
        <w:rPr>
          <w:sz w:val="26"/>
          <w:szCs w:val="26"/>
        </w:rPr>
        <w:t>.</w:t>
      </w:r>
    </w:p>
    <w:p w:rsidR="00B4068F" w:rsidRPr="00974C4C" w:rsidRDefault="00B4068F" w:rsidP="0094075F">
      <w:pPr>
        <w:widowControl/>
        <w:spacing w:line="360" w:lineRule="auto"/>
        <w:ind w:left="1440"/>
        <w:rPr>
          <w:sz w:val="26"/>
          <w:szCs w:val="26"/>
        </w:rPr>
      </w:pPr>
    </w:p>
    <w:p w:rsidR="00532F99" w:rsidRPr="00974C4C" w:rsidRDefault="00251918" w:rsidP="00974C4C">
      <w:pPr>
        <w:pStyle w:val="ListParagraph"/>
        <w:widowControl/>
        <w:numPr>
          <w:ilvl w:val="0"/>
          <w:numId w:val="1"/>
        </w:numPr>
        <w:spacing w:line="360" w:lineRule="auto"/>
        <w:ind w:left="0" w:firstLine="1440"/>
        <w:rPr>
          <w:sz w:val="26"/>
          <w:szCs w:val="26"/>
        </w:rPr>
      </w:pPr>
      <w:r w:rsidRPr="00974C4C">
        <w:rPr>
          <w:sz w:val="26"/>
          <w:szCs w:val="26"/>
        </w:rPr>
        <w:t>That the Formal Co</w:t>
      </w:r>
      <w:r w:rsidR="005C399D" w:rsidRPr="00974C4C">
        <w:rPr>
          <w:sz w:val="26"/>
          <w:szCs w:val="26"/>
        </w:rPr>
        <w:t>mplaint</w:t>
      </w:r>
      <w:r w:rsidR="0088208B" w:rsidRPr="00974C4C">
        <w:rPr>
          <w:sz w:val="26"/>
          <w:szCs w:val="26"/>
        </w:rPr>
        <w:t xml:space="preserve"> agai</w:t>
      </w:r>
      <w:r w:rsidR="000D570F" w:rsidRPr="00974C4C">
        <w:rPr>
          <w:sz w:val="26"/>
          <w:szCs w:val="26"/>
        </w:rPr>
        <w:t>nst PECO Energy Company</w:t>
      </w:r>
      <w:r w:rsidR="005C399D" w:rsidRPr="00974C4C">
        <w:rPr>
          <w:sz w:val="26"/>
          <w:szCs w:val="26"/>
        </w:rPr>
        <w:t xml:space="preserve"> filed by </w:t>
      </w:r>
      <w:r w:rsidR="000D570F" w:rsidRPr="00974C4C">
        <w:rPr>
          <w:sz w:val="26"/>
          <w:szCs w:val="26"/>
        </w:rPr>
        <w:t>Beth Trivelpiece on January 14, 2015</w:t>
      </w:r>
      <w:r w:rsidR="0088208B" w:rsidRPr="00974C4C">
        <w:rPr>
          <w:sz w:val="26"/>
          <w:szCs w:val="26"/>
        </w:rPr>
        <w:t>,</w:t>
      </w:r>
      <w:r w:rsidR="005C399D" w:rsidRPr="00974C4C">
        <w:rPr>
          <w:sz w:val="26"/>
          <w:szCs w:val="26"/>
        </w:rPr>
        <w:t xml:space="preserve"> </w:t>
      </w:r>
      <w:r w:rsidR="00E14881" w:rsidRPr="00974C4C">
        <w:rPr>
          <w:sz w:val="26"/>
          <w:szCs w:val="26"/>
        </w:rPr>
        <w:t xml:space="preserve">is </w:t>
      </w:r>
      <w:r w:rsidR="002C71DF" w:rsidRPr="00974C4C">
        <w:rPr>
          <w:sz w:val="26"/>
          <w:szCs w:val="26"/>
        </w:rPr>
        <w:t>sustained, in part, and dismissed</w:t>
      </w:r>
      <w:r w:rsidR="000D570F" w:rsidRPr="00974C4C">
        <w:rPr>
          <w:sz w:val="26"/>
          <w:szCs w:val="26"/>
        </w:rPr>
        <w:t>, in part, consistent with this Opinion and Order.</w:t>
      </w:r>
    </w:p>
    <w:p w:rsidR="004759B6" w:rsidRPr="00974C4C" w:rsidRDefault="004759B6" w:rsidP="004759B6">
      <w:pPr>
        <w:pStyle w:val="BodyText"/>
        <w:tabs>
          <w:tab w:val="clear" w:pos="1440"/>
        </w:tabs>
        <w:spacing w:line="360" w:lineRule="auto"/>
        <w:ind w:left="1440"/>
        <w:jc w:val="left"/>
        <w:rPr>
          <w:sz w:val="26"/>
          <w:szCs w:val="26"/>
        </w:rPr>
      </w:pPr>
    </w:p>
    <w:p w:rsidR="00532F99" w:rsidRPr="00974C4C" w:rsidRDefault="00532F99" w:rsidP="00974C4C">
      <w:pPr>
        <w:pStyle w:val="BodyText"/>
        <w:keepNext/>
        <w:numPr>
          <w:ilvl w:val="0"/>
          <w:numId w:val="1"/>
        </w:numPr>
        <w:tabs>
          <w:tab w:val="clear" w:pos="1440"/>
          <w:tab w:val="clear" w:pos="2160"/>
          <w:tab w:val="num" w:pos="-90"/>
        </w:tabs>
        <w:spacing w:line="360" w:lineRule="auto"/>
        <w:ind w:left="0" w:firstLine="1440"/>
        <w:jc w:val="left"/>
        <w:rPr>
          <w:sz w:val="26"/>
          <w:szCs w:val="26"/>
        </w:rPr>
      </w:pPr>
      <w:r w:rsidRPr="00974C4C">
        <w:rPr>
          <w:sz w:val="26"/>
          <w:szCs w:val="26"/>
        </w:rPr>
        <w:t>Tha</w:t>
      </w:r>
      <w:r w:rsidR="004759B6" w:rsidRPr="00974C4C">
        <w:rPr>
          <w:sz w:val="26"/>
          <w:szCs w:val="26"/>
        </w:rPr>
        <w:t>t the proceeding at Docket No. C</w:t>
      </w:r>
      <w:r w:rsidRPr="00974C4C">
        <w:rPr>
          <w:sz w:val="26"/>
          <w:szCs w:val="26"/>
        </w:rPr>
        <w:t>-2015</w:t>
      </w:r>
      <w:r w:rsidR="004759B6" w:rsidRPr="00974C4C">
        <w:rPr>
          <w:sz w:val="26"/>
          <w:szCs w:val="26"/>
        </w:rPr>
        <w:t>-2462644</w:t>
      </w:r>
      <w:r w:rsidR="00974C4C" w:rsidRPr="00974C4C">
        <w:rPr>
          <w:sz w:val="26"/>
          <w:szCs w:val="26"/>
        </w:rPr>
        <w:t xml:space="preserve"> be marked closed</w:t>
      </w:r>
      <w:r w:rsidRPr="00974C4C">
        <w:rPr>
          <w:sz w:val="26"/>
          <w:szCs w:val="26"/>
        </w:rPr>
        <w:t>.</w:t>
      </w:r>
    </w:p>
    <w:p w:rsidR="00681927" w:rsidRPr="00FD00F5" w:rsidRDefault="00681927" w:rsidP="00974C4C">
      <w:pPr>
        <w:keepNext/>
        <w:widowControl/>
        <w:spacing w:line="360" w:lineRule="auto"/>
        <w:rPr>
          <w:sz w:val="26"/>
          <w:szCs w:val="26"/>
        </w:rPr>
      </w:pPr>
    </w:p>
    <w:p w:rsidR="00CA43A5" w:rsidRPr="00FD00F5" w:rsidRDefault="00B10865" w:rsidP="00974C4C">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7E11516E" wp14:editId="796DE424">
            <wp:simplePos x="0" y="0"/>
            <wp:positionH relativeFrom="column">
              <wp:posOffset>2994025</wp:posOffset>
            </wp:positionH>
            <wp:positionV relativeFrom="paragraph">
              <wp:posOffset>160020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FD00F5">
        <w:rPr>
          <w:b/>
          <w:sz w:val="26"/>
          <w:szCs w:val="26"/>
        </w:rPr>
        <w:t>BY THE COMMISSION,</w:t>
      </w:r>
    </w:p>
    <w:p w:rsidR="00CA43A5" w:rsidRPr="00FD00F5" w:rsidRDefault="00CA43A5" w:rsidP="00974C4C">
      <w:pPr>
        <w:keepNext/>
        <w:widowControl/>
        <w:tabs>
          <w:tab w:val="left" w:pos="-720"/>
        </w:tabs>
        <w:rPr>
          <w:sz w:val="26"/>
          <w:szCs w:val="26"/>
        </w:rPr>
      </w:pPr>
    </w:p>
    <w:p w:rsidR="00B10865" w:rsidRDefault="00B10865"/>
    <w:p w:rsidR="00CA43A5" w:rsidRPr="00FD00F5" w:rsidRDefault="00CA43A5" w:rsidP="00974C4C">
      <w:pPr>
        <w:keepNext/>
        <w:widowControl/>
        <w:tabs>
          <w:tab w:val="left" w:pos="-720"/>
        </w:tabs>
        <w:rPr>
          <w:sz w:val="26"/>
          <w:szCs w:val="26"/>
        </w:rPr>
      </w:pPr>
    </w:p>
    <w:p w:rsidR="00107A0C" w:rsidRPr="00FD00F5" w:rsidRDefault="00107A0C" w:rsidP="00974C4C">
      <w:pPr>
        <w:keepNext/>
        <w:widowControl/>
        <w:tabs>
          <w:tab w:val="left" w:pos="-720"/>
        </w:tabs>
        <w:rPr>
          <w:sz w:val="26"/>
          <w:szCs w:val="26"/>
        </w:rPr>
      </w:pPr>
    </w:p>
    <w:p w:rsidR="00CA43A5" w:rsidRPr="00FD00F5" w:rsidRDefault="00564565" w:rsidP="00974C4C">
      <w:pPr>
        <w:keepNext/>
        <w:widowControl/>
        <w:tabs>
          <w:tab w:val="left" w:pos="-720"/>
        </w:tabs>
        <w:ind w:firstLine="5040"/>
        <w:rPr>
          <w:b/>
          <w:sz w:val="26"/>
          <w:szCs w:val="26"/>
        </w:rPr>
      </w:pPr>
      <w:r w:rsidRPr="00FD00F5">
        <w:rPr>
          <w:sz w:val="26"/>
          <w:szCs w:val="26"/>
        </w:rPr>
        <w:t>Rosemary Chiavetta</w:t>
      </w:r>
    </w:p>
    <w:p w:rsidR="00CA43A5" w:rsidRPr="00FD00F5" w:rsidRDefault="00CA43A5" w:rsidP="00974C4C">
      <w:pPr>
        <w:keepNext/>
        <w:widowControl/>
        <w:tabs>
          <w:tab w:val="left" w:pos="-720"/>
        </w:tabs>
        <w:ind w:firstLine="5040"/>
        <w:rPr>
          <w:sz w:val="26"/>
          <w:szCs w:val="26"/>
        </w:rPr>
      </w:pPr>
      <w:r w:rsidRPr="00FD00F5">
        <w:rPr>
          <w:sz w:val="26"/>
          <w:szCs w:val="26"/>
        </w:rPr>
        <w:t>Secretary</w:t>
      </w:r>
    </w:p>
    <w:p w:rsidR="00CA43A5" w:rsidRPr="00FD00F5" w:rsidRDefault="00CA43A5" w:rsidP="00974C4C">
      <w:pPr>
        <w:keepNext/>
        <w:widowControl/>
        <w:tabs>
          <w:tab w:val="left" w:pos="-720"/>
        </w:tabs>
        <w:rPr>
          <w:sz w:val="26"/>
          <w:szCs w:val="26"/>
        </w:rPr>
      </w:pPr>
    </w:p>
    <w:p w:rsidR="00681927" w:rsidRPr="00FD00F5" w:rsidRDefault="00681927" w:rsidP="00974C4C">
      <w:pPr>
        <w:keepNext/>
        <w:widowControl/>
        <w:tabs>
          <w:tab w:val="left" w:pos="-720"/>
        </w:tabs>
        <w:rPr>
          <w:sz w:val="26"/>
          <w:szCs w:val="26"/>
        </w:rPr>
      </w:pPr>
    </w:p>
    <w:p w:rsidR="00CA43A5" w:rsidRPr="00FD00F5" w:rsidRDefault="00CA43A5" w:rsidP="00974C4C">
      <w:pPr>
        <w:keepNext/>
        <w:widowControl/>
        <w:tabs>
          <w:tab w:val="left" w:pos="-720"/>
        </w:tabs>
        <w:rPr>
          <w:sz w:val="26"/>
          <w:szCs w:val="26"/>
        </w:rPr>
      </w:pPr>
      <w:r w:rsidRPr="00FD00F5">
        <w:rPr>
          <w:sz w:val="26"/>
          <w:szCs w:val="26"/>
        </w:rPr>
        <w:t>(SEAL)</w:t>
      </w:r>
    </w:p>
    <w:p w:rsidR="00CA43A5" w:rsidRPr="00FD00F5" w:rsidRDefault="00CA43A5" w:rsidP="00974C4C">
      <w:pPr>
        <w:keepNext/>
        <w:widowControl/>
        <w:tabs>
          <w:tab w:val="left" w:pos="-720"/>
        </w:tabs>
        <w:rPr>
          <w:sz w:val="26"/>
          <w:szCs w:val="26"/>
        </w:rPr>
      </w:pPr>
    </w:p>
    <w:p w:rsidR="00CA43A5" w:rsidRPr="00FD00F5" w:rsidRDefault="00CA43A5" w:rsidP="00974C4C">
      <w:pPr>
        <w:keepNext/>
        <w:widowControl/>
        <w:tabs>
          <w:tab w:val="left" w:pos="-720"/>
        </w:tabs>
        <w:rPr>
          <w:sz w:val="26"/>
          <w:szCs w:val="26"/>
        </w:rPr>
      </w:pPr>
      <w:r w:rsidRPr="00FD00F5">
        <w:rPr>
          <w:sz w:val="26"/>
          <w:szCs w:val="26"/>
        </w:rPr>
        <w:t xml:space="preserve">ORDER ADOPTED: </w:t>
      </w:r>
      <w:r w:rsidR="009B7209">
        <w:rPr>
          <w:sz w:val="26"/>
          <w:szCs w:val="26"/>
        </w:rPr>
        <w:t>September 1</w:t>
      </w:r>
      <w:r w:rsidR="00FD00F5" w:rsidRPr="00FD00F5">
        <w:rPr>
          <w:sz w:val="26"/>
          <w:szCs w:val="26"/>
        </w:rPr>
        <w:t>, 2016</w:t>
      </w:r>
    </w:p>
    <w:p w:rsidR="00107A0C" w:rsidRPr="00FD00F5" w:rsidRDefault="00107A0C" w:rsidP="00974C4C">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FD00F5">
        <w:rPr>
          <w:sz w:val="26"/>
          <w:szCs w:val="26"/>
        </w:rPr>
        <w:t>ORDER ENTERED:</w:t>
      </w:r>
      <w:r w:rsidR="00764F16" w:rsidRPr="00FD00F5">
        <w:rPr>
          <w:sz w:val="26"/>
          <w:szCs w:val="26"/>
        </w:rPr>
        <w:t xml:space="preserve">  </w:t>
      </w:r>
      <w:r w:rsidR="00B10865">
        <w:rPr>
          <w:sz w:val="26"/>
          <w:szCs w:val="26"/>
        </w:rPr>
        <w:t>September 22, 2016</w:t>
      </w:r>
      <w:bookmarkStart w:id="3" w:name="_GoBack"/>
      <w:bookmarkEnd w:id="3"/>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33" w:rsidRDefault="00042D33" w:rsidP="00F7174B">
      <w:r>
        <w:separator/>
      </w:r>
    </w:p>
  </w:endnote>
  <w:endnote w:type="continuationSeparator" w:id="0">
    <w:p w:rsidR="00042D33" w:rsidRDefault="00042D33"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776EBA" w:rsidRPr="009F1A08" w:rsidRDefault="00776EBA">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B10865">
          <w:rPr>
            <w:noProof/>
            <w:sz w:val="26"/>
            <w:szCs w:val="26"/>
          </w:rPr>
          <w:t>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33" w:rsidRDefault="00042D33" w:rsidP="00F7174B">
      <w:r>
        <w:separator/>
      </w:r>
    </w:p>
  </w:footnote>
  <w:footnote w:type="continuationSeparator" w:id="0">
    <w:p w:rsidR="00042D33" w:rsidRDefault="00042D33" w:rsidP="00F7174B">
      <w:r>
        <w:continuationSeparator/>
      </w:r>
    </w:p>
  </w:footnote>
  <w:footnote w:id="1">
    <w:p w:rsidR="00776EBA" w:rsidRPr="00785AF4" w:rsidRDefault="00776EBA" w:rsidP="00411541">
      <w:pPr>
        <w:pStyle w:val="FootnoteText"/>
        <w:keepNext/>
        <w:keepLines/>
        <w:widowControl/>
        <w:spacing w:after="120"/>
        <w:rPr>
          <w:sz w:val="26"/>
          <w:szCs w:val="26"/>
        </w:rPr>
      </w:pPr>
      <w:r>
        <w:rPr>
          <w:sz w:val="26"/>
          <w:szCs w:val="26"/>
        </w:rPr>
        <w:tab/>
      </w:r>
      <w:r w:rsidRPr="00785AF4">
        <w:rPr>
          <w:rStyle w:val="FootnoteReference"/>
          <w:sz w:val="26"/>
          <w:szCs w:val="26"/>
        </w:rPr>
        <w:footnoteRef/>
      </w:r>
      <w:r>
        <w:rPr>
          <w:sz w:val="26"/>
          <w:szCs w:val="26"/>
        </w:rPr>
        <w:tab/>
        <w:t>The ALJ declined to admit PECO’s Exhibit 1 into evidence.  Tr. at 116.  In addition, the ALJ admitted only five of the nine pages comprising PECO’s Exhibit 8.  Tr. at 148-149.</w:t>
      </w:r>
    </w:p>
  </w:footnote>
  <w:footnote w:id="2">
    <w:p w:rsidR="00776EBA" w:rsidRPr="00D71F9A" w:rsidRDefault="00776EBA" w:rsidP="00411541">
      <w:pPr>
        <w:pStyle w:val="FootnoteText"/>
        <w:keepNext/>
        <w:keepLines/>
        <w:widowControl/>
        <w:spacing w:after="120"/>
        <w:rPr>
          <w:sz w:val="26"/>
          <w:szCs w:val="26"/>
        </w:rPr>
      </w:pPr>
      <w:r>
        <w:rPr>
          <w:sz w:val="26"/>
          <w:szCs w:val="26"/>
        </w:rPr>
        <w:tab/>
      </w:r>
      <w:r w:rsidRPr="00D71F9A">
        <w:rPr>
          <w:rStyle w:val="FootnoteReference"/>
          <w:sz w:val="26"/>
          <w:szCs w:val="26"/>
        </w:rPr>
        <w:footnoteRef/>
      </w:r>
      <w:r>
        <w:rPr>
          <w:sz w:val="26"/>
          <w:szCs w:val="26"/>
        </w:rPr>
        <w:tab/>
      </w:r>
      <w:r w:rsidRPr="00E63557">
        <w:rPr>
          <w:sz w:val="26"/>
          <w:szCs w:val="26"/>
        </w:rPr>
        <w:t xml:space="preserve">In accordance with the October 29, 2015 Secretarial Letter accompanying the issuance of the Initial Decision, Exceptions were due to be filed with the Commission and delivered to each party of record within twenty days of the date of the Secretarial Letter, or by November 18, 2015.  We note that PECO’s Exceptions were received by the Commission’s Secretary’s Bureau on that date, and thus, were timely filed with the Commission.  However, in her Replies to PECO’s Exceptions, the Complainant states that PECO did not mail its Exceptions to </w:t>
      </w:r>
      <w:r>
        <w:rPr>
          <w:sz w:val="26"/>
          <w:szCs w:val="26"/>
        </w:rPr>
        <w:t>the Complainant’s attorney</w:t>
      </w:r>
      <w:r w:rsidRPr="00E63557">
        <w:rPr>
          <w:sz w:val="26"/>
          <w:szCs w:val="26"/>
        </w:rPr>
        <w:t xml:space="preserve"> until November 19, 2015, and therefore, contends that the Exceptions should be denied as untimely sent.  Attached as Exhibit A to the Complainant’s Replies to Exceptions is a copy of an envelope bearing a postmark date of November 19, 2015, which purportedly shows that PECO’s Exceptions were mailed one day late to the Complainant.  While it is not our intention to question the veracity of the Complainant’s claim that the envelope shown in Exhibit A was sent by PECO, we note that neither the sender’s name nor complete address is visible in the exhibit.  M</w:t>
      </w:r>
      <w:r>
        <w:rPr>
          <w:sz w:val="26"/>
          <w:szCs w:val="26"/>
        </w:rPr>
        <w:t xml:space="preserve">oreover, consistent with 52 Pa. Code § 1.2(a), we may waive such a procedural defect when it does not affect the substantive rights of the parties.  Since </w:t>
      </w:r>
      <w:r w:rsidRPr="00E63557">
        <w:rPr>
          <w:sz w:val="26"/>
          <w:szCs w:val="26"/>
        </w:rPr>
        <w:t xml:space="preserve">the Complainant’s </w:t>
      </w:r>
      <w:r>
        <w:rPr>
          <w:sz w:val="26"/>
          <w:szCs w:val="26"/>
        </w:rPr>
        <w:t xml:space="preserve">substantive </w:t>
      </w:r>
      <w:r w:rsidRPr="00E63557">
        <w:rPr>
          <w:sz w:val="26"/>
          <w:szCs w:val="26"/>
        </w:rPr>
        <w:t xml:space="preserve">rights were </w:t>
      </w:r>
      <w:r>
        <w:rPr>
          <w:sz w:val="26"/>
          <w:szCs w:val="26"/>
        </w:rPr>
        <w:t>not affected</w:t>
      </w:r>
      <w:r w:rsidRPr="00E63557">
        <w:rPr>
          <w:sz w:val="26"/>
          <w:szCs w:val="26"/>
        </w:rPr>
        <w:t xml:space="preserve"> by </w:t>
      </w:r>
      <w:r>
        <w:rPr>
          <w:sz w:val="26"/>
          <w:szCs w:val="26"/>
        </w:rPr>
        <w:t xml:space="preserve">a </w:t>
      </w:r>
      <w:r w:rsidRPr="00E63557">
        <w:rPr>
          <w:sz w:val="26"/>
          <w:szCs w:val="26"/>
        </w:rPr>
        <w:t>one</w:t>
      </w:r>
      <w:r>
        <w:rPr>
          <w:sz w:val="26"/>
          <w:szCs w:val="26"/>
        </w:rPr>
        <w:t>-</w:t>
      </w:r>
      <w:r w:rsidRPr="00E63557">
        <w:rPr>
          <w:sz w:val="26"/>
          <w:szCs w:val="26"/>
        </w:rPr>
        <w:t xml:space="preserve">day </w:t>
      </w:r>
      <w:r>
        <w:rPr>
          <w:sz w:val="26"/>
          <w:szCs w:val="26"/>
        </w:rPr>
        <w:t>delay in service, we decline to</w:t>
      </w:r>
      <w:r w:rsidRPr="00E63557">
        <w:rPr>
          <w:sz w:val="26"/>
          <w:szCs w:val="26"/>
        </w:rPr>
        <w:t xml:space="preserve"> deny </w:t>
      </w:r>
      <w:r>
        <w:rPr>
          <w:sz w:val="26"/>
          <w:szCs w:val="26"/>
        </w:rPr>
        <w:t>PECO Exceptions as untimely sent to the Complainant</w:t>
      </w:r>
      <w:r w:rsidRPr="00E63557">
        <w:rPr>
          <w:sz w:val="26"/>
          <w:szCs w:val="26"/>
        </w:rPr>
        <w:t>.</w:t>
      </w:r>
    </w:p>
  </w:footnote>
  <w:footnote w:id="3">
    <w:p w:rsidR="00776EBA" w:rsidRPr="00A96BBA" w:rsidRDefault="00776EBA" w:rsidP="00FA04C7">
      <w:pPr>
        <w:pStyle w:val="FootnoteText"/>
        <w:keepNext/>
        <w:keepLines/>
        <w:widowControl/>
        <w:rPr>
          <w:b/>
          <w:sz w:val="26"/>
          <w:szCs w:val="26"/>
        </w:rPr>
      </w:pPr>
      <w:r>
        <w:rPr>
          <w:sz w:val="26"/>
          <w:szCs w:val="26"/>
        </w:rPr>
        <w:tab/>
      </w:r>
      <w:r w:rsidRPr="00A96BBA">
        <w:rPr>
          <w:rStyle w:val="FootnoteReference"/>
          <w:sz w:val="26"/>
          <w:szCs w:val="26"/>
        </w:rPr>
        <w:footnoteRef/>
      </w:r>
      <w:r>
        <w:rPr>
          <w:sz w:val="26"/>
          <w:szCs w:val="26"/>
        </w:rPr>
        <w:tab/>
        <w:t>66 Pa. C.S. § 3314(a) states:</w:t>
      </w:r>
    </w:p>
    <w:p w:rsidR="00776EBA" w:rsidRPr="00A96BBA" w:rsidRDefault="00776EBA" w:rsidP="00FA04C7">
      <w:pPr>
        <w:pStyle w:val="FootnoteText"/>
        <w:keepNext/>
        <w:keepLines/>
        <w:widowControl/>
        <w:rPr>
          <w:sz w:val="26"/>
          <w:szCs w:val="26"/>
        </w:rPr>
      </w:pPr>
    </w:p>
    <w:p w:rsidR="00776EBA" w:rsidRPr="00A96BBA" w:rsidRDefault="00776EBA" w:rsidP="00FA04C7">
      <w:pPr>
        <w:keepNext/>
        <w:keepLines/>
        <w:widowControl/>
        <w:spacing w:after="120" w:line="230" w:lineRule="auto"/>
        <w:ind w:left="2160" w:right="2160"/>
        <w:rPr>
          <w:sz w:val="26"/>
          <w:szCs w:val="26"/>
        </w:rPr>
      </w:pPr>
      <w:r w:rsidRPr="00A96BBA">
        <w:rPr>
          <w:b/>
          <w:sz w:val="26"/>
          <w:szCs w:val="26"/>
        </w:rPr>
        <w:t>(a)  General</w:t>
      </w:r>
      <w:r>
        <w:rPr>
          <w:b/>
          <w:sz w:val="26"/>
          <w:szCs w:val="26"/>
        </w:rPr>
        <w:t xml:space="preserve"> rule.—</w:t>
      </w:r>
      <w:r w:rsidRPr="00A96BBA">
        <w:rPr>
          <w:sz w:val="26"/>
          <w:szCs w:val="26"/>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footnote>
  <w:footnote w:id="4">
    <w:p w:rsidR="00776EBA" w:rsidRPr="00A56D82" w:rsidRDefault="00776EBA" w:rsidP="00411541">
      <w:pPr>
        <w:pStyle w:val="FootnoteText"/>
        <w:keepNext/>
        <w:keepLines/>
        <w:widowControl/>
        <w:spacing w:after="120"/>
        <w:rPr>
          <w:sz w:val="26"/>
          <w:szCs w:val="26"/>
        </w:rPr>
      </w:pPr>
      <w:r>
        <w:rPr>
          <w:sz w:val="26"/>
          <w:szCs w:val="26"/>
        </w:rPr>
        <w:tab/>
      </w:r>
      <w:r w:rsidRPr="00A56D82">
        <w:rPr>
          <w:rStyle w:val="FootnoteReference"/>
          <w:sz w:val="26"/>
          <w:szCs w:val="26"/>
        </w:rPr>
        <w:footnoteRef/>
      </w:r>
      <w:r>
        <w:rPr>
          <w:sz w:val="26"/>
          <w:szCs w:val="26"/>
        </w:rPr>
        <w:tab/>
        <w:t xml:space="preserve">The ALJ stated that initially it was not clear during the evidentiary hearing whether the </w:t>
      </w:r>
      <w:r w:rsidRPr="003956DF">
        <w:rPr>
          <w:sz w:val="26"/>
          <w:szCs w:val="26"/>
        </w:rPr>
        <w:t xml:space="preserve">Complainant was challenging PECO’s delay in establishing service at Aspen Avenue.  </w:t>
      </w:r>
      <w:r>
        <w:rPr>
          <w:sz w:val="26"/>
          <w:szCs w:val="26"/>
        </w:rPr>
        <w:t>The ALJ noted that at one point during the hearing, PECO’s attorney asked whether the Complainant’s attorney was stipulating that a delay in PECO’s commencement of service at that address was not an issue in this proceeding.  Based on a subsequent exchange between the respective attorneys, the ALJ concluded that there was no such stipulation, and therefore, it was appropriate to address the issue in the Initial Decision.  I.D. at 20 (citing Tr. at 83, 85-87, 89-92).</w:t>
      </w:r>
    </w:p>
  </w:footnote>
  <w:footnote w:id="5">
    <w:p w:rsidR="00776EBA" w:rsidRDefault="00776EBA" w:rsidP="00FA04C7">
      <w:pPr>
        <w:pStyle w:val="FootnoteText"/>
        <w:keepNext/>
        <w:keepLines/>
        <w:widowControl/>
        <w:rPr>
          <w:sz w:val="26"/>
          <w:szCs w:val="26"/>
        </w:rPr>
      </w:pPr>
      <w:r>
        <w:rPr>
          <w:sz w:val="26"/>
          <w:szCs w:val="26"/>
        </w:rPr>
        <w:tab/>
      </w:r>
      <w:r w:rsidRPr="00707084">
        <w:rPr>
          <w:rStyle w:val="FootnoteReference"/>
          <w:sz w:val="26"/>
          <w:szCs w:val="26"/>
        </w:rPr>
        <w:footnoteRef/>
      </w:r>
      <w:r>
        <w:rPr>
          <w:sz w:val="26"/>
          <w:szCs w:val="26"/>
        </w:rPr>
        <w:tab/>
        <w:t>52 Pa. Code § 56.36(b)(1) states, in part:</w:t>
      </w:r>
    </w:p>
    <w:p w:rsidR="00776EBA" w:rsidRDefault="00776EBA" w:rsidP="00FA04C7">
      <w:pPr>
        <w:pStyle w:val="FootnoteText"/>
        <w:keepNext/>
        <w:keepLines/>
        <w:widowControl/>
        <w:rPr>
          <w:sz w:val="26"/>
          <w:szCs w:val="26"/>
        </w:rPr>
      </w:pPr>
    </w:p>
    <w:p w:rsidR="00776EBA" w:rsidRDefault="00776EBA" w:rsidP="00411541">
      <w:pPr>
        <w:pStyle w:val="FootnoteText"/>
        <w:keepNext/>
        <w:keepLines/>
        <w:widowControl/>
        <w:spacing w:after="120"/>
        <w:ind w:left="2160" w:right="2160"/>
        <w:rPr>
          <w:sz w:val="26"/>
          <w:szCs w:val="26"/>
        </w:rPr>
      </w:pPr>
      <w:r>
        <w:rPr>
          <w:sz w:val="26"/>
          <w:szCs w:val="26"/>
        </w:rPr>
        <w:t>I</w:t>
      </w:r>
      <w:r w:rsidRPr="00CB56E8">
        <w:rPr>
          <w:sz w:val="26"/>
          <w:szCs w:val="26"/>
        </w:rPr>
        <w:t>f credit is denied, the public utility shall inform the applicant in writing of the reasons for the denial within 3 business days of the denial.</w:t>
      </w:r>
    </w:p>
    <w:p w:rsidR="00776EBA" w:rsidRPr="00707084" w:rsidRDefault="00776EBA" w:rsidP="00411541">
      <w:pPr>
        <w:pStyle w:val="FootnoteText"/>
        <w:keepNext/>
        <w:keepLines/>
        <w:widowControl/>
        <w:spacing w:after="120" w:line="60" w:lineRule="auto"/>
        <w:ind w:left="2160" w:right="2160"/>
        <w:rPr>
          <w:sz w:val="26"/>
          <w:szCs w:val="26"/>
        </w:rPr>
      </w:pPr>
    </w:p>
  </w:footnote>
  <w:footnote w:id="6">
    <w:p w:rsidR="00776EBA" w:rsidRDefault="00776EBA" w:rsidP="00FA04C7">
      <w:pPr>
        <w:pStyle w:val="FootnoteText"/>
        <w:keepNext/>
        <w:keepLines/>
        <w:widowControl/>
        <w:rPr>
          <w:sz w:val="26"/>
          <w:szCs w:val="26"/>
        </w:rPr>
      </w:pPr>
      <w:r>
        <w:rPr>
          <w:sz w:val="26"/>
          <w:szCs w:val="26"/>
        </w:rPr>
        <w:tab/>
      </w:r>
      <w:r w:rsidRPr="00D50E4D">
        <w:rPr>
          <w:rStyle w:val="FootnoteReference"/>
          <w:sz w:val="26"/>
          <w:szCs w:val="26"/>
        </w:rPr>
        <w:footnoteRef/>
      </w:r>
      <w:r>
        <w:rPr>
          <w:sz w:val="26"/>
          <w:szCs w:val="26"/>
        </w:rPr>
        <w:tab/>
        <w:t>52 Pa. Code § 56.37 states, in part:</w:t>
      </w:r>
    </w:p>
    <w:p w:rsidR="00776EBA" w:rsidRDefault="00776EBA" w:rsidP="00FA04C7">
      <w:pPr>
        <w:pStyle w:val="FootnoteText"/>
        <w:keepNext/>
        <w:keepLines/>
        <w:widowControl/>
        <w:rPr>
          <w:sz w:val="26"/>
          <w:szCs w:val="26"/>
        </w:rPr>
      </w:pPr>
    </w:p>
    <w:p w:rsidR="00776EBA" w:rsidRPr="00D50E4D" w:rsidRDefault="00776EBA" w:rsidP="00411541">
      <w:pPr>
        <w:pStyle w:val="FootnoteText"/>
        <w:keepNext/>
        <w:keepLines/>
        <w:widowControl/>
        <w:spacing w:after="120"/>
        <w:ind w:left="2160" w:right="2160"/>
        <w:rPr>
          <w:sz w:val="26"/>
          <w:szCs w:val="26"/>
        </w:rPr>
      </w:pPr>
      <w:r>
        <w:rPr>
          <w:sz w:val="26"/>
          <w:szCs w:val="26"/>
        </w:rPr>
        <w:t>Once an applicant’s application for service is accepted by the public utility, the public utility shall make a bona fide attempt to provide service within 3 business days, provided that the applicant has met all regulatory requirements.</w:t>
      </w:r>
    </w:p>
  </w:footnote>
  <w:footnote w:id="7">
    <w:p w:rsidR="00776EBA" w:rsidRPr="00C042ED" w:rsidRDefault="00776EBA" w:rsidP="00FA04C7">
      <w:pPr>
        <w:pStyle w:val="FootnoteText"/>
        <w:keepNext/>
        <w:keepLines/>
        <w:widowControl/>
        <w:rPr>
          <w:sz w:val="26"/>
          <w:szCs w:val="26"/>
        </w:rPr>
      </w:pPr>
      <w:r>
        <w:rPr>
          <w:sz w:val="26"/>
          <w:szCs w:val="26"/>
        </w:rPr>
        <w:tab/>
      </w:r>
      <w:r w:rsidRPr="00C042ED">
        <w:rPr>
          <w:rStyle w:val="FootnoteReference"/>
          <w:sz w:val="26"/>
          <w:szCs w:val="26"/>
        </w:rPr>
        <w:footnoteRef/>
      </w:r>
      <w:r>
        <w:rPr>
          <w:sz w:val="26"/>
          <w:szCs w:val="26"/>
        </w:rPr>
        <w:tab/>
      </w:r>
      <w:r w:rsidRPr="00C042ED">
        <w:rPr>
          <w:sz w:val="26"/>
          <w:szCs w:val="26"/>
        </w:rPr>
        <w:t>In requesting that the Commission consider this additional evidence, PECO asserts the following:</w:t>
      </w:r>
    </w:p>
    <w:p w:rsidR="00776EBA" w:rsidRPr="00C042ED" w:rsidRDefault="00776EBA" w:rsidP="00FA04C7">
      <w:pPr>
        <w:pStyle w:val="FootnoteText"/>
        <w:keepNext/>
        <w:keepLines/>
        <w:widowControl/>
        <w:rPr>
          <w:sz w:val="26"/>
          <w:szCs w:val="26"/>
        </w:rPr>
      </w:pPr>
    </w:p>
    <w:p w:rsidR="00776EBA" w:rsidRDefault="00776EBA" w:rsidP="00FA04C7">
      <w:pPr>
        <w:pStyle w:val="FootnoteText"/>
        <w:keepNext/>
        <w:keepLines/>
        <w:widowControl/>
        <w:spacing w:after="120"/>
        <w:ind w:left="1440" w:right="1440"/>
        <w:rPr>
          <w:sz w:val="26"/>
          <w:szCs w:val="26"/>
        </w:rPr>
      </w:pPr>
      <w:r w:rsidRPr="00C042ED">
        <w:rPr>
          <w:sz w:val="26"/>
          <w:szCs w:val="26"/>
        </w:rPr>
        <w:t>[A]s the ultimate finder of fact in its evidentiary proceedings, the Commission has [the] authority and obligation to cause additional evidence to be received if necessary for a fair resolution of the case.  If the Commission determines that it cannot consider the PECO PAR Report without admitting it into evidence, PECO respectfully requests that the Commission do one or both of the following: (1) take official and judicial notice, pursuant to 52 Pa. [Code] §</w:t>
      </w:r>
      <w:r>
        <w:rPr>
          <w:sz w:val="26"/>
          <w:szCs w:val="26"/>
        </w:rPr>
        <w:t xml:space="preserve"> </w:t>
      </w:r>
      <w:r w:rsidRPr="00C042ED">
        <w:rPr>
          <w:sz w:val="26"/>
          <w:szCs w:val="26"/>
        </w:rPr>
        <w:t>5.408, of the fact that the PECO PAR Report is ‘a report or other document on file with the Commission,’ and is therefore admitted pursuant to [52 Pa. Code] §</w:t>
      </w:r>
      <w:r>
        <w:rPr>
          <w:sz w:val="26"/>
          <w:szCs w:val="26"/>
        </w:rPr>
        <w:t xml:space="preserve"> </w:t>
      </w:r>
      <w:r w:rsidRPr="00C042ED">
        <w:rPr>
          <w:sz w:val="26"/>
          <w:szCs w:val="26"/>
        </w:rPr>
        <w:t>5.406; and (2) take official and judicial notice, pursuant to 52 Pa. [Code] §</w:t>
      </w:r>
      <w:r>
        <w:rPr>
          <w:sz w:val="26"/>
          <w:szCs w:val="26"/>
        </w:rPr>
        <w:t xml:space="preserve"> </w:t>
      </w:r>
      <w:r w:rsidRPr="00C042ED">
        <w:rPr>
          <w:sz w:val="26"/>
          <w:szCs w:val="26"/>
        </w:rPr>
        <w:t>5.408, of the fact that the PECO PAR Report is ‘a portion of the record in another proceeding before the Commission,’ and is therefore admitted pursuant to [52 Pa. Code] §</w:t>
      </w:r>
      <w:r>
        <w:rPr>
          <w:sz w:val="26"/>
          <w:szCs w:val="26"/>
        </w:rPr>
        <w:t xml:space="preserve"> </w:t>
      </w:r>
      <w:r w:rsidRPr="00C042ED">
        <w:rPr>
          <w:sz w:val="26"/>
          <w:szCs w:val="26"/>
        </w:rPr>
        <w:t xml:space="preserve">5.407.  If the Commission deems it appropriate to instead remand the matter to admit the PECO PAR Report rather than admit it at this juncture, the remand should be for the limited issue of unreasonably delayed service to Ms. Trivelpiece.  </w:t>
      </w:r>
    </w:p>
    <w:p w:rsidR="00776EBA" w:rsidRPr="00C042ED" w:rsidRDefault="00776EBA" w:rsidP="00FA04C7">
      <w:pPr>
        <w:pStyle w:val="FootnoteText"/>
        <w:keepNext/>
        <w:keepLines/>
        <w:widowControl/>
        <w:spacing w:after="120"/>
        <w:ind w:left="1440" w:right="1440"/>
        <w:rPr>
          <w:sz w:val="26"/>
          <w:szCs w:val="26"/>
        </w:rPr>
      </w:pPr>
    </w:p>
    <w:p w:rsidR="00776EBA" w:rsidRPr="00C042ED" w:rsidRDefault="00776EBA" w:rsidP="00411541">
      <w:pPr>
        <w:pStyle w:val="FootnoteText"/>
        <w:keepNext/>
        <w:keepLines/>
        <w:widowControl/>
        <w:spacing w:after="120"/>
        <w:rPr>
          <w:sz w:val="26"/>
          <w:szCs w:val="26"/>
        </w:rPr>
      </w:pPr>
      <w:r w:rsidRPr="00C042ED">
        <w:rPr>
          <w:sz w:val="26"/>
          <w:szCs w:val="26"/>
        </w:rPr>
        <w:t>Exc. at 5 n.6.</w:t>
      </w:r>
    </w:p>
  </w:footnote>
  <w:footnote w:id="8">
    <w:p w:rsidR="00776EBA" w:rsidRPr="002D29D8" w:rsidRDefault="00776EBA" w:rsidP="00411541">
      <w:pPr>
        <w:pStyle w:val="FootnoteText"/>
        <w:keepNext/>
        <w:keepLines/>
        <w:widowControl/>
        <w:spacing w:after="120"/>
        <w:rPr>
          <w:sz w:val="26"/>
          <w:szCs w:val="26"/>
        </w:rPr>
      </w:pPr>
      <w:r>
        <w:rPr>
          <w:sz w:val="26"/>
          <w:szCs w:val="26"/>
        </w:rPr>
        <w:tab/>
      </w:r>
      <w:r w:rsidRPr="002D29D8">
        <w:rPr>
          <w:rStyle w:val="FootnoteReference"/>
          <w:sz w:val="26"/>
          <w:szCs w:val="26"/>
        </w:rPr>
        <w:footnoteRef/>
      </w:r>
      <w:r>
        <w:rPr>
          <w:sz w:val="26"/>
          <w:szCs w:val="26"/>
        </w:rPr>
        <w:tab/>
        <w:t xml:space="preserve">The ALJ noted </w:t>
      </w:r>
      <w:r w:rsidRPr="00664111">
        <w:rPr>
          <w:sz w:val="26"/>
          <w:szCs w:val="26"/>
        </w:rPr>
        <w:t xml:space="preserve">the Complainant’s position that she never agreed to the November 2013 payment arrangement because she </w:t>
      </w:r>
      <w:r>
        <w:rPr>
          <w:sz w:val="26"/>
          <w:szCs w:val="26"/>
        </w:rPr>
        <w:t>could not have afforded the required</w:t>
      </w:r>
      <w:r w:rsidRPr="00664111">
        <w:rPr>
          <w:sz w:val="26"/>
          <w:szCs w:val="26"/>
        </w:rPr>
        <w:t xml:space="preserve"> monthly payment plus her current service amount.  I.D. at 23 (</w:t>
      </w:r>
      <w:r>
        <w:rPr>
          <w:sz w:val="26"/>
          <w:szCs w:val="26"/>
        </w:rPr>
        <w:t>citing</w:t>
      </w:r>
      <w:r w:rsidRPr="00664111">
        <w:rPr>
          <w:sz w:val="26"/>
          <w:szCs w:val="26"/>
        </w:rPr>
        <w:t xml:space="preserve"> Tr. at 33; </w:t>
      </w:r>
      <w:r w:rsidRPr="00664111">
        <w:rPr>
          <w:i/>
          <w:sz w:val="26"/>
          <w:szCs w:val="26"/>
        </w:rPr>
        <w:t>See also</w:t>
      </w:r>
      <w:r w:rsidRPr="00664111">
        <w:rPr>
          <w:sz w:val="26"/>
          <w:szCs w:val="26"/>
        </w:rPr>
        <w:t xml:space="preserve"> Tr. at 44, 55-56).</w:t>
      </w:r>
      <w:r>
        <w:rPr>
          <w:sz w:val="26"/>
          <w:szCs w:val="26"/>
        </w:rPr>
        <w:t xml:space="preserve">  The ALJ also noted the response of PECO’s witness that if the Complainant had not accepted </w:t>
      </w:r>
      <w:r w:rsidRPr="00664111">
        <w:rPr>
          <w:sz w:val="26"/>
          <w:szCs w:val="26"/>
        </w:rPr>
        <w:t>responsibility for the outstanding balance, the Company would not have connected her service at A</w:t>
      </w:r>
      <w:r>
        <w:rPr>
          <w:sz w:val="26"/>
          <w:szCs w:val="26"/>
        </w:rPr>
        <w:t xml:space="preserve">spen Avenue.  I.D. at 23 </w:t>
      </w:r>
      <w:r w:rsidRPr="00664111">
        <w:rPr>
          <w:sz w:val="26"/>
          <w:szCs w:val="26"/>
        </w:rPr>
        <w:t>(</w:t>
      </w:r>
      <w:r>
        <w:rPr>
          <w:sz w:val="26"/>
          <w:szCs w:val="26"/>
        </w:rPr>
        <w:t xml:space="preserve">citing </w:t>
      </w:r>
      <w:r w:rsidRPr="00664111">
        <w:rPr>
          <w:sz w:val="26"/>
          <w:szCs w:val="26"/>
        </w:rPr>
        <w:t xml:space="preserve">Tr. </w:t>
      </w:r>
      <w:r>
        <w:rPr>
          <w:sz w:val="26"/>
          <w:szCs w:val="26"/>
        </w:rPr>
        <w:t xml:space="preserve">at 92).  The ALJ concluded that because the Complainant </w:t>
      </w:r>
      <w:r w:rsidRPr="00664111">
        <w:rPr>
          <w:sz w:val="26"/>
          <w:szCs w:val="26"/>
        </w:rPr>
        <w:t>received the benefits of the November 2</w:t>
      </w:r>
      <w:r>
        <w:rPr>
          <w:sz w:val="26"/>
          <w:szCs w:val="26"/>
        </w:rPr>
        <w:t>013 payment arrangement</w:t>
      </w:r>
      <w:r w:rsidRPr="00664111">
        <w:rPr>
          <w:sz w:val="26"/>
          <w:szCs w:val="26"/>
        </w:rPr>
        <w:t xml:space="preserve"> when service was turned </w:t>
      </w:r>
      <w:r>
        <w:rPr>
          <w:sz w:val="26"/>
          <w:szCs w:val="26"/>
        </w:rPr>
        <w:t xml:space="preserve">on, there </w:t>
      </w:r>
      <w:r w:rsidRPr="00664111">
        <w:rPr>
          <w:sz w:val="26"/>
          <w:szCs w:val="26"/>
        </w:rPr>
        <w:t>was a tacit acce</w:t>
      </w:r>
      <w:r>
        <w:rPr>
          <w:sz w:val="26"/>
          <w:szCs w:val="26"/>
        </w:rPr>
        <w:t>ptance of the payment arrangement on the part of the Complainant.  I.D. at 23.</w:t>
      </w:r>
    </w:p>
  </w:footnote>
  <w:footnote w:id="9">
    <w:p w:rsidR="00776EBA" w:rsidRPr="00F32616" w:rsidRDefault="00776EBA" w:rsidP="00411541">
      <w:pPr>
        <w:pStyle w:val="FootnoteText"/>
        <w:keepNext/>
        <w:keepLines/>
        <w:widowControl/>
        <w:spacing w:after="120"/>
        <w:rPr>
          <w:sz w:val="26"/>
          <w:szCs w:val="26"/>
        </w:rPr>
      </w:pPr>
      <w:r>
        <w:rPr>
          <w:sz w:val="26"/>
          <w:szCs w:val="26"/>
        </w:rPr>
        <w:tab/>
      </w:r>
      <w:r w:rsidRPr="00F32616">
        <w:rPr>
          <w:rStyle w:val="FootnoteReference"/>
          <w:sz w:val="26"/>
          <w:szCs w:val="26"/>
        </w:rPr>
        <w:footnoteRef/>
      </w:r>
      <w:r>
        <w:rPr>
          <w:sz w:val="26"/>
          <w:szCs w:val="26"/>
        </w:rPr>
        <w:tab/>
        <w:t>The ALJ found that PECO transferred a total balance of $11,476.54 plus $1,477.60 in late payment charges to the Complainant’s Aspen Avenue account.  I.D. at 12-13, 27, n.9.  Based upon record evidence and a calculation of the average monthly accrual rate of the Complainant’s arrearage at her previous address, the ALJ estimated the portion of the total balance that had accrued four years prior to November 20, 2013, to be $8,929.69.  I.D. at 27, n.9.</w:t>
      </w:r>
    </w:p>
  </w:footnote>
  <w:footnote w:id="10">
    <w:p w:rsidR="00776EBA" w:rsidRPr="00FF3375" w:rsidRDefault="00776EBA" w:rsidP="00411541">
      <w:pPr>
        <w:pStyle w:val="FootnoteText"/>
        <w:keepNext/>
        <w:keepLines/>
        <w:widowControl/>
        <w:spacing w:after="120"/>
        <w:rPr>
          <w:sz w:val="26"/>
          <w:szCs w:val="26"/>
        </w:rPr>
      </w:pPr>
      <w:r>
        <w:rPr>
          <w:sz w:val="26"/>
          <w:szCs w:val="26"/>
        </w:rPr>
        <w:tab/>
      </w:r>
      <w:r w:rsidRPr="00FF3375">
        <w:rPr>
          <w:rStyle w:val="FootnoteReference"/>
          <w:sz w:val="26"/>
          <w:szCs w:val="26"/>
        </w:rPr>
        <w:footnoteRef/>
      </w:r>
      <w:r>
        <w:rPr>
          <w:sz w:val="26"/>
          <w:szCs w:val="26"/>
        </w:rPr>
        <w:tab/>
        <w:t>As set forth below, in considering the imposition of civil penalties on PECO, the ALJ determined that the Company’s conditioning of utility service on the payment of charges that had accrued more than four years prior to the request for service also constituted unreasonable service, in violation of 66 Pa. C.S. § 1501.  I.D. at 34.</w:t>
      </w:r>
    </w:p>
  </w:footnote>
  <w:footnote w:id="11">
    <w:p w:rsidR="00776EBA" w:rsidRDefault="00776EBA" w:rsidP="00F63C3F">
      <w:pPr>
        <w:pStyle w:val="FootnoteText"/>
        <w:keepNext/>
        <w:keepLines/>
        <w:widowControl/>
        <w:rPr>
          <w:sz w:val="26"/>
          <w:szCs w:val="26"/>
        </w:rPr>
      </w:pPr>
      <w:r>
        <w:rPr>
          <w:sz w:val="26"/>
          <w:szCs w:val="26"/>
        </w:rPr>
        <w:tab/>
      </w:r>
      <w:r w:rsidRPr="002E7741">
        <w:rPr>
          <w:rStyle w:val="FootnoteReference"/>
          <w:sz w:val="26"/>
          <w:szCs w:val="26"/>
        </w:rPr>
        <w:footnoteRef/>
      </w:r>
      <w:r>
        <w:rPr>
          <w:sz w:val="26"/>
          <w:szCs w:val="26"/>
        </w:rPr>
        <w:tab/>
      </w:r>
      <w:r w:rsidRPr="009844E5">
        <w:rPr>
          <w:sz w:val="26"/>
          <w:szCs w:val="26"/>
        </w:rPr>
        <w:t xml:space="preserve">In addition to its reliance on </w:t>
      </w:r>
      <w:r w:rsidRPr="009844E5">
        <w:rPr>
          <w:i/>
          <w:sz w:val="26"/>
          <w:szCs w:val="26"/>
        </w:rPr>
        <w:t>Vermeychuk</w:t>
      </w:r>
      <w:r w:rsidRPr="009844E5">
        <w:rPr>
          <w:sz w:val="26"/>
          <w:szCs w:val="26"/>
        </w:rPr>
        <w:t xml:space="preserve">, PECO also cites the following cases in which it avers that the Commission held that </w:t>
      </w:r>
      <w:r>
        <w:rPr>
          <w:sz w:val="26"/>
          <w:szCs w:val="26"/>
        </w:rPr>
        <w:t xml:space="preserve">the complainants </w:t>
      </w:r>
      <w:r w:rsidRPr="009844E5">
        <w:rPr>
          <w:sz w:val="26"/>
          <w:szCs w:val="26"/>
        </w:rPr>
        <w:t>were responsible for balances relating to service that had been ren</w:t>
      </w:r>
      <w:r>
        <w:rPr>
          <w:sz w:val="26"/>
          <w:szCs w:val="26"/>
        </w:rPr>
        <w:t>d</w:t>
      </w:r>
      <w:r w:rsidRPr="009844E5">
        <w:rPr>
          <w:sz w:val="26"/>
          <w:szCs w:val="26"/>
        </w:rPr>
        <w:t>ered more than four years prior:</w:t>
      </w:r>
    </w:p>
    <w:p w:rsidR="00776EBA" w:rsidRPr="009844E5" w:rsidRDefault="00776EBA" w:rsidP="00FA04C7">
      <w:pPr>
        <w:pStyle w:val="FootnoteText"/>
        <w:keepNext/>
        <w:keepLines/>
        <w:widowControl/>
        <w:rPr>
          <w:sz w:val="26"/>
          <w:szCs w:val="26"/>
        </w:rPr>
      </w:pPr>
    </w:p>
    <w:p w:rsidR="00776EBA" w:rsidRDefault="00776EBA" w:rsidP="00FA04C7">
      <w:pPr>
        <w:pStyle w:val="FootnoteText"/>
        <w:keepNext/>
        <w:keepLines/>
        <w:widowControl/>
        <w:numPr>
          <w:ilvl w:val="0"/>
          <w:numId w:val="13"/>
        </w:numPr>
        <w:rPr>
          <w:sz w:val="26"/>
          <w:szCs w:val="26"/>
        </w:rPr>
      </w:pPr>
      <w:r w:rsidRPr="009844E5">
        <w:rPr>
          <w:i/>
          <w:sz w:val="26"/>
          <w:szCs w:val="26"/>
        </w:rPr>
        <w:t>Tamara Briggs v. PECO Energy Company</w:t>
      </w:r>
      <w:r w:rsidRPr="009844E5">
        <w:rPr>
          <w:sz w:val="26"/>
          <w:szCs w:val="26"/>
        </w:rPr>
        <w:t>, Docket No. C-2013-2381883</w:t>
      </w:r>
      <w:r>
        <w:rPr>
          <w:sz w:val="26"/>
          <w:szCs w:val="26"/>
        </w:rPr>
        <w:t xml:space="preserve"> (Final Order entered April 25, 2014)</w:t>
      </w:r>
    </w:p>
    <w:p w:rsidR="00776EBA" w:rsidRDefault="00776EBA" w:rsidP="00FA04C7">
      <w:pPr>
        <w:pStyle w:val="FootnoteText"/>
        <w:keepNext/>
        <w:keepLines/>
        <w:widowControl/>
        <w:ind w:left="720"/>
        <w:rPr>
          <w:sz w:val="26"/>
          <w:szCs w:val="26"/>
        </w:rPr>
      </w:pPr>
    </w:p>
    <w:p w:rsidR="00776EBA" w:rsidRDefault="00776EBA" w:rsidP="00FA04C7">
      <w:pPr>
        <w:pStyle w:val="FootnoteText"/>
        <w:keepNext/>
        <w:keepLines/>
        <w:widowControl/>
        <w:numPr>
          <w:ilvl w:val="0"/>
          <w:numId w:val="13"/>
        </w:numPr>
        <w:rPr>
          <w:sz w:val="26"/>
          <w:szCs w:val="26"/>
        </w:rPr>
      </w:pPr>
      <w:r w:rsidRPr="009844E5">
        <w:rPr>
          <w:i/>
          <w:sz w:val="26"/>
          <w:szCs w:val="26"/>
        </w:rPr>
        <w:t>Sinoe Naji v. PECO Energy Company</w:t>
      </w:r>
      <w:r>
        <w:rPr>
          <w:sz w:val="26"/>
          <w:szCs w:val="26"/>
        </w:rPr>
        <w:t>, Docket No. C-2014-2417914 (Final Order entered September 29, 2015)</w:t>
      </w:r>
    </w:p>
    <w:p w:rsidR="00776EBA" w:rsidRDefault="00776EBA" w:rsidP="00FA04C7">
      <w:pPr>
        <w:pStyle w:val="FootnoteText"/>
        <w:keepNext/>
        <w:keepLines/>
        <w:widowControl/>
        <w:ind w:left="720"/>
        <w:rPr>
          <w:sz w:val="26"/>
          <w:szCs w:val="26"/>
        </w:rPr>
      </w:pPr>
    </w:p>
    <w:p w:rsidR="00776EBA" w:rsidRPr="009844E5" w:rsidRDefault="00776EBA" w:rsidP="00F63C3F">
      <w:pPr>
        <w:pStyle w:val="FootnoteText"/>
        <w:keepNext/>
        <w:keepLines/>
        <w:widowControl/>
        <w:numPr>
          <w:ilvl w:val="0"/>
          <w:numId w:val="13"/>
        </w:numPr>
        <w:rPr>
          <w:sz w:val="26"/>
          <w:szCs w:val="26"/>
        </w:rPr>
      </w:pPr>
      <w:r w:rsidRPr="009844E5">
        <w:rPr>
          <w:i/>
          <w:sz w:val="26"/>
          <w:szCs w:val="26"/>
        </w:rPr>
        <w:t>Pamela McDuffie v. PECO Energy Company</w:t>
      </w:r>
      <w:r>
        <w:rPr>
          <w:sz w:val="26"/>
          <w:szCs w:val="26"/>
        </w:rPr>
        <w:t>, Docket No. F-2015-2463651 (Final Order entered October 16, 2015)</w:t>
      </w:r>
    </w:p>
    <w:p w:rsidR="00776EBA" w:rsidRPr="009844E5" w:rsidRDefault="00776EBA" w:rsidP="00F63C3F">
      <w:pPr>
        <w:pStyle w:val="FootnoteText"/>
        <w:keepNext/>
        <w:keepLines/>
        <w:widowControl/>
        <w:rPr>
          <w:sz w:val="26"/>
          <w:szCs w:val="26"/>
        </w:rPr>
      </w:pPr>
    </w:p>
    <w:p w:rsidR="00776EBA" w:rsidRPr="002E7741" w:rsidRDefault="00776EBA" w:rsidP="00411541">
      <w:pPr>
        <w:pStyle w:val="FootnoteText"/>
        <w:keepNext/>
        <w:keepLines/>
        <w:widowControl/>
        <w:spacing w:after="120"/>
        <w:rPr>
          <w:sz w:val="26"/>
          <w:szCs w:val="26"/>
        </w:rPr>
      </w:pPr>
      <w:r w:rsidRPr="009844E5">
        <w:rPr>
          <w:sz w:val="26"/>
          <w:szCs w:val="26"/>
        </w:rPr>
        <w:t>Exc. at 11, n.22.</w:t>
      </w:r>
    </w:p>
  </w:footnote>
  <w:footnote w:id="12">
    <w:p w:rsidR="00776EBA" w:rsidRPr="00A82AC6" w:rsidRDefault="00776EBA" w:rsidP="00411541">
      <w:pPr>
        <w:pStyle w:val="FootnoteText"/>
        <w:keepNext/>
        <w:keepLines/>
        <w:widowControl/>
        <w:spacing w:after="120"/>
        <w:rPr>
          <w:sz w:val="26"/>
          <w:szCs w:val="26"/>
        </w:rPr>
      </w:pPr>
      <w:r>
        <w:rPr>
          <w:sz w:val="26"/>
          <w:szCs w:val="26"/>
        </w:rPr>
        <w:tab/>
      </w:r>
      <w:r w:rsidRPr="00A82AC6">
        <w:rPr>
          <w:rStyle w:val="FootnoteReference"/>
          <w:sz w:val="26"/>
          <w:szCs w:val="26"/>
        </w:rPr>
        <w:footnoteRef/>
      </w:r>
      <w:r>
        <w:rPr>
          <w:sz w:val="26"/>
          <w:szCs w:val="26"/>
        </w:rPr>
        <w:tab/>
        <w:t xml:space="preserve">PECO notes that </w:t>
      </w:r>
      <w:r w:rsidRPr="004E6841">
        <w:rPr>
          <w:i/>
          <w:sz w:val="26"/>
          <w:szCs w:val="26"/>
        </w:rPr>
        <w:t>Vermeychuk</w:t>
      </w:r>
      <w:r>
        <w:rPr>
          <w:sz w:val="26"/>
          <w:szCs w:val="26"/>
        </w:rPr>
        <w:t xml:space="preserve"> also held that three years after a balance transfer occurs, the customer loses the right to challenge that balance transfer.  Based on the ruling in </w:t>
      </w:r>
      <w:r w:rsidRPr="004E6841">
        <w:rPr>
          <w:i/>
          <w:sz w:val="26"/>
          <w:szCs w:val="26"/>
        </w:rPr>
        <w:t>Vermeychuk</w:t>
      </w:r>
      <w:r>
        <w:rPr>
          <w:sz w:val="26"/>
          <w:szCs w:val="26"/>
        </w:rPr>
        <w:t>, PECO submits that on May 26, 2013, the statute of limitations ran on the Complainant’s ability to challenge a balance transfer that occurred on May 26, 2010.  Exc. 11, n.23 (citing PECO Exh. 9).</w:t>
      </w:r>
    </w:p>
  </w:footnote>
  <w:footnote w:id="13">
    <w:p w:rsidR="00776EBA" w:rsidRPr="004D5A25" w:rsidRDefault="00776EBA" w:rsidP="00411541">
      <w:pPr>
        <w:pStyle w:val="FootnoteText"/>
        <w:keepNext/>
        <w:keepLines/>
        <w:widowControl/>
        <w:spacing w:after="120"/>
        <w:rPr>
          <w:sz w:val="26"/>
          <w:szCs w:val="26"/>
        </w:rPr>
      </w:pPr>
      <w:r>
        <w:rPr>
          <w:sz w:val="26"/>
          <w:szCs w:val="26"/>
        </w:rPr>
        <w:tab/>
      </w:r>
      <w:r w:rsidRPr="004D5A25">
        <w:rPr>
          <w:rStyle w:val="FootnoteReference"/>
          <w:sz w:val="26"/>
          <w:szCs w:val="26"/>
        </w:rPr>
        <w:footnoteRef/>
      </w:r>
      <w:r>
        <w:rPr>
          <w:sz w:val="26"/>
          <w:szCs w:val="26"/>
        </w:rPr>
        <w:tab/>
        <w:t xml:space="preserve">PECO asserts that “[t]he Commission’s policy in this respect is similar to the ‘acknowledgement doctrine’ in civil law, in which the promise to pay a debt acts to toll a statute of limitations on that date, allowing a collection action to continue beyond the initial statutory period.”  Exc. at 12, n.24 (citing </w:t>
      </w:r>
      <w:r w:rsidRPr="003B0A8C">
        <w:rPr>
          <w:i/>
          <w:sz w:val="26"/>
          <w:szCs w:val="26"/>
        </w:rPr>
        <w:t>Huntingdon Finance Corp. v. Newtown Artesian Water Co</w:t>
      </w:r>
      <w:r>
        <w:rPr>
          <w:sz w:val="26"/>
          <w:szCs w:val="26"/>
        </w:rPr>
        <w:t>., 442 Pa. Super. 406, 659 A.2d 1052 (1995)).</w:t>
      </w:r>
    </w:p>
  </w:footnote>
  <w:footnote w:id="14">
    <w:p w:rsidR="00776EBA" w:rsidRPr="002E4266" w:rsidRDefault="00776EBA">
      <w:pPr>
        <w:pStyle w:val="FootnoteText"/>
        <w:rPr>
          <w:sz w:val="26"/>
          <w:szCs w:val="26"/>
        </w:rPr>
      </w:pPr>
      <w:r>
        <w:rPr>
          <w:sz w:val="26"/>
          <w:szCs w:val="26"/>
        </w:rPr>
        <w:tab/>
      </w:r>
      <w:r w:rsidRPr="002E4266">
        <w:rPr>
          <w:rStyle w:val="FootnoteReference"/>
          <w:sz w:val="26"/>
          <w:szCs w:val="26"/>
        </w:rPr>
        <w:footnoteRef/>
      </w:r>
      <w:r>
        <w:rPr>
          <w:sz w:val="26"/>
          <w:szCs w:val="26"/>
        </w:rPr>
        <w:tab/>
        <w:t>As the ALJ noted, the October 29, 2013 Service Denial Notice sent by PECO to the Complainant i</w:t>
      </w:r>
      <w:r w:rsidR="00371999">
        <w:rPr>
          <w:sz w:val="26"/>
          <w:szCs w:val="26"/>
        </w:rPr>
        <w:t xml:space="preserve">ndicated that the </w:t>
      </w:r>
      <w:r>
        <w:rPr>
          <w:sz w:val="26"/>
          <w:szCs w:val="26"/>
        </w:rPr>
        <w:t>outstanding balance</w:t>
      </w:r>
      <w:r w:rsidR="00371999">
        <w:rPr>
          <w:sz w:val="26"/>
          <w:szCs w:val="26"/>
        </w:rPr>
        <w:t xml:space="preserve"> in question</w:t>
      </w:r>
      <w:r>
        <w:rPr>
          <w:sz w:val="26"/>
          <w:szCs w:val="26"/>
        </w:rPr>
        <w:t xml:space="preserve"> was </w:t>
      </w:r>
      <w:r w:rsidRPr="000F39F3">
        <w:rPr>
          <w:sz w:val="26"/>
          <w:szCs w:val="26"/>
        </w:rPr>
        <w:t>$12,121.35</w:t>
      </w:r>
      <w:r>
        <w:rPr>
          <w:sz w:val="26"/>
          <w:szCs w:val="26"/>
        </w:rPr>
        <w:t>.  PECO Exh. 7.  However, the account statements provided by PECO indicate that the payment agreement established for the Complainant was based on a total balance of $12,954.24, which was the amount of the Complainant’s balance transferred to her Aspen Avenue account from her previous address.  PECO Exhs. 3 and 4.  (During the hearing, PECO’s attorney and witness referenced the transferred amount as $12,952.24.  Tr. at 13, 39-40, 70.)</w:t>
      </w:r>
    </w:p>
  </w:footnote>
  <w:footnote w:id="15">
    <w:p w:rsidR="00776EBA" w:rsidRPr="00064CD4" w:rsidRDefault="00776EBA" w:rsidP="00411541">
      <w:pPr>
        <w:pStyle w:val="FootnoteText"/>
        <w:keepNext/>
        <w:keepLines/>
        <w:widowControl/>
        <w:spacing w:after="120"/>
        <w:rPr>
          <w:sz w:val="26"/>
          <w:szCs w:val="26"/>
        </w:rPr>
      </w:pPr>
      <w:r>
        <w:rPr>
          <w:sz w:val="26"/>
          <w:szCs w:val="26"/>
        </w:rPr>
        <w:tab/>
      </w:r>
      <w:r w:rsidRPr="00340F68">
        <w:rPr>
          <w:rStyle w:val="FootnoteReference"/>
          <w:sz w:val="26"/>
          <w:szCs w:val="26"/>
        </w:rPr>
        <w:footnoteRef/>
      </w:r>
      <w:r>
        <w:rPr>
          <w:sz w:val="26"/>
          <w:szCs w:val="26"/>
        </w:rPr>
        <w:tab/>
        <w:t xml:space="preserve">As PECO points out, we determined that the complainant in </w:t>
      </w:r>
      <w:r w:rsidRPr="009D41AD">
        <w:rPr>
          <w:i/>
          <w:sz w:val="26"/>
          <w:szCs w:val="26"/>
        </w:rPr>
        <w:t>Vermeychuk</w:t>
      </w:r>
      <w:r>
        <w:rPr>
          <w:sz w:val="26"/>
          <w:szCs w:val="26"/>
        </w:rPr>
        <w:t xml:space="preserve"> was responsible for transferred balances that had accumulated more than four years prior to the transfer, though we note that no Section 56.35 issue was raised in that proceeding.</w:t>
      </w:r>
    </w:p>
  </w:footnote>
  <w:footnote w:id="16">
    <w:p w:rsidR="00776EBA" w:rsidRPr="00315EE8" w:rsidRDefault="00776EBA" w:rsidP="00411541">
      <w:pPr>
        <w:pStyle w:val="FootnoteText"/>
        <w:keepNext/>
        <w:keepLines/>
        <w:widowControl/>
        <w:spacing w:after="120"/>
        <w:rPr>
          <w:sz w:val="26"/>
          <w:szCs w:val="26"/>
        </w:rPr>
      </w:pPr>
      <w:r>
        <w:rPr>
          <w:sz w:val="26"/>
          <w:szCs w:val="26"/>
        </w:rPr>
        <w:tab/>
      </w:r>
      <w:r w:rsidRPr="00315EE8">
        <w:rPr>
          <w:rStyle w:val="FootnoteReference"/>
          <w:sz w:val="26"/>
          <w:szCs w:val="26"/>
        </w:rPr>
        <w:footnoteRef/>
      </w:r>
      <w:r>
        <w:rPr>
          <w:sz w:val="26"/>
          <w:szCs w:val="26"/>
        </w:rPr>
        <w:tab/>
        <w:t xml:space="preserve">We note that the filing of an informal </w:t>
      </w:r>
      <w:r w:rsidRPr="0066319E">
        <w:rPr>
          <w:sz w:val="26"/>
          <w:szCs w:val="26"/>
        </w:rPr>
        <w:t xml:space="preserve">complaint tolls the statute of limitations until a decision on the informal </w:t>
      </w:r>
      <w:r w:rsidRPr="00DC4B35">
        <w:rPr>
          <w:sz w:val="26"/>
          <w:szCs w:val="26"/>
        </w:rPr>
        <w:t xml:space="preserve">complaint is issued. </w:t>
      </w:r>
      <w:r w:rsidRPr="00DC4B35">
        <w:rPr>
          <w:i/>
          <w:sz w:val="26"/>
          <w:szCs w:val="26"/>
        </w:rPr>
        <w:t xml:space="preserve"> Duquesne Light Co. v. Pa. PUC</w:t>
      </w:r>
      <w:r w:rsidRPr="00DC4B35">
        <w:rPr>
          <w:sz w:val="26"/>
          <w:szCs w:val="26"/>
        </w:rPr>
        <w:t>, 611 A.2d 370 (Pa. Cmwlth. 1992).  O</w:t>
      </w:r>
      <w:r w:rsidRPr="00DC4B35">
        <w:rPr>
          <w:sz w:val="26"/>
        </w:rPr>
        <w:t>n September 15, 2014, the Complainant filed an informal complaint with BCS at Case No. 3285243, in which she disputed a balance that had been transferred to her Asp</w:t>
      </w:r>
      <w:r>
        <w:rPr>
          <w:sz w:val="26"/>
        </w:rPr>
        <w:t>en Avenue account from her previous</w:t>
      </w:r>
      <w:r w:rsidRPr="00DC4B35">
        <w:rPr>
          <w:sz w:val="26"/>
        </w:rPr>
        <w:t xml:space="preserve"> address.  On November 21, 2014, BCS issued a decision in which it determined that PECO was within its right to transfer the bal</w:t>
      </w:r>
      <w:r>
        <w:rPr>
          <w:sz w:val="26"/>
        </w:rPr>
        <w:t>ance from the prior address</w:t>
      </w:r>
      <w:r w:rsidRPr="00DC4B35">
        <w:rPr>
          <w:sz w:val="26"/>
        </w:rPr>
        <w:t xml:space="preserve"> and that the Complainant was responsible for that balance.  Tr. at 100-102; PECO Exhs. 14 and 15.  </w:t>
      </w:r>
      <w:r>
        <w:rPr>
          <w:sz w:val="26"/>
          <w:szCs w:val="26"/>
        </w:rPr>
        <w:t>Accordingly, the</w:t>
      </w:r>
      <w:r w:rsidRPr="00DC4B35">
        <w:rPr>
          <w:sz w:val="26"/>
          <w:szCs w:val="26"/>
        </w:rPr>
        <w:t xml:space="preserve"> time</w:t>
      </w:r>
      <w:r>
        <w:rPr>
          <w:sz w:val="26"/>
          <w:szCs w:val="26"/>
        </w:rPr>
        <w:t xml:space="preserve"> period</w:t>
      </w:r>
      <w:r w:rsidRPr="00DC4B35">
        <w:rPr>
          <w:sz w:val="26"/>
          <w:szCs w:val="26"/>
        </w:rPr>
        <w:t xml:space="preserve"> between the </w:t>
      </w:r>
      <w:r>
        <w:rPr>
          <w:sz w:val="26"/>
          <w:szCs w:val="26"/>
        </w:rPr>
        <w:t>September 15, 2014 filing of the informal complaint and the November 21, 2014 BCS decision should not be considered in determining the three-year statute of limitations period.</w:t>
      </w:r>
    </w:p>
  </w:footnote>
  <w:footnote w:id="17">
    <w:p w:rsidR="00776EBA" w:rsidRDefault="00776EBA" w:rsidP="00FA04C7">
      <w:pPr>
        <w:pStyle w:val="FootnoteText"/>
        <w:keepNext/>
        <w:keepLines/>
        <w:widowControl/>
        <w:rPr>
          <w:sz w:val="26"/>
          <w:szCs w:val="26"/>
        </w:rPr>
      </w:pPr>
      <w:r w:rsidRPr="009539AF">
        <w:rPr>
          <w:rStyle w:val="FootnoteReference"/>
          <w:sz w:val="26"/>
          <w:szCs w:val="26"/>
        </w:rPr>
        <w:footnoteRef/>
      </w:r>
      <w:r>
        <w:rPr>
          <w:sz w:val="26"/>
          <w:szCs w:val="26"/>
        </w:rPr>
        <w:tab/>
        <w:t xml:space="preserve">52 Pa. Code § </w:t>
      </w:r>
      <w:r w:rsidRPr="009539AF">
        <w:rPr>
          <w:sz w:val="26"/>
          <w:szCs w:val="26"/>
        </w:rPr>
        <w:t>56.36(b)(1)</w:t>
      </w:r>
      <w:r>
        <w:rPr>
          <w:sz w:val="26"/>
          <w:szCs w:val="26"/>
        </w:rPr>
        <w:t xml:space="preserve"> provides, in part:</w:t>
      </w:r>
    </w:p>
    <w:p w:rsidR="00776EBA" w:rsidRDefault="00776EBA" w:rsidP="00FA04C7">
      <w:pPr>
        <w:pStyle w:val="FootnoteText"/>
        <w:keepNext/>
        <w:keepLines/>
        <w:widowControl/>
        <w:rPr>
          <w:sz w:val="26"/>
          <w:szCs w:val="26"/>
        </w:rPr>
      </w:pPr>
    </w:p>
    <w:p w:rsidR="00776EBA" w:rsidRPr="009539AF" w:rsidRDefault="00776EBA" w:rsidP="00F63C3F">
      <w:pPr>
        <w:pStyle w:val="FootnoteText"/>
        <w:keepNext/>
        <w:keepLines/>
        <w:widowControl/>
        <w:spacing w:after="120"/>
        <w:ind w:left="2160" w:right="2160"/>
        <w:rPr>
          <w:sz w:val="26"/>
          <w:szCs w:val="26"/>
        </w:rPr>
      </w:pPr>
      <w:r w:rsidRPr="00026E86">
        <w:rPr>
          <w:sz w:val="26"/>
          <w:szCs w:val="26"/>
        </w:rPr>
        <w:t>If the public utility is requiring payment of an unpai</w:t>
      </w:r>
      <w:r>
        <w:rPr>
          <w:sz w:val="26"/>
          <w:szCs w:val="26"/>
        </w:rPr>
        <w:t xml:space="preserve">d balance in accordance with § </w:t>
      </w:r>
      <w:r w:rsidRPr="00026E86">
        <w:rPr>
          <w:sz w:val="26"/>
          <w:szCs w:val="26"/>
        </w:rPr>
        <w:t>56.35, the public utility shall specify in writing the amount of the unpaid balance, the dates during which the balance accrued and the location and customer name at which the balance accrued.</w:t>
      </w:r>
    </w:p>
  </w:footnote>
  <w:footnote w:id="18">
    <w:p w:rsidR="00776EBA" w:rsidRPr="00CF13B5" w:rsidRDefault="00776EBA" w:rsidP="00411541">
      <w:pPr>
        <w:pStyle w:val="FootnoteText"/>
        <w:keepNext/>
        <w:keepLines/>
        <w:widowControl/>
        <w:spacing w:after="120"/>
        <w:rPr>
          <w:sz w:val="26"/>
          <w:szCs w:val="26"/>
        </w:rPr>
      </w:pPr>
      <w:r>
        <w:rPr>
          <w:sz w:val="26"/>
          <w:szCs w:val="26"/>
        </w:rPr>
        <w:tab/>
      </w:r>
      <w:r w:rsidRPr="00CF13B5">
        <w:rPr>
          <w:rStyle w:val="FootnoteReference"/>
          <w:sz w:val="26"/>
          <w:szCs w:val="26"/>
        </w:rPr>
        <w:footnoteRef/>
      </w:r>
      <w:r>
        <w:rPr>
          <w:sz w:val="26"/>
          <w:szCs w:val="26"/>
        </w:rPr>
        <w:tab/>
        <w:t xml:space="preserve">The ALJ noted the testimony of </w:t>
      </w:r>
      <w:r w:rsidRPr="00CF13B5">
        <w:rPr>
          <w:sz w:val="26"/>
          <w:szCs w:val="26"/>
        </w:rPr>
        <w:t>PECO’s</w:t>
      </w:r>
      <w:r>
        <w:rPr>
          <w:sz w:val="26"/>
          <w:szCs w:val="26"/>
        </w:rPr>
        <w:t xml:space="preserve"> witness that </w:t>
      </w:r>
      <w:r w:rsidRPr="00CF13B5">
        <w:rPr>
          <w:sz w:val="26"/>
          <w:szCs w:val="26"/>
        </w:rPr>
        <w:t>the pers</w:t>
      </w:r>
      <w:r>
        <w:rPr>
          <w:sz w:val="26"/>
          <w:szCs w:val="26"/>
        </w:rPr>
        <w:t>on who conducted the consumption investigation</w:t>
      </w:r>
      <w:r w:rsidRPr="00CF13B5">
        <w:rPr>
          <w:sz w:val="26"/>
          <w:szCs w:val="26"/>
        </w:rPr>
        <w:t xml:space="preserve"> was</w:t>
      </w:r>
      <w:r>
        <w:rPr>
          <w:sz w:val="26"/>
          <w:szCs w:val="26"/>
        </w:rPr>
        <w:t xml:space="preserve"> most likely</w:t>
      </w:r>
      <w:r w:rsidRPr="00CF13B5">
        <w:rPr>
          <w:sz w:val="26"/>
          <w:szCs w:val="26"/>
        </w:rPr>
        <w:t xml:space="preserve"> from LIHEAP.  </w:t>
      </w:r>
      <w:r>
        <w:rPr>
          <w:sz w:val="26"/>
          <w:szCs w:val="26"/>
        </w:rPr>
        <w:t xml:space="preserve">I.D. at 28, n.10 </w:t>
      </w:r>
      <w:r w:rsidRPr="00CF13B5">
        <w:rPr>
          <w:sz w:val="26"/>
          <w:szCs w:val="26"/>
        </w:rPr>
        <w:t>(</w:t>
      </w:r>
      <w:r>
        <w:rPr>
          <w:sz w:val="26"/>
          <w:szCs w:val="26"/>
        </w:rPr>
        <w:t xml:space="preserve">citing </w:t>
      </w:r>
      <w:r w:rsidRPr="00CF13B5">
        <w:rPr>
          <w:sz w:val="26"/>
          <w:szCs w:val="26"/>
        </w:rPr>
        <w:t xml:space="preserve">Tr. </w:t>
      </w:r>
      <w:r>
        <w:rPr>
          <w:sz w:val="26"/>
          <w:szCs w:val="26"/>
        </w:rPr>
        <w:t>at 105).  However, in its Exceptions, PECO indicates that its witness misspoke, and that the investigation was conducted as part of the Company’s Low-Income Usage Reduction Program, or LIURP.  Exc. at 16, n.30.</w:t>
      </w:r>
    </w:p>
  </w:footnote>
  <w:footnote w:id="19">
    <w:p w:rsidR="00776EBA" w:rsidRPr="005B25BD" w:rsidRDefault="00776EBA" w:rsidP="00411541">
      <w:pPr>
        <w:pStyle w:val="FootnoteText"/>
        <w:keepNext/>
        <w:keepLines/>
        <w:widowControl/>
        <w:spacing w:after="120"/>
        <w:rPr>
          <w:sz w:val="26"/>
          <w:szCs w:val="26"/>
        </w:rPr>
      </w:pPr>
      <w:r>
        <w:rPr>
          <w:sz w:val="26"/>
          <w:szCs w:val="26"/>
        </w:rPr>
        <w:tab/>
      </w:r>
      <w:r w:rsidRPr="005B25BD">
        <w:rPr>
          <w:rStyle w:val="FootnoteReference"/>
          <w:sz w:val="26"/>
          <w:szCs w:val="26"/>
        </w:rPr>
        <w:footnoteRef/>
      </w:r>
      <w:r>
        <w:rPr>
          <w:sz w:val="26"/>
          <w:szCs w:val="26"/>
        </w:rPr>
        <w:tab/>
        <w:t xml:space="preserve">The ALJ’s Finding of Fact No. 5 included Table 1, which shows the Complainant’s monthly utility </w:t>
      </w:r>
      <w:r w:rsidRPr="005B25BD">
        <w:rPr>
          <w:sz w:val="26"/>
          <w:szCs w:val="26"/>
        </w:rPr>
        <w:t xml:space="preserve">usage and payment history at </w:t>
      </w:r>
      <w:r>
        <w:rPr>
          <w:sz w:val="26"/>
          <w:szCs w:val="26"/>
        </w:rPr>
        <w:t xml:space="preserve">her </w:t>
      </w:r>
      <w:r w:rsidRPr="005B25BD">
        <w:rPr>
          <w:sz w:val="26"/>
          <w:szCs w:val="26"/>
        </w:rPr>
        <w:t>Aspen Avenue</w:t>
      </w:r>
      <w:r>
        <w:rPr>
          <w:sz w:val="26"/>
          <w:szCs w:val="26"/>
        </w:rPr>
        <w:t xml:space="preserve"> address</w:t>
      </w:r>
      <w:r w:rsidRPr="005B25BD">
        <w:rPr>
          <w:sz w:val="26"/>
          <w:szCs w:val="26"/>
        </w:rPr>
        <w:t xml:space="preserve"> from November 21, 2013 to April 27, 2015</w:t>
      </w:r>
      <w:r>
        <w:rPr>
          <w:sz w:val="26"/>
          <w:szCs w:val="26"/>
        </w:rPr>
        <w:t>.  I.D. at 5-6 (citing Tr. at 29; PECO Exh. 4).</w:t>
      </w:r>
    </w:p>
  </w:footnote>
  <w:footnote w:id="20">
    <w:p w:rsidR="00776EBA" w:rsidRPr="009B02F5" w:rsidRDefault="00776EBA" w:rsidP="00411541">
      <w:pPr>
        <w:pStyle w:val="FootnoteText"/>
        <w:keepNext/>
        <w:keepLines/>
        <w:widowControl/>
        <w:spacing w:after="120"/>
        <w:rPr>
          <w:sz w:val="26"/>
          <w:szCs w:val="26"/>
        </w:rPr>
      </w:pPr>
      <w:r>
        <w:rPr>
          <w:sz w:val="26"/>
          <w:szCs w:val="26"/>
        </w:rPr>
        <w:tab/>
      </w:r>
      <w:r w:rsidRPr="009B02F5">
        <w:rPr>
          <w:rStyle w:val="FootnoteReference"/>
          <w:sz w:val="26"/>
          <w:szCs w:val="26"/>
        </w:rPr>
        <w:footnoteRef/>
      </w:r>
      <w:r>
        <w:rPr>
          <w:sz w:val="26"/>
          <w:szCs w:val="26"/>
        </w:rPr>
        <w:tab/>
        <w:t>52 Pa. Code § 56.15 enumerates fourteen specific types of information that a utility is required to state clearly on bills rendered to its customers.</w:t>
      </w:r>
    </w:p>
  </w:footnote>
  <w:footnote w:id="21">
    <w:p w:rsidR="00776EBA" w:rsidRPr="007E3B00" w:rsidRDefault="00776EBA" w:rsidP="00411541">
      <w:pPr>
        <w:pStyle w:val="FootnoteText"/>
        <w:keepNext/>
        <w:keepLines/>
        <w:widowControl/>
        <w:spacing w:after="120"/>
        <w:rPr>
          <w:sz w:val="26"/>
          <w:szCs w:val="26"/>
        </w:rPr>
      </w:pPr>
      <w:r>
        <w:rPr>
          <w:sz w:val="26"/>
          <w:szCs w:val="26"/>
        </w:rPr>
        <w:tab/>
      </w:r>
      <w:r w:rsidRPr="007E3B00">
        <w:rPr>
          <w:rStyle w:val="FootnoteReference"/>
          <w:sz w:val="26"/>
          <w:szCs w:val="26"/>
        </w:rPr>
        <w:footnoteRef/>
      </w:r>
      <w:r>
        <w:rPr>
          <w:sz w:val="26"/>
          <w:szCs w:val="26"/>
        </w:rPr>
        <w:tab/>
        <w:t xml:space="preserve">By “original memorandum,” the Complainant apparently is referring to her Main Brief filed July 17, 2015, in which she </w:t>
      </w:r>
      <w:r w:rsidRPr="008D04C6">
        <w:rPr>
          <w:sz w:val="26"/>
          <w:szCs w:val="26"/>
        </w:rPr>
        <w:t>appeared to raise an issue regarding the order in which PECO applied the Complainant’s payments to the various types of charges billed.  Compla</w:t>
      </w:r>
      <w:r>
        <w:rPr>
          <w:sz w:val="26"/>
          <w:szCs w:val="26"/>
        </w:rPr>
        <w:t>inant Main Brief at 2-4.  However, this issue was not raised in the original Complaint, was not brought up during the June 2, 2015 hearing, and was not addressed in the Initial Decision.  As there was no record developed on the matter of how PECO applied payments to amounts owed, and no ruling on the matter by the ALJ, we find no basis on which to address the issue.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3C0"/>
    <w:multiLevelType w:val="hybridMultilevel"/>
    <w:tmpl w:val="4D34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0CE39EC"/>
    <w:multiLevelType w:val="hybridMultilevel"/>
    <w:tmpl w:val="8C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C93AA2"/>
    <w:multiLevelType w:val="hybridMultilevel"/>
    <w:tmpl w:val="27A2BDD6"/>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DF03471"/>
    <w:multiLevelType w:val="hybridMultilevel"/>
    <w:tmpl w:val="3D2C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3679DF"/>
    <w:multiLevelType w:val="hybridMultilevel"/>
    <w:tmpl w:val="6F4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D1EA8"/>
    <w:multiLevelType w:val="hybridMultilevel"/>
    <w:tmpl w:val="A8344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2"/>
  </w:num>
  <w:num w:numId="6">
    <w:abstractNumId w:val="6"/>
  </w:num>
  <w:num w:numId="7">
    <w:abstractNumId w:val="1"/>
  </w:num>
  <w:num w:numId="8">
    <w:abstractNumId w:val="10"/>
  </w:num>
  <w:num w:numId="9">
    <w:abstractNumId w:val="14"/>
  </w:num>
  <w:num w:numId="10">
    <w:abstractNumId w:val="11"/>
  </w:num>
  <w:num w:numId="11">
    <w:abstractNumId w:val="3"/>
  </w:num>
  <w:num w:numId="12">
    <w:abstractNumId w:val="9"/>
  </w:num>
  <w:num w:numId="13">
    <w:abstractNumId w:val="1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2F04"/>
    <w:rsid w:val="00002F13"/>
    <w:rsid w:val="000032F9"/>
    <w:rsid w:val="00003EFF"/>
    <w:rsid w:val="0000451E"/>
    <w:rsid w:val="00004817"/>
    <w:rsid w:val="00004D03"/>
    <w:rsid w:val="00005318"/>
    <w:rsid w:val="000065FB"/>
    <w:rsid w:val="00006685"/>
    <w:rsid w:val="00006A65"/>
    <w:rsid w:val="00006F35"/>
    <w:rsid w:val="00006FEE"/>
    <w:rsid w:val="000070F4"/>
    <w:rsid w:val="0000721A"/>
    <w:rsid w:val="000075A6"/>
    <w:rsid w:val="00007AF7"/>
    <w:rsid w:val="00007D7F"/>
    <w:rsid w:val="00007ECA"/>
    <w:rsid w:val="00011AB1"/>
    <w:rsid w:val="0001221F"/>
    <w:rsid w:val="000124ED"/>
    <w:rsid w:val="00013358"/>
    <w:rsid w:val="00013690"/>
    <w:rsid w:val="000147AA"/>
    <w:rsid w:val="00014E95"/>
    <w:rsid w:val="00015314"/>
    <w:rsid w:val="000154E2"/>
    <w:rsid w:val="00015D7A"/>
    <w:rsid w:val="000168E4"/>
    <w:rsid w:val="00016D57"/>
    <w:rsid w:val="00016FB2"/>
    <w:rsid w:val="000171BD"/>
    <w:rsid w:val="00017852"/>
    <w:rsid w:val="00017F8B"/>
    <w:rsid w:val="00020163"/>
    <w:rsid w:val="000205EA"/>
    <w:rsid w:val="000206EB"/>
    <w:rsid w:val="00020817"/>
    <w:rsid w:val="000213A0"/>
    <w:rsid w:val="00021E46"/>
    <w:rsid w:val="00022572"/>
    <w:rsid w:val="000228A7"/>
    <w:rsid w:val="00022B74"/>
    <w:rsid w:val="0002304F"/>
    <w:rsid w:val="0002315D"/>
    <w:rsid w:val="000231E3"/>
    <w:rsid w:val="0002332C"/>
    <w:rsid w:val="00023B72"/>
    <w:rsid w:val="00023CFE"/>
    <w:rsid w:val="0002467F"/>
    <w:rsid w:val="00024F85"/>
    <w:rsid w:val="0002501D"/>
    <w:rsid w:val="0002524C"/>
    <w:rsid w:val="0002556C"/>
    <w:rsid w:val="00025B53"/>
    <w:rsid w:val="00025CE1"/>
    <w:rsid w:val="00025CEC"/>
    <w:rsid w:val="00025E34"/>
    <w:rsid w:val="00025F3F"/>
    <w:rsid w:val="00025FF6"/>
    <w:rsid w:val="0002606A"/>
    <w:rsid w:val="00026703"/>
    <w:rsid w:val="000267E5"/>
    <w:rsid w:val="00026CD2"/>
    <w:rsid w:val="00026E86"/>
    <w:rsid w:val="0003055F"/>
    <w:rsid w:val="0003093F"/>
    <w:rsid w:val="00030A62"/>
    <w:rsid w:val="00030F6D"/>
    <w:rsid w:val="000323AF"/>
    <w:rsid w:val="00032449"/>
    <w:rsid w:val="00032635"/>
    <w:rsid w:val="0003325E"/>
    <w:rsid w:val="00033512"/>
    <w:rsid w:val="000338FE"/>
    <w:rsid w:val="0003393B"/>
    <w:rsid w:val="00033D2F"/>
    <w:rsid w:val="00033EFA"/>
    <w:rsid w:val="00033FBF"/>
    <w:rsid w:val="0003417F"/>
    <w:rsid w:val="00034E13"/>
    <w:rsid w:val="00034FAE"/>
    <w:rsid w:val="0003548D"/>
    <w:rsid w:val="000359E1"/>
    <w:rsid w:val="00035A3B"/>
    <w:rsid w:val="000369DC"/>
    <w:rsid w:val="00037341"/>
    <w:rsid w:val="00037641"/>
    <w:rsid w:val="00037FC0"/>
    <w:rsid w:val="00037FCC"/>
    <w:rsid w:val="000407B1"/>
    <w:rsid w:val="00040A8E"/>
    <w:rsid w:val="00040AEA"/>
    <w:rsid w:val="000411B5"/>
    <w:rsid w:val="000426D8"/>
    <w:rsid w:val="0004297F"/>
    <w:rsid w:val="00042D33"/>
    <w:rsid w:val="00042E25"/>
    <w:rsid w:val="00043D65"/>
    <w:rsid w:val="000441C7"/>
    <w:rsid w:val="00044260"/>
    <w:rsid w:val="00044CDF"/>
    <w:rsid w:val="00044F62"/>
    <w:rsid w:val="0004514A"/>
    <w:rsid w:val="00045800"/>
    <w:rsid w:val="00045FE8"/>
    <w:rsid w:val="00046392"/>
    <w:rsid w:val="00046D2C"/>
    <w:rsid w:val="000477D8"/>
    <w:rsid w:val="00047874"/>
    <w:rsid w:val="00047A50"/>
    <w:rsid w:val="00047F4A"/>
    <w:rsid w:val="00050E97"/>
    <w:rsid w:val="00051A5C"/>
    <w:rsid w:val="000523CF"/>
    <w:rsid w:val="000523D1"/>
    <w:rsid w:val="00052B8F"/>
    <w:rsid w:val="00052FCD"/>
    <w:rsid w:val="000536BC"/>
    <w:rsid w:val="00053CA1"/>
    <w:rsid w:val="00053D76"/>
    <w:rsid w:val="00054612"/>
    <w:rsid w:val="00054A0E"/>
    <w:rsid w:val="0005536A"/>
    <w:rsid w:val="0005572E"/>
    <w:rsid w:val="00055788"/>
    <w:rsid w:val="00055BAD"/>
    <w:rsid w:val="00055DC6"/>
    <w:rsid w:val="00056286"/>
    <w:rsid w:val="0005720D"/>
    <w:rsid w:val="000578F7"/>
    <w:rsid w:val="00057D06"/>
    <w:rsid w:val="00057D9D"/>
    <w:rsid w:val="00057EB5"/>
    <w:rsid w:val="00057F80"/>
    <w:rsid w:val="00060272"/>
    <w:rsid w:val="000609F5"/>
    <w:rsid w:val="00060ADE"/>
    <w:rsid w:val="00060C99"/>
    <w:rsid w:val="00061022"/>
    <w:rsid w:val="000612FD"/>
    <w:rsid w:val="00061C8B"/>
    <w:rsid w:val="00061E95"/>
    <w:rsid w:val="000623C6"/>
    <w:rsid w:val="00062601"/>
    <w:rsid w:val="0006342E"/>
    <w:rsid w:val="0006356A"/>
    <w:rsid w:val="00064188"/>
    <w:rsid w:val="000642AA"/>
    <w:rsid w:val="00064973"/>
    <w:rsid w:val="000649EC"/>
    <w:rsid w:val="00064A1B"/>
    <w:rsid w:val="00064C91"/>
    <w:rsid w:val="00064CD4"/>
    <w:rsid w:val="00064E81"/>
    <w:rsid w:val="00065291"/>
    <w:rsid w:val="0006552D"/>
    <w:rsid w:val="00065708"/>
    <w:rsid w:val="0006634C"/>
    <w:rsid w:val="00066408"/>
    <w:rsid w:val="000664E6"/>
    <w:rsid w:val="000669D9"/>
    <w:rsid w:val="000669FF"/>
    <w:rsid w:val="00066ADC"/>
    <w:rsid w:val="00066EE5"/>
    <w:rsid w:val="00066FFF"/>
    <w:rsid w:val="00067260"/>
    <w:rsid w:val="0006759F"/>
    <w:rsid w:val="0006784C"/>
    <w:rsid w:val="00067A08"/>
    <w:rsid w:val="00070469"/>
    <w:rsid w:val="00070EFA"/>
    <w:rsid w:val="000715E8"/>
    <w:rsid w:val="00071A6D"/>
    <w:rsid w:val="0007209F"/>
    <w:rsid w:val="000723B5"/>
    <w:rsid w:val="00072808"/>
    <w:rsid w:val="00073CF0"/>
    <w:rsid w:val="0007413A"/>
    <w:rsid w:val="0007521D"/>
    <w:rsid w:val="000753F6"/>
    <w:rsid w:val="00075D7D"/>
    <w:rsid w:val="00075F10"/>
    <w:rsid w:val="00076514"/>
    <w:rsid w:val="00076607"/>
    <w:rsid w:val="00076D52"/>
    <w:rsid w:val="00076F35"/>
    <w:rsid w:val="000770DB"/>
    <w:rsid w:val="00077B2D"/>
    <w:rsid w:val="000804B3"/>
    <w:rsid w:val="000804C5"/>
    <w:rsid w:val="00080A8B"/>
    <w:rsid w:val="00080AF2"/>
    <w:rsid w:val="00081416"/>
    <w:rsid w:val="00082A18"/>
    <w:rsid w:val="00082CBC"/>
    <w:rsid w:val="00083125"/>
    <w:rsid w:val="000835AA"/>
    <w:rsid w:val="000839C2"/>
    <w:rsid w:val="00084573"/>
    <w:rsid w:val="000845E4"/>
    <w:rsid w:val="0008490E"/>
    <w:rsid w:val="00084919"/>
    <w:rsid w:val="00084AF9"/>
    <w:rsid w:val="00084C67"/>
    <w:rsid w:val="00087299"/>
    <w:rsid w:val="0008785F"/>
    <w:rsid w:val="000878C9"/>
    <w:rsid w:val="00087A69"/>
    <w:rsid w:val="00090825"/>
    <w:rsid w:val="00090B69"/>
    <w:rsid w:val="0009119E"/>
    <w:rsid w:val="000918D4"/>
    <w:rsid w:val="00091C59"/>
    <w:rsid w:val="000922E7"/>
    <w:rsid w:val="0009261B"/>
    <w:rsid w:val="00093164"/>
    <w:rsid w:val="00093660"/>
    <w:rsid w:val="00093731"/>
    <w:rsid w:val="00094851"/>
    <w:rsid w:val="000948F8"/>
    <w:rsid w:val="00094907"/>
    <w:rsid w:val="00094951"/>
    <w:rsid w:val="00094D77"/>
    <w:rsid w:val="000958D8"/>
    <w:rsid w:val="00095AD5"/>
    <w:rsid w:val="00095DBE"/>
    <w:rsid w:val="0009612D"/>
    <w:rsid w:val="00096D29"/>
    <w:rsid w:val="000973A2"/>
    <w:rsid w:val="00097504"/>
    <w:rsid w:val="00097922"/>
    <w:rsid w:val="00097B8D"/>
    <w:rsid w:val="000A0104"/>
    <w:rsid w:val="000A013F"/>
    <w:rsid w:val="000A0142"/>
    <w:rsid w:val="000A06E0"/>
    <w:rsid w:val="000A11F0"/>
    <w:rsid w:val="000A1358"/>
    <w:rsid w:val="000A1A04"/>
    <w:rsid w:val="000A2E5F"/>
    <w:rsid w:val="000A35C0"/>
    <w:rsid w:val="000A365D"/>
    <w:rsid w:val="000A443E"/>
    <w:rsid w:val="000A44BF"/>
    <w:rsid w:val="000A4F51"/>
    <w:rsid w:val="000A55F8"/>
    <w:rsid w:val="000A588A"/>
    <w:rsid w:val="000A598E"/>
    <w:rsid w:val="000A61FA"/>
    <w:rsid w:val="000A6356"/>
    <w:rsid w:val="000A636F"/>
    <w:rsid w:val="000A63C5"/>
    <w:rsid w:val="000A6687"/>
    <w:rsid w:val="000A672E"/>
    <w:rsid w:val="000A69B1"/>
    <w:rsid w:val="000A69EE"/>
    <w:rsid w:val="000A76C2"/>
    <w:rsid w:val="000A79E1"/>
    <w:rsid w:val="000A79E3"/>
    <w:rsid w:val="000B0BFE"/>
    <w:rsid w:val="000B163E"/>
    <w:rsid w:val="000B216D"/>
    <w:rsid w:val="000B22C6"/>
    <w:rsid w:val="000B26FD"/>
    <w:rsid w:val="000B2755"/>
    <w:rsid w:val="000B2E1C"/>
    <w:rsid w:val="000B2F28"/>
    <w:rsid w:val="000B353F"/>
    <w:rsid w:val="000B363C"/>
    <w:rsid w:val="000B39A2"/>
    <w:rsid w:val="000B3BB4"/>
    <w:rsid w:val="000B41CC"/>
    <w:rsid w:val="000B4878"/>
    <w:rsid w:val="000B4EAE"/>
    <w:rsid w:val="000B5039"/>
    <w:rsid w:val="000B5206"/>
    <w:rsid w:val="000B5238"/>
    <w:rsid w:val="000B607A"/>
    <w:rsid w:val="000B69A3"/>
    <w:rsid w:val="000B6B15"/>
    <w:rsid w:val="000B72CF"/>
    <w:rsid w:val="000B7363"/>
    <w:rsid w:val="000C00B5"/>
    <w:rsid w:val="000C00E1"/>
    <w:rsid w:val="000C0632"/>
    <w:rsid w:val="000C07BC"/>
    <w:rsid w:val="000C111F"/>
    <w:rsid w:val="000C1D1F"/>
    <w:rsid w:val="000C2AE3"/>
    <w:rsid w:val="000C2E2D"/>
    <w:rsid w:val="000C31E4"/>
    <w:rsid w:val="000C3261"/>
    <w:rsid w:val="000C3270"/>
    <w:rsid w:val="000C332D"/>
    <w:rsid w:val="000C3CA0"/>
    <w:rsid w:val="000C4058"/>
    <w:rsid w:val="000C521F"/>
    <w:rsid w:val="000C55FB"/>
    <w:rsid w:val="000C5927"/>
    <w:rsid w:val="000C5F15"/>
    <w:rsid w:val="000C678E"/>
    <w:rsid w:val="000C67F5"/>
    <w:rsid w:val="000C69F0"/>
    <w:rsid w:val="000C6B69"/>
    <w:rsid w:val="000C6CCD"/>
    <w:rsid w:val="000C709A"/>
    <w:rsid w:val="000C70AB"/>
    <w:rsid w:val="000C7255"/>
    <w:rsid w:val="000C75DB"/>
    <w:rsid w:val="000C76B5"/>
    <w:rsid w:val="000C786B"/>
    <w:rsid w:val="000C79A0"/>
    <w:rsid w:val="000C7BBD"/>
    <w:rsid w:val="000D008C"/>
    <w:rsid w:val="000D0702"/>
    <w:rsid w:val="000D0C85"/>
    <w:rsid w:val="000D1CA8"/>
    <w:rsid w:val="000D2275"/>
    <w:rsid w:val="000D22B4"/>
    <w:rsid w:val="000D22EB"/>
    <w:rsid w:val="000D23AC"/>
    <w:rsid w:val="000D267E"/>
    <w:rsid w:val="000D29C8"/>
    <w:rsid w:val="000D2DF9"/>
    <w:rsid w:val="000D3069"/>
    <w:rsid w:val="000D33C8"/>
    <w:rsid w:val="000D362B"/>
    <w:rsid w:val="000D3CAA"/>
    <w:rsid w:val="000D3E1C"/>
    <w:rsid w:val="000D3EFC"/>
    <w:rsid w:val="000D42E2"/>
    <w:rsid w:val="000D4460"/>
    <w:rsid w:val="000D460C"/>
    <w:rsid w:val="000D4AF7"/>
    <w:rsid w:val="000D570F"/>
    <w:rsid w:val="000D59B3"/>
    <w:rsid w:val="000D5ADC"/>
    <w:rsid w:val="000D6E1E"/>
    <w:rsid w:val="000D72E0"/>
    <w:rsid w:val="000D7AB5"/>
    <w:rsid w:val="000E0271"/>
    <w:rsid w:val="000E02B6"/>
    <w:rsid w:val="000E071F"/>
    <w:rsid w:val="000E1309"/>
    <w:rsid w:val="000E1DC9"/>
    <w:rsid w:val="000E204D"/>
    <w:rsid w:val="000E215E"/>
    <w:rsid w:val="000E231D"/>
    <w:rsid w:val="000E2B40"/>
    <w:rsid w:val="000E3310"/>
    <w:rsid w:val="000E35AE"/>
    <w:rsid w:val="000E4502"/>
    <w:rsid w:val="000E53B9"/>
    <w:rsid w:val="000E64D8"/>
    <w:rsid w:val="000E6929"/>
    <w:rsid w:val="000E6A73"/>
    <w:rsid w:val="000E6DC6"/>
    <w:rsid w:val="000E7A90"/>
    <w:rsid w:val="000E7EF3"/>
    <w:rsid w:val="000F174A"/>
    <w:rsid w:val="000F179E"/>
    <w:rsid w:val="000F1B98"/>
    <w:rsid w:val="000F1DC2"/>
    <w:rsid w:val="000F2397"/>
    <w:rsid w:val="000F2501"/>
    <w:rsid w:val="000F27FE"/>
    <w:rsid w:val="000F2DE3"/>
    <w:rsid w:val="000F386F"/>
    <w:rsid w:val="000F39F3"/>
    <w:rsid w:val="000F3D41"/>
    <w:rsid w:val="000F4307"/>
    <w:rsid w:val="000F551B"/>
    <w:rsid w:val="000F5867"/>
    <w:rsid w:val="000F59B1"/>
    <w:rsid w:val="000F5D47"/>
    <w:rsid w:val="000F6E93"/>
    <w:rsid w:val="000F717E"/>
    <w:rsid w:val="00100639"/>
    <w:rsid w:val="001006A8"/>
    <w:rsid w:val="00100F06"/>
    <w:rsid w:val="00101387"/>
    <w:rsid w:val="0010147F"/>
    <w:rsid w:val="001014BC"/>
    <w:rsid w:val="0010158F"/>
    <w:rsid w:val="001017F6"/>
    <w:rsid w:val="00101AB8"/>
    <w:rsid w:val="00101F51"/>
    <w:rsid w:val="001026CA"/>
    <w:rsid w:val="00102E54"/>
    <w:rsid w:val="00102FEB"/>
    <w:rsid w:val="0010311D"/>
    <w:rsid w:val="0010341F"/>
    <w:rsid w:val="001035AF"/>
    <w:rsid w:val="00104041"/>
    <w:rsid w:val="0010425F"/>
    <w:rsid w:val="001044B6"/>
    <w:rsid w:val="00104A0F"/>
    <w:rsid w:val="00104D61"/>
    <w:rsid w:val="00104D9B"/>
    <w:rsid w:val="00105028"/>
    <w:rsid w:val="00105C8E"/>
    <w:rsid w:val="00105CC8"/>
    <w:rsid w:val="00106006"/>
    <w:rsid w:val="001060E5"/>
    <w:rsid w:val="001062CD"/>
    <w:rsid w:val="00106312"/>
    <w:rsid w:val="00107388"/>
    <w:rsid w:val="00107609"/>
    <w:rsid w:val="00107958"/>
    <w:rsid w:val="001079A5"/>
    <w:rsid w:val="00107A0C"/>
    <w:rsid w:val="00107E3A"/>
    <w:rsid w:val="00107EE2"/>
    <w:rsid w:val="001101F7"/>
    <w:rsid w:val="00110650"/>
    <w:rsid w:val="001106DA"/>
    <w:rsid w:val="00110F2F"/>
    <w:rsid w:val="00112043"/>
    <w:rsid w:val="001129F3"/>
    <w:rsid w:val="00112E9E"/>
    <w:rsid w:val="00112FDA"/>
    <w:rsid w:val="00113277"/>
    <w:rsid w:val="0011355A"/>
    <w:rsid w:val="001138D3"/>
    <w:rsid w:val="00113DFF"/>
    <w:rsid w:val="00114656"/>
    <w:rsid w:val="00114DFB"/>
    <w:rsid w:val="0011535C"/>
    <w:rsid w:val="00115DA8"/>
    <w:rsid w:val="001169AE"/>
    <w:rsid w:val="00116A05"/>
    <w:rsid w:val="00116DC1"/>
    <w:rsid w:val="001172B5"/>
    <w:rsid w:val="001173A7"/>
    <w:rsid w:val="0011757D"/>
    <w:rsid w:val="001175E3"/>
    <w:rsid w:val="001176EC"/>
    <w:rsid w:val="00117A05"/>
    <w:rsid w:val="00117CB2"/>
    <w:rsid w:val="0012026F"/>
    <w:rsid w:val="0012032E"/>
    <w:rsid w:val="001203B2"/>
    <w:rsid w:val="00120880"/>
    <w:rsid w:val="00120B39"/>
    <w:rsid w:val="00120B8F"/>
    <w:rsid w:val="00120CC2"/>
    <w:rsid w:val="00120D10"/>
    <w:rsid w:val="00120DF9"/>
    <w:rsid w:val="0012110E"/>
    <w:rsid w:val="0012131E"/>
    <w:rsid w:val="001218D6"/>
    <w:rsid w:val="00121F18"/>
    <w:rsid w:val="00122222"/>
    <w:rsid w:val="001235C0"/>
    <w:rsid w:val="0012361C"/>
    <w:rsid w:val="0012370F"/>
    <w:rsid w:val="001238E5"/>
    <w:rsid w:val="001239CD"/>
    <w:rsid w:val="00123A2E"/>
    <w:rsid w:val="00123A49"/>
    <w:rsid w:val="00123E3B"/>
    <w:rsid w:val="00124071"/>
    <w:rsid w:val="00124683"/>
    <w:rsid w:val="00124A97"/>
    <w:rsid w:val="001253FB"/>
    <w:rsid w:val="001258D7"/>
    <w:rsid w:val="00125AD6"/>
    <w:rsid w:val="00125F0A"/>
    <w:rsid w:val="001266DB"/>
    <w:rsid w:val="001267D4"/>
    <w:rsid w:val="0012696F"/>
    <w:rsid w:val="00126AC8"/>
    <w:rsid w:val="00126D31"/>
    <w:rsid w:val="00126E93"/>
    <w:rsid w:val="00127062"/>
    <w:rsid w:val="00130146"/>
    <w:rsid w:val="001303B4"/>
    <w:rsid w:val="001305F8"/>
    <w:rsid w:val="0013064E"/>
    <w:rsid w:val="00130860"/>
    <w:rsid w:val="00130BA7"/>
    <w:rsid w:val="00130EA2"/>
    <w:rsid w:val="00130EA9"/>
    <w:rsid w:val="00131482"/>
    <w:rsid w:val="00131919"/>
    <w:rsid w:val="00131A17"/>
    <w:rsid w:val="00131F16"/>
    <w:rsid w:val="0013266A"/>
    <w:rsid w:val="0013269E"/>
    <w:rsid w:val="00134325"/>
    <w:rsid w:val="00134395"/>
    <w:rsid w:val="00135157"/>
    <w:rsid w:val="00135480"/>
    <w:rsid w:val="00135670"/>
    <w:rsid w:val="001358B2"/>
    <w:rsid w:val="00135972"/>
    <w:rsid w:val="001360FC"/>
    <w:rsid w:val="00136C22"/>
    <w:rsid w:val="00137B55"/>
    <w:rsid w:val="001400A9"/>
    <w:rsid w:val="0014036B"/>
    <w:rsid w:val="00140E72"/>
    <w:rsid w:val="001414CD"/>
    <w:rsid w:val="00142219"/>
    <w:rsid w:val="00142BD8"/>
    <w:rsid w:val="00142C15"/>
    <w:rsid w:val="00142CF7"/>
    <w:rsid w:val="00143267"/>
    <w:rsid w:val="0014360F"/>
    <w:rsid w:val="00143757"/>
    <w:rsid w:val="00143F09"/>
    <w:rsid w:val="0014400F"/>
    <w:rsid w:val="001447A0"/>
    <w:rsid w:val="0014497F"/>
    <w:rsid w:val="00144B83"/>
    <w:rsid w:val="00144F43"/>
    <w:rsid w:val="00145197"/>
    <w:rsid w:val="00145FF9"/>
    <w:rsid w:val="00146A23"/>
    <w:rsid w:val="00146DDD"/>
    <w:rsid w:val="00146E58"/>
    <w:rsid w:val="00146FB3"/>
    <w:rsid w:val="00147145"/>
    <w:rsid w:val="00147407"/>
    <w:rsid w:val="00147456"/>
    <w:rsid w:val="001476D4"/>
    <w:rsid w:val="00150096"/>
    <w:rsid w:val="00150106"/>
    <w:rsid w:val="00150583"/>
    <w:rsid w:val="001508E4"/>
    <w:rsid w:val="00150D50"/>
    <w:rsid w:val="00150D8D"/>
    <w:rsid w:val="00150E30"/>
    <w:rsid w:val="00151503"/>
    <w:rsid w:val="0015155C"/>
    <w:rsid w:val="001515A8"/>
    <w:rsid w:val="001519B6"/>
    <w:rsid w:val="00152532"/>
    <w:rsid w:val="001525E2"/>
    <w:rsid w:val="001526C2"/>
    <w:rsid w:val="0015284C"/>
    <w:rsid w:val="00152DFB"/>
    <w:rsid w:val="0015380A"/>
    <w:rsid w:val="001542D1"/>
    <w:rsid w:val="00154C08"/>
    <w:rsid w:val="00154CB6"/>
    <w:rsid w:val="00154EB4"/>
    <w:rsid w:val="0015566F"/>
    <w:rsid w:val="00155FCB"/>
    <w:rsid w:val="00156329"/>
    <w:rsid w:val="001566FC"/>
    <w:rsid w:val="00157F0B"/>
    <w:rsid w:val="00157F1C"/>
    <w:rsid w:val="00157FB2"/>
    <w:rsid w:val="00160152"/>
    <w:rsid w:val="00160FB6"/>
    <w:rsid w:val="001611EF"/>
    <w:rsid w:val="0016216C"/>
    <w:rsid w:val="00162782"/>
    <w:rsid w:val="001628FE"/>
    <w:rsid w:val="00162BAB"/>
    <w:rsid w:val="00162EAE"/>
    <w:rsid w:val="00162F5C"/>
    <w:rsid w:val="001630EB"/>
    <w:rsid w:val="0016314D"/>
    <w:rsid w:val="00163859"/>
    <w:rsid w:val="00163B25"/>
    <w:rsid w:val="00163D79"/>
    <w:rsid w:val="001641FF"/>
    <w:rsid w:val="00164520"/>
    <w:rsid w:val="00164D32"/>
    <w:rsid w:val="00164DA4"/>
    <w:rsid w:val="00166298"/>
    <w:rsid w:val="001663C8"/>
    <w:rsid w:val="0016653A"/>
    <w:rsid w:val="00166A04"/>
    <w:rsid w:val="00166B35"/>
    <w:rsid w:val="00166ED2"/>
    <w:rsid w:val="00166F83"/>
    <w:rsid w:val="001678D9"/>
    <w:rsid w:val="00167D77"/>
    <w:rsid w:val="001707D7"/>
    <w:rsid w:val="00170C58"/>
    <w:rsid w:val="00170FB3"/>
    <w:rsid w:val="00171199"/>
    <w:rsid w:val="00171CF5"/>
    <w:rsid w:val="00172060"/>
    <w:rsid w:val="00172188"/>
    <w:rsid w:val="001728FC"/>
    <w:rsid w:val="00172A96"/>
    <w:rsid w:val="00172AB2"/>
    <w:rsid w:val="00172E6F"/>
    <w:rsid w:val="00172F06"/>
    <w:rsid w:val="00174D3D"/>
    <w:rsid w:val="00174E3F"/>
    <w:rsid w:val="001751D7"/>
    <w:rsid w:val="001755D8"/>
    <w:rsid w:val="00175729"/>
    <w:rsid w:val="00176031"/>
    <w:rsid w:val="0017682B"/>
    <w:rsid w:val="00176D82"/>
    <w:rsid w:val="00176DB6"/>
    <w:rsid w:val="001770B0"/>
    <w:rsid w:val="00177202"/>
    <w:rsid w:val="00177F78"/>
    <w:rsid w:val="00180601"/>
    <w:rsid w:val="00181222"/>
    <w:rsid w:val="00182478"/>
    <w:rsid w:val="00182607"/>
    <w:rsid w:val="0018274A"/>
    <w:rsid w:val="001831AC"/>
    <w:rsid w:val="001839F1"/>
    <w:rsid w:val="00184326"/>
    <w:rsid w:val="0018480F"/>
    <w:rsid w:val="00184D47"/>
    <w:rsid w:val="00184FEC"/>
    <w:rsid w:val="00185167"/>
    <w:rsid w:val="0018518D"/>
    <w:rsid w:val="001855CA"/>
    <w:rsid w:val="00185739"/>
    <w:rsid w:val="001857B0"/>
    <w:rsid w:val="0018583E"/>
    <w:rsid w:val="00185AFF"/>
    <w:rsid w:val="00185B0D"/>
    <w:rsid w:val="00185F18"/>
    <w:rsid w:val="00185F46"/>
    <w:rsid w:val="00186574"/>
    <w:rsid w:val="00186A97"/>
    <w:rsid w:val="00186D7E"/>
    <w:rsid w:val="00187930"/>
    <w:rsid w:val="0019020C"/>
    <w:rsid w:val="001906B1"/>
    <w:rsid w:val="00190992"/>
    <w:rsid w:val="00190A1D"/>
    <w:rsid w:val="00190D94"/>
    <w:rsid w:val="001910A4"/>
    <w:rsid w:val="001911B3"/>
    <w:rsid w:val="00191763"/>
    <w:rsid w:val="0019182E"/>
    <w:rsid w:val="001919F3"/>
    <w:rsid w:val="00191A20"/>
    <w:rsid w:val="00191DF3"/>
    <w:rsid w:val="00192002"/>
    <w:rsid w:val="0019221B"/>
    <w:rsid w:val="00192942"/>
    <w:rsid w:val="00192DF3"/>
    <w:rsid w:val="00192FCD"/>
    <w:rsid w:val="00193867"/>
    <w:rsid w:val="00194077"/>
    <w:rsid w:val="001944F6"/>
    <w:rsid w:val="00194940"/>
    <w:rsid w:val="00194B66"/>
    <w:rsid w:val="00194E02"/>
    <w:rsid w:val="00195016"/>
    <w:rsid w:val="0019530E"/>
    <w:rsid w:val="00195C58"/>
    <w:rsid w:val="00195F2E"/>
    <w:rsid w:val="00196369"/>
    <w:rsid w:val="001A004E"/>
    <w:rsid w:val="001A0B18"/>
    <w:rsid w:val="001A1400"/>
    <w:rsid w:val="001A1946"/>
    <w:rsid w:val="001A2355"/>
    <w:rsid w:val="001A24F6"/>
    <w:rsid w:val="001A280F"/>
    <w:rsid w:val="001A2BE9"/>
    <w:rsid w:val="001A2D0F"/>
    <w:rsid w:val="001A49E2"/>
    <w:rsid w:val="001A512B"/>
    <w:rsid w:val="001A5404"/>
    <w:rsid w:val="001A597D"/>
    <w:rsid w:val="001A5A0E"/>
    <w:rsid w:val="001A60FA"/>
    <w:rsid w:val="001A6111"/>
    <w:rsid w:val="001A732F"/>
    <w:rsid w:val="001A766C"/>
    <w:rsid w:val="001A76C4"/>
    <w:rsid w:val="001A7EFE"/>
    <w:rsid w:val="001B0145"/>
    <w:rsid w:val="001B05EC"/>
    <w:rsid w:val="001B0773"/>
    <w:rsid w:val="001B0C7B"/>
    <w:rsid w:val="001B1151"/>
    <w:rsid w:val="001B1188"/>
    <w:rsid w:val="001B1350"/>
    <w:rsid w:val="001B187D"/>
    <w:rsid w:val="001B18A7"/>
    <w:rsid w:val="001B1D75"/>
    <w:rsid w:val="001B1DB4"/>
    <w:rsid w:val="001B2603"/>
    <w:rsid w:val="001B35D7"/>
    <w:rsid w:val="001B5865"/>
    <w:rsid w:val="001B59F0"/>
    <w:rsid w:val="001B6382"/>
    <w:rsid w:val="001B66A7"/>
    <w:rsid w:val="001B6CCD"/>
    <w:rsid w:val="001B7907"/>
    <w:rsid w:val="001B7A3F"/>
    <w:rsid w:val="001C0809"/>
    <w:rsid w:val="001C0E78"/>
    <w:rsid w:val="001C1183"/>
    <w:rsid w:val="001C18BA"/>
    <w:rsid w:val="001C1F06"/>
    <w:rsid w:val="001C26DD"/>
    <w:rsid w:val="001C27BF"/>
    <w:rsid w:val="001C2B92"/>
    <w:rsid w:val="001C4117"/>
    <w:rsid w:val="001C42C0"/>
    <w:rsid w:val="001C492F"/>
    <w:rsid w:val="001C4978"/>
    <w:rsid w:val="001C4B6C"/>
    <w:rsid w:val="001C5F74"/>
    <w:rsid w:val="001C61F9"/>
    <w:rsid w:val="001C6814"/>
    <w:rsid w:val="001C73CD"/>
    <w:rsid w:val="001C759D"/>
    <w:rsid w:val="001C7AAE"/>
    <w:rsid w:val="001D00F5"/>
    <w:rsid w:val="001D05A7"/>
    <w:rsid w:val="001D0EA8"/>
    <w:rsid w:val="001D0ED2"/>
    <w:rsid w:val="001D1628"/>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D7E3B"/>
    <w:rsid w:val="001E0B61"/>
    <w:rsid w:val="001E1276"/>
    <w:rsid w:val="001E1610"/>
    <w:rsid w:val="001E1FD6"/>
    <w:rsid w:val="001E2949"/>
    <w:rsid w:val="001E2972"/>
    <w:rsid w:val="001E2BBC"/>
    <w:rsid w:val="001E35F5"/>
    <w:rsid w:val="001E3F37"/>
    <w:rsid w:val="001E4ED4"/>
    <w:rsid w:val="001E5807"/>
    <w:rsid w:val="001E58E2"/>
    <w:rsid w:val="001E60EE"/>
    <w:rsid w:val="001E662B"/>
    <w:rsid w:val="001E6ACA"/>
    <w:rsid w:val="001E7091"/>
    <w:rsid w:val="001F0025"/>
    <w:rsid w:val="001F0509"/>
    <w:rsid w:val="001F2069"/>
    <w:rsid w:val="001F22E8"/>
    <w:rsid w:val="001F23B1"/>
    <w:rsid w:val="001F2669"/>
    <w:rsid w:val="001F2686"/>
    <w:rsid w:val="001F285E"/>
    <w:rsid w:val="001F28C4"/>
    <w:rsid w:val="001F2CDC"/>
    <w:rsid w:val="001F2D64"/>
    <w:rsid w:val="001F3B32"/>
    <w:rsid w:val="001F42E4"/>
    <w:rsid w:val="001F43EB"/>
    <w:rsid w:val="001F4A45"/>
    <w:rsid w:val="001F4BCA"/>
    <w:rsid w:val="001F4CEE"/>
    <w:rsid w:val="001F4FA1"/>
    <w:rsid w:val="001F4FC9"/>
    <w:rsid w:val="001F55B4"/>
    <w:rsid w:val="001F5939"/>
    <w:rsid w:val="001F5ADE"/>
    <w:rsid w:val="001F62E7"/>
    <w:rsid w:val="001F63EB"/>
    <w:rsid w:val="001F67C2"/>
    <w:rsid w:val="001F6938"/>
    <w:rsid w:val="001F6A60"/>
    <w:rsid w:val="001F7250"/>
    <w:rsid w:val="001F737E"/>
    <w:rsid w:val="001F75FF"/>
    <w:rsid w:val="001F7909"/>
    <w:rsid w:val="001F7D83"/>
    <w:rsid w:val="0020117C"/>
    <w:rsid w:val="00201B9B"/>
    <w:rsid w:val="00202524"/>
    <w:rsid w:val="00202A4F"/>
    <w:rsid w:val="00202A57"/>
    <w:rsid w:val="00202AA8"/>
    <w:rsid w:val="00202B57"/>
    <w:rsid w:val="00203025"/>
    <w:rsid w:val="00203A6A"/>
    <w:rsid w:val="00203F94"/>
    <w:rsid w:val="002043EC"/>
    <w:rsid w:val="0020442F"/>
    <w:rsid w:val="00205386"/>
    <w:rsid w:val="0020580B"/>
    <w:rsid w:val="0020644D"/>
    <w:rsid w:val="00206592"/>
    <w:rsid w:val="0020688A"/>
    <w:rsid w:val="00207DDB"/>
    <w:rsid w:val="00207DDC"/>
    <w:rsid w:val="002105C5"/>
    <w:rsid w:val="00210736"/>
    <w:rsid w:val="0021077B"/>
    <w:rsid w:val="002108C7"/>
    <w:rsid w:val="00210E85"/>
    <w:rsid w:val="00210F81"/>
    <w:rsid w:val="00211622"/>
    <w:rsid w:val="00211AE4"/>
    <w:rsid w:val="00212080"/>
    <w:rsid w:val="00212364"/>
    <w:rsid w:val="002124F1"/>
    <w:rsid w:val="002137B2"/>
    <w:rsid w:val="002143F8"/>
    <w:rsid w:val="00214B3E"/>
    <w:rsid w:val="00214DC8"/>
    <w:rsid w:val="00214E5F"/>
    <w:rsid w:val="002150F5"/>
    <w:rsid w:val="00215497"/>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7D1"/>
    <w:rsid w:val="00221BF0"/>
    <w:rsid w:val="00221F1A"/>
    <w:rsid w:val="0022202F"/>
    <w:rsid w:val="00223BE6"/>
    <w:rsid w:val="00223CD5"/>
    <w:rsid w:val="002240B1"/>
    <w:rsid w:val="00225AE5"/>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153A"/>
    <w:rsid w:val="0023289B"/>
    <w:rsid w:val="00232E6B"/>
    <w:rsid w:val="00233488"/>
    <w:rsid w:val="0023417F"/>
    <w:rsid w:val="00234B16"/>
    <w:rsid w:val="0023574B"/>
    <w:rsid w:val="00235F21"/>
    <w:rsid w:val="00236209"/>
    <w:rsid w:val="00236806"/>
    <w:rsid w:val="00236B20"/>
    <w:rsid w:val="00236BAC"/>
    <w:rsid w:val="002370F5"/>
    <w:rsid w:val="00237B46"/>
    <w:rsid w:val="00237E48"/>
    <w:rsid w:val="0024007E"/>
    <w:rsid w:val="0024088A"/>
    <w:rsid w:val="00240ACA"/>
    <w:rsid w:val="00240BF7"/>
    <w:rsid w:val="00240D7B"/>
    <w:rsid w:val="00241299"/>
    <w:rsid w:val="002426DC"/>
    <w:rsid w:val="00242B89"/>
    <w:rsid w:val="00242C42"/>
    <w:rsid w:val="00243162"/>
    <w:rsid w:val="00243350"/>
    <w:rsid w:val="00243474"/>
    <w:rsid w:val="002434EB"/>
    <w:rsid w:val="0024399A"/>
    <w:rsid w:val="00243EFA"/>
    <w:rsid w:val="00243F39"/>
    <w:rsid w:val="00244EBA"/>
    <w:rsid w:val="00245E13"/>
    <w:rsid w:val="00246005"/>
    <w:rsid w:val="00246C59"/>
    <w:rsid w:val="00246C9A"/>
    <w:rsid w:val="002471BD"/>
    <w:rsid w:val="00247A24"/>
    <w:rsid w:val="00247F35"/>
    <w:rsid w:val="00250623"/>
    <w:rsid w:val="0025071A"/>
    <w:rsid w:val="00251355"/>
    <w:rsid w:val="00251481"/>
    <w:rsid w:val="0025166B"/>
    <w:rsid w:val="00251918"/>
    <w:rsid w:val="0025232A"/>
    <w:rsid w:val="002524EF"/>
    <w:rsid w:val="00252D75"/>
    <w:rsid w:val="00252D7F"/>
    <w:rsid w:val="00252FCA"/>
    <w:rsid w:val="002531BC"/>
    <w:rsid w:val="0025387C"/>
    <w:rsid w:val="00253BF7"/>
    <w:rsid w:val="00253FB9"/>
    <w:rsid w:val="00254995"/>
    <w:rsid w:val="00254B97"/>
    <w:rsid w:val="0025517F"/>
    <w:rsid w:val="00255462"/>
    <w:rsid w:val="0025568D"/>
    <w:rsid w:val="00256233"/>
    <w:rsid w:val="002562F1"/>
    <w:rsid w:val="00256A8F"/>
    <w:rsid w:val="00256BA9"/>
    <w:rsid w:val="00257D32"/>
    <w:rsid w:val="00260044"/>
    <w:rsid w:val="00260613"/>
    <w:rsid w:val="00260957"/>
    <w:rsid w:val="00261032"/>
    <w:rsid w:val="00262D9F"/>
    <w:rsid w:val="002630E2"/>
    <w:rsid w:val="00263801"/>
    <w:rsid w:val="00263926"/>
    <w:rsid w:val="002643F9"/>
    <w:rsid w:val="00264646"/>
    <w:rsid w:val="00264E86"/>
    <w:rsid w:val="002653F0"/>
    <w:rsid w:val="00265506"/>
    <w:rsid w:val="00265A22"/>
    <w:rsid w:val="00265AE4"/>
    <w:rsid w:val="00266444"/>
    <w:rsid w:val="00266D46"/>
    <w:rsid w:val="00266DDD"/>
    <w:rsid w:val="00267188"/>
    <w:rsid w:val="002671A2"/>
    <w:rsid w:val="0026760A"/>
    <w:rsid w:val="00267B63"/>
    <w:rsid w:val="00267F1F"/>
    <w:rsid w:val="002702FC"/>
    <w:rsid w:val="0027060B"/>
    <w:rsid w:val="00270683"/>
    <w:rsid w:val="00270DFB"/>
    <w:rsid w:val="00271BBD"/>
    <w:rsid w:val="00271FC3"/>
    <w:rsid w:val="0027232D"/>
    <w:rsid w:val="002723A1"/>
    <w:rsid w:val="002726A4"/>
    <w:rsid w:val="00272746"/>
    <w:rsid w:val="0027292C"/>
    <w:rsid w:val="00272BA5"/>
    <w:rsid w:val="00272D1F"/>
    <w:rsid w:val="00272E9D"/>
    <w:rsid w:val="00272F5D"/>
    <w:rsid w:val="0027308C"/>
    <w:rsid w:val="00273379"/>
    <w:rsid w:val="002736CD"/>
    <w:rsid w:val="00274137"/>
    <w:rsid w:val="002747C1"/>
    <w:rsid w:val="00274D0F"/>
    <w:rsid w:val="00275037"/>
    <w:rsid w:val="002753DC"/>
    <w:rsid w:val="00275489"/>
    <w:rsid w:val="002766CE"/>
    <w:rsid w:val="002773F9"/>
    <w:rsid w:val="0027740F"/>
    <w:rsid w:val="00277500"/>
    <w:rsid w:val="0027788B"/>
    <w:rsid w:val="00277BF4"/>
    <w:rsid w:val="00277D6D"/>
    <w:rsid w:val="00277ECA"/>
    <w:rsid w:val="00280750"/>
    <w:rsid w:val="00280A0D"/>
    <w:rsid w:val="00280A4A"/>
    <w:rsid w:val="0028125E"/>
    <w:rsid w:val="00281290"/>
    <w:rsid w:val="002818FA"/>
    <w:rsid w:val="00281A22"/>
    <w:rsid w:val="00281A5F"/>
    <w:rsid w:val="00281B12"/>
    <w:rsid w:val="00282529"/>
    <w:rsid w:val="00283539"/>
    <w:rsid w:val="002842A8"/>
    <w:rsid w:val="002842CC"/>
    <w:rsid w:val="00284719"/>
    <w:rsid w:val="002847B0"/>
    <w:rsid w:val="002847E8"/>
    <w:rsid w:val="00284E86"/>
    <w:rsid w:val="0028500A"/>
    <w:rsid w:val="00285073"/>
    <w:rsid w:val="00285437"/>
    <w:rsid w:val="002859FB"/>
    <w:rsid w:val="00285A8E"/>
    <w:rsid w:val="00285C26"/>
    <w:rsid w:val="0028602D"/>
    <w:rsid w:val="00286ECC"/>
    <w:rsid w:val="0028701F"/>
    <w:rsid w:val="002872B6"/>
    <w:rsid w:val="002873E6"/>
    <w:rsid w:val="00287681"/>
    <w:rsid w:val="00287EF7"/>
    <w:rsid w:val="002909DC"/>
    <w:rsid w:val="002911F0"/>
    <w:rsid w:val="00291F2F"/>
    <w:rsid w:val="00291F68"/>
    <w:rsid w:val="0029235E"/>
    <w:rsid w:val="00292647"/>
    <w:rsid w:val="00292927"/>
    <w:rsid w:val="00292F23"/>
    <w:rsid w:val="00294181"/>
    <w:rsid w:val="0029438E"/>
    <w:rsid w:val="002946AB"/>
    <w:rsid w:val="002946B2"/>
    <w:rsid w:val="00294BD5"/>
    <w:rsid w:val="00295380"/>
    <w:rsid w:val="00295410"/>
    <w:rsid w:val="00295606"/>
    <w:rsid w:val="00295ACB"/>
    <w:rsid w:val="002963FF"/>
    <w:rsid w:val="002965D5"/>
    <w:rsid w:val="0029672A"/>
    <w:rsid w:val="00296998"/>
    <w:rsid w:val="002970F1"/>
    <w:rsid w:val="00297B94"/>
    <w:rsid w:val="002A0493"/>
    <w:rsid w:val="002A060A"/>
    <w:rsid w:val="002A0783"/>
    <w:rsid w:val="002A0915"/>
    <w:rsid w:val="002A0CBA"/>
    <w:rsid w:val="002A0D42"/>
    <w:rsid w:val="002A1164"/>
    <w:rsid w:val="002A2664"/>
    <w:rsid w:val="002A2BEB"/>
    <w:rsid w:val="002A2D29"/>
    <w:rsid w:val="002A2DD6"/>
    <w:rsid w:val="002A4450"/>
    <w:rsid w:val="002A522A"/>
    <w:rsid w:val="002A5255"/>
    <w:rsid w:val="002A5EB0"/>
    <w:rsid w:val="002A60F1"/>
    <w:rsid w:val="002A635B"/>
    <w:rsid w:val="002A6750"/>
    <w:rsid w:val="002A75D0"/>
    <w:rsid w:val="002A7BAF"/>
    <w:rsid w:val="002B00D6"/>
    <w:rsid w:val="002B044E"/>
    <w:rsid w:val="002B08C6"/>
    <w:rsid w:val="002B0BDF"/>
    <w:rsid w:val="002B13F6"/>
    <w:rsid w:val="002B18F9"/>
    <w:rsid w:val="002B1D31"/>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57C"/>
    <w:rsid w:val="002B7882"/>
    <w:rsid w:val="002B78DA"/>
    <w:rsid w:val="002C0429"/>
    <w:rsid w:val="002C04FC"/>
    <w:rsid w:val="002C06A7"/>
    <w:rsid w:val="002C0EE9"/>
    <w:rsid w:val="002C16BE"/>
    <w:rsid w:val="002C19E4"/>
    <w:rsid w:val="002C1CCB"/>
    <w:rsid w:val="002C1D3D"/>
    <w:rsid w:val="002C232D"/>
    <w:rsid w:val="002C257A"/>
    <w:rsid w:val="002C26C6"/>
    <w:rsid w:val="002C27FE"/>
    <w:rsid w:val="002C30C7"/>
    <w:rsid w:val="002C3676"/>
    <w:rsid w:val="002C3714"/>
    <w:rsid w:val="002C3C03"/>
    <w:rsid w:val="002C3E84"/>
    <w:rsid w:val="002C44E1"/>
    <w:rsid w:val="002C4A1B"/>
    <w:rsid w:val="002C4F72"/>
    <w:rsid w:val="002C5256"/>
    <w:rsid w:val="002C6CC4"/>
    <w:rsid w:val="002C6EF5"/>
    <w:rsid w:val="002C7166"/>
    <w:rsid w:val="002C71DF"/>
    <w:rsid w:val="002C7368"/>
    <w:rsid w:val="002C7542"/>
    <w:rsid w:val="002C79B8"/>
    <w:rsid w:val="002D0BDA"/>
    <w:rsid w:val="002D13C4"/>
    <w:rsid w:val="002D141E"/>
    <w:rsid w:val="002D1791"/>
    <w:rsid w:val="002D2678"/>
    <w:rsid w:val="002D275E"/>
    <w:rsid w:val="002D29D8"/>
    <w:rsid w:val="002D2A1D"/>
    <w:rsid w:val="002D2C16"/>
    <w:rsid w:val="002D313F"/>
    <w:rsid w:val="002D32A2"/>
    <w:rsid w:val="002D402C"/>
    <w:rsid w:val="002D41FE"/>
    <w:rsid w:val="002D4396"/>
    <w:rsid w:val="002D4559"/>
    <w:rsid w:val="002D48DA"/>
    <w:rsid w:val="002D4DA3"/>
    <w:rsid w:val="002D5320"/>
    <w:rsid w:val="002D5452"/>
    <w:rsid w:val="002D5AFD"/>
    <w:rsid w:val="002D6357"/>
    <w:rsid w:val="002D65B8"/>
    <w:rsid w:val="002D6683"/>
    <w:rsid w:val="002D6997"/>
    <w:rsid w:val="002D69E2"/>
    <w:rsid w:val="002D6AB7"/>
    <w:rsid w:val="002D743D"/>
    <w:rsid w:val="002D7514"/>
    <w:rsid w:val="002D7584"/>
    <w:rsid w:val="002D7A10"/>
    <w:rsid w:val="002E01A0"/>
    <w:rsid w:val="002E039A"/>
    <w:rsid w:val="002E0697"/>
    <w:rsid w:val="002E07F1"/>
    <w:rsid w:val="002E0A68"/>
    <w:rsid w:val="002E0FA9"/>
    <w:rsid w:val="002E1C89"/>
    <w:rsid w:val="002E2CCD"/>
    <w:rsid w:val="002E2F2E"/>
    <w:rsid w:val="002E3026"/>
    <w:rsid w:val="002E3731"/>
    <w:rsid w:val="002E3A8B"/>
    <w:rsid w:val="002E3C21"/>
    <w:rsid w:val="002E3F06"/>
    <w:rsid w:val="002E4266"/>
    <w:rsid w:val="002E4A4B"/>
    <w:rsid w:val="002E4B04"/>
    <w:rsid w:val="002E5839"/>
    <w:rsid w:val="002E5E87"/>
    <w:rsid w:val="002E6295"/>
    <w:rsid w:val="002E643A"/>
    <w:rsid w:val="002E64A9"/>
    <w:rsid w:val="002E66A1"/>
    <w:rsid w:val="002E6FFA"/>
    <w:rsid w:val="002E765B"/>
    <w:rsid w:val="002E7741"/>
    <w:rsid w:val="002E7BAB"/>
    <w:rsid w:val="002E7F8F"/>
    <w:rsid w:val="002F053D"/>
    <w:rsid w:val="002F112F"/>
    <w:rsid w:val="002F1909"/>
    <w:rsid w:val="002F1A77"/>
    <w:rsid w:val="002F1D8A"/>
    <w:rsid w:val="002F1E53"/>
    <w:rsid w:val="002F24F7"/>
    <w:rsid w:val="002F25AE"/>
    <w:rsid w:val="002F2733"/>
    <w:rsid w:val="002F2BB0"/>
    <w:rsid w:val="002F2D9C"/>
    <w:rsid w:val="002F33EB"/>
    <w:rsid w:val="002F37D3"/>
    <w:rsid w:val="002F3BBC"/>
    <w:rsid w:val="002F3F04"/>
    <w:rsid w:val="002F41BA"/>
    <w:rsid w:val="002F49DD"/>
    <w:rsid w:val="002F4D3A"/>
    <w:rsid w:val="002F5E86"/>
    <w:rsid w:val="002F662D"/>
    <w:rsid w:val="002F6BAA"/>
    <w:rsid w:val="002F7228"/>
    <w:rsid w:val="002F7249"/>
    <w:rsid w:val="002F750E"/>
    <w:rsid w:val="00300137"/>
    <w:rsid w:val="0030019C"/>
    <w:rsid w:val="00300AD2"/>
    <w:rsid w:val="00300C2E"/>
    <w:rsid w:val="00300FDA"/>
    <w:rsid w:val="003010FC"/>
    <w:rsid w:val="003018AA"/>
    <w:rsid w:val="00301F74"/>
    <w:rsid w:val="003030BC"/>
    <w:rsid w:val="00303885"/>
    <w:rsid w:val="00303B99"/>
    <w:rsid w:val="00303D6C"/>
    <w:rsid w:val="003064E1"/>
    <w:rsid w:val="0030682C"/>
    <w:rsid w:val="00306D1F"/>
    <w:rsid w:val="0030714F"/>
    <w:rsid w:val="003071E0"/>
    <w:rsid w:val="003073E2"/>
    <w:rsid w:val="00307549"/>
    <w:rsid w:val="00307725"/>
    <w:rsid w:val="00307A38"/>
    <w:rsid w:val="00307DDF"/>
    <w:rsid w:val="00310F4C"/>
    <w:rsid w:val="00311359"/>
    <w:rsid w:val="003114C6"/>
    <w:rsid w:val="0031198A"/>
    <w:rsid w:val="00311AE6"/>
    <w:rsid w:val="00311F63"/>
    <w:rsid w:val="00312B14"/>
    <w:rsid w:val="003134B2"/>
    <w:rsid w:val="00313706"/>
    <w:rsid w:val="00314A43"/>
    <w:rsid w:val="00315102"/>
    <w:rsid w:val="0031520C"/>
    <w:rsid w:val="00315694"/>
    <w:rsid w:val="00315A0E"/>
    <w:rsid w:val="00315EE8"/>
    <w:rsid w:val="00316699"/>
    <w:rsid w:val="00316963"/>
    <w:rsid w:val="003169F2"/>
    <w:rsid w:val="003172C2"/>
    <w:rsid w:val="00317695"/>
    <w:rsid w:val="00320FE4"/>
    <w:rsid w:val="00321083"/>
    <w:rsid w:val="003216D1"/>
    <w:rsid w:val="00321DA9"/>
    <w:rsid w:val="00322040"/>
    <w:rsid w:val="003224FC"/>
    <w:rsid w:val="00322AF6"/>
    <w:rsid w:val="00323BAB"/>
    <w:rsid w:val="00323E56"/>
    <w:rsid w:val="003240B8"/>
    <w:rsid w:val="0032413F"/>
    <w:rsid w:val="00324681"/>
    <w:rsid w:val="003250AE"/>
    <w:rsid w:val="00325422"/>
    <w:rsid w:val="003268C2"/>
    <w:rsid w:val="003274BA"/>
    <w:rsid w:val="00327B64"/>
    <w:rsid w:val="00330980"/>
    <w:rsid w:val="00330A16"/>
    <w:rsid w:val="003316AB"/>
    <w:rsid w:val="0033170A"/>
    <w:rsid w:val="00331EA4"/>
    <w:rsid w:val="00331EB6"/>
    <w:rsid w:val="003324FA"/>
    <w:rsid w:val="0033254C"/>
    <w:rsid w:val="00333110"/>
    <w:rsid w:val="003332D4"/>
    <w:rsid w:val="00333A25"/>
    <w:rsid w:val="00333FDA"/>
    <w:rsid w:val="003340DE"/>
    <w:rsid w:val="00334417"/>
    <w:rsid w:val="00334887"/>
    <w:rsid w:val="00334EC2"/>
    <w:rsid w:val="00334F48"/>
    <w:rsid w:val="003353B5"/>
    <w:rsid w:val="00335804"/>
    <w:rsid w:val="0033584A"/>
    <w:rsid w:val="0033591F"/>
    <w:rsid w:val="00335BE9"/>
    <w:rsid w:val="00335DEC"/>
    <w:rsid w:val="0033657E"/>
    <w:rsid w:val="003366F2"/>
    <w:rsid w:val="00336F0E"/>
    <w:rsid w:val="0033732D"/>
    <w:rsid w:val="00337BA8"/>
    <w:rsid w:val="00337CF7"/>
    <w:rsid w:val="00340D19"/>
    <w:rsid w:val="00340F68"/>
    <w:rsid w:val="0034168D"/>
    <w:rsid w:val="0034196F"/>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C47"/>
    <w:rsid w:val="00346C74"/>
    <w:rsid w:val="003473C2"/>
    <w:rsid w:val="00347863"/>
    <w:rsid w:val="003479FD"/>
    <w:rsid w:val="00347A1F"/>
    <w:rsid w:val="0035036A"/>
    <w:rsid w:val="003508D7"/>
    <w:rsid w:val="003510FF"/>
    <w:rsid w:val="003518C8"/>
    <w:rsid w:val="00351A51"/>
    <w:rsid w:val="00352135"/>
    <w:rsid w:val="00352BC7"/>
    <w:rsid w:val="0035338B"/>
    <w:rsid w:val="003533B5"/>
    <w:rsid w:val="00353CE3"/>
    <w:rsid w:val="003542D3"/>
    <w:rsid w:val="003548A6"/>
    <w:rsid w:val="00354B2F"/>
    <w:rsid w:val="00356024"/>
    <w:rsid w:val="00356155"/>
    <w:rsid w:val="003561D9"/>
    <w:rsid w:val="003566BA"/>
    <w:rsid w:val="003568D9"/>
    <w:rsid w:val="0035728C"/>
    <w:rsid w:val="00357D00"/>
    <w:rsid w:val="0036035C"/>
    <w:rsid w:val="00360426"/>
    <w:rsid w:val="0036063F"/>
    <w:rsid w:val="00360B65"/>
    <w:rsid w:val="00360C62"/>
    <w:rsid w:val="00361146"/>
    <w:rsid w:val="00361619"/>
    <w:rsid w:val="00361637"/>
    <w:rsid w:val="00361F8D"/>
    <w:rsid w:val="003622CA"/>
    <w:rsid w:val="003628B9"/>
    <w:rsid w:val="003628E7"/>
    <w:rsid w:val="003629F0"/>
    <w:rsid w:val="00363030"/>
    <w:rsid w:val="00363FF4"/>
    <w:rsid w:val="00364563"/>
    <w:rsid w:val="0036462C"/>
    <w:rsid w:val="00364A42"/>
    <w:rsid w:val="00364CC8"/>
    <w:rsid w:val="003653A1"/>
    <w:rsid w:val="0036588C"/>
    <w:rsid w:val="00365E02"/>
    <w:rsid w:val="00366018"/>
    <w:rsid w:val="00366549"/>
    <w:rsid w:val="00366747"/>
    <w:rsid w:val="003667FD"/>
    <w:rsid w:val="003669D1"/>
    <w:rsid w:val="00366E0E"/>
    <w:rsid w:val="003674CA"/>
    <w:rsid w:val="0036754F"/>
    <w:rsid w:val="00367FFC"/>
    <w:rsid w:val="003702A2"/>
    <w:rsid w:val="0037077D"/>
    <w:rsid w:val="0037081A"/>
    <w:rsid w:val="00370A42"/>
    <w:rsid w:val="00370F10"/>
    <w:rsid w:val="00371750"/>
    <w:rsid w:val="00371999"/>
    <w:rsid w:val="00371A4B"/>
    <w:rsid w:val="00372D90"/>
    <w:rsid w:val="003732C1"/>
    <w:rsid w:val="0037352F"/>
    <w:rsid w:val="00373B32"/>
    <w:rsid w:val="00374099"/>
    <w:rsid w:val="003743C4"/>
    <w:rsid w:val="00374C5B"/>
    <w:rsid w:val="00374F23"/>
    <w:rsid w:val="0037525E"/>
    <w:rsid w:val="003752D2"/>
    <w:rsid w:val="003755FB"/>
    <w:rsid w:val="0037577C"/>
    <w:rsid w:val="00375E2F"/>
    <w:rsid w:val="0037601F"/>
    <w:rsid w:val="0037608C"/>
    <w:rsid w:val="003760AD"/>
    <w:rsid w:val="003766A1"/>
    <w:rsid w:val="003767B2"/>
    <w:rsid w:val="0037682D"/>
    <w:rsid w:val="00376D53"/>
    <w:rsid w:val="00376F22"/>
    <w:rsid w:val="00377862"/>
    <w:rsid w:val="003778B6"/>
    <w:rsid w:val="003810DD"/>
    <w:rsid w:val="00381421"/>
    <w:rsid w:val="0038188D"/>
    <w:rsid w:val="00381CD7"/>
    <w:rsid w:val="00381FEF"/>
    <w:rsid w:val="0038284B"/>
    <w:rsid w:val="00382B40"/>
    <w:rsid w:val="003832D4"/>
    <w:rsid w:val="00383A97"/>
    <w:rsid w:val="003841E8"/>
    <w:rsid w:val="003848D5"/>
    <w:rsid w:val="00384AEA"/>
    <w:rsid w:val="00384C48"/>
    <w:rsid w:val="00384F64"/>
    <w:rsid w:val="00385502"/>
    <w:rsid w:val="00385526"/>
    <w:rsid w:val="003857E9"/>
    <w:rsid w:val="0038623A"/>
    <w:rsid w:val="003863E7"/>
    <w:rsid w:val="0038652E"/>
    <w:rsid w:val="003866CA"/>
    <w:rsid w:val="00386D03"/>
    <w:rsid w:val="003878C9"/>
    <w:rsid w:val="00387D63"/>
    <w:rsid w:val="003904F7"/>
    <w:rsid w:val="0039085E"/>
    <w:rsid w:val="00390A62"/>
    <w:rsid w:val="003913A2"/>
    <w:rsid w:val="003915CB"/>
    <w:rsid w:val="0039177C"/>
    <w:rsid w:val="00391A43"/>
    <w:rsid w:val="00391CAA"/>
    <w:rsid w:val="00392734"/>
    <w:rsid w:val="003927B4"/>
    <w:rsid w:val="00393123"/>
    <w:rsid w:val="003933D9"/>
    <w:rsid w:val="003944E5"/>
    <w:rsid w:val="00394793"/>
    <w:rsid w:val="00394A04"/>
    <w:rsid w:val="00394B15"/>
    <w:rsid w:val="00394DAC"/>
    <w:rsid w:val="00394FFE"/>
    <w:rsid w:val="003956DF"/>
    <w:rsid w:val="003958EB"/>
    <w:rsid w:val="00395B3E"/>
    <w:rsid w:val="00396375"/>
    <w:rsid w:val="00396541"/>
    <w:rsid w:val="0039683F"/>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B84"/>
    <w:rsid w:val="003A3D1C"/>
    <w:rsid w:val="003A42CF"/>
    <w:rsid w:val="003A4B15"/>
    <w:rsid w:val="003A4E6C"/>
    <w:rsid w:val="003A534F"/>
    <w:rsid w:val="003A5623"/>
    <w:rsid w:val="003A5AF1"/>
    <w:rsid w:val="003A6AB6"/>
    <w:rsid w:val="003A6E02"/>
    <w:rsid w:val="003A6FF0"/>
    <w:rsid w:val="003A7B45"/>
    <w:rsid w:val="003A7DEB"/>
    <w:rsid w:val="003A7E3A"/>
    <w:rsid w:val="003B011C"/>
    <w:rsid w:val="003B016A"/>
    <w:rsid w:val="003B0517"/>
    <w:rsid w:val="003B0611"/>
    <w:rsid w:val="003B0A8C"/>
    <w:rsid w:val="003B0D66"/>
    <w:rsid w:val="003B0D72"/>
    <w:rsid w:val="003B1E7C"/>
    <w:rsid w:val="003B220B"/>
    <w:rsid w:val="003B2B48"/>
    <w:rsid w:val="003B2CB6"/>
    <w:rsid w:val="003B2DBB"/>
    <w:rsid w:val="003B3617"/>
    <w:rsid w:val="003B39E7"/>
    <w:rsid w:val="003B3C13"/>
    <w:rsid w:val="003B3E6C"/>
    <w:rsid w:val="003B42D9"/>
    <w:rsid w:val="003B465B"/>
    <w:rsid w:val="003B50DA"/>
    <w:rsid w:val="003B5F4E"/>
    <w:rsid w:val="003B6017"/>
    <w:rsid w:val="003B63EB"/>
    <w:rsid w:val="003B66C0"/>
    <w:rsid w:val="003B6D5C"/>
    <w:rsid w:val="003B7029"/>
    <w:rsid w:val="003B7073"/>
    <w:rsid w:val="003B70E8"/>
    <w:rsid w:val="003C02BA"/>
    <w:rsid w:val="003C06D8"/>
    <w:rsid w:val="003C0917"/>
    <w:rsid w:val="003C0BA5"/>
    <w:rsid w:val="003C0F84"/>
    <w:rsid w:val="003C2AC8"/>
    <w:rsid w:val="003C2C6F"/>
    <w:rsid w:val="003C2E13"/>
    <w:rsid w:val="003C3140"/>
    <w:rsid w:val="003C327C"/>
    <w:rsid w:val="003C3A63"/>
    <w:rsid w:val="003C3DD3"/>
    <w:rsid w:val="003C3E02"/>
    <w:rsid w:val="003C3FE8"/>
    <w:rsid w:val="003C4E62"/>
    <w:rsid w:val="003C5783"/>
    <w:rsid w:val="003C5FAB"/>
    <w:rsid w:val="003C6A69"/>
    <w:rsid w:val="003C73F9"/>
    <w:rsid w:val="003C741A"/>
    <w:rsid w:val="003C768D"/>
    <w:rsid w:val="003C77B2"/>
    <w:rsid w:val="003C7EC4"/>
    <w:rsid w:val="003D0F4F"/>
    <w:rsid w:val="003D1F70"/>
    <w:rsid w:val="003D2152"/>
    <w:rsid w:val="003D234E"/>
    <w:rsid w:val="003D2AC7"/>
    <w:rsid w:val="003D394E"/>
    <w:rsid w:val="003D3971"/>
    <w:rsid w:val="003D3A03"/>
    <w:rsid w:val="003D3FE9"/>
    <w:rsid w:val="003D4168"/>
    <w:rsid w:val="003D447C"/>
    <w:rsid w:val="003D45F6"/>
    <w:rsid w:val="003D4DB8"/>
    <w:rsid w:val="003D51DE"/>
    <w:rsid w:val="003D57BB"/>
    <w:rsid w:val="003D5F07"/>
    <w:rsid w:val="003D5F21"/>
    <w:rsid w:val="003D6463"/>
    <w:rsid w:val="003D6AB5"/>
    <w:rsid w:val="003D6CF4"/>
    <w:rsid w:val="003E02E7"/>
    <w:rsid w:val="003E071C"/>
    <w:rsid w:val="003E0759"/>
    <w:rsid w:val="003E0BCA"/>
    <w:rsid w:val="003E0BCF"/>
    <w:rsid w:val="003E0FAE"/>
    <w:rsid w:val="003E121E"/>
    <w:rsid w:val="003E1902"/>
    <w:rsid w:val="003E25AA"/>
    <w:rsid w:val="003E2890"/>
    <w:rsid w:val="003E2B61"/>
    <w:rsid w:val="003E3988"/>
    <w:rsid w:val="003E3FF5"/>
    <w:rsid w:val="003E414C"/>
    <w:rsid w:val="003E44DD"/>
    <w:rsid w:val="003E471C"/>
    <w:rsid w:val="003E4B34"/>
    <w:rsid w:val="003E5354"/>
    <w:rsid w:val="003E58FC"/>
    <w:rsid w:val="003E5C36"/>
    <w:rsid w:val="003E61EC"/>
    <w:rsid w:val="003E67A3"/>
    <w:rsid w:val="003E75D2"/>
    <w:rsid w:val="003E7CBE"/>
    <w:rsid w:val="003E7CF3"/>
    <w:rsid w:val="003E7D05"/>
    <w:rsid w:val="003E7EB7"/>
    <w:rsid w:val="003F068A"/>
    <w:rsid w:val="003F17A7"/>
    <w:rsid w:val="003F1F93"/>
    <w:rsid w:val="003F20A0"/>
    <w:rsid w:val="003F21C4"/>
    <w:rsid w:val="003F2DF5"/>
    <w:rsid w:val="003F3CF2"/>
    <w:rsid w:val="003F4FAA"/>
    <w:rsid w:val="003F5033"/>
    <w:rsid w:val="003F51F4"/>
    <w:rsid w:val="003F52C6"/>
    <w:rsid w:val="003F54E5"/>
    <w:rsid w:val="003F558E"/>
    <w:rsid w:val="003F5673"/>
    <w:rsid w:val="003F57DF"/>
    <w:rsid w:val="003F59B0"/>
    <w:rsid w:val="003F6692"/>
    <w:rsid w:val="003F683A"/>
    <w:rsid w:val="003F723C"/>
    <w:rsid w:val="003F7285"/>
    <w:rsid w:val="003F74E3"/>
    <w:rsid w:val="003F77B3"/>
    <w:rsid w:val="003F7B70"/>
    <w:rsid w:val="003F7C35"/>
    <w:rsid w:val="00400B34"/>
    <w:rsid w:val="0040126F"/>
    <w:rsid w:val="004012F8"/>
    <w:rsid w:val="00401733"/>
    <w:rsid w:val="00402F37"/>
    <w:rsid w:val="00403025"/>
    <w:rsid w:val="00403056"/>
    <w:rsid w:val="00403501"/>
    <w:rsid w:val="0040377C"/>
    <w:rsid w:val="004037AD"/>
    <w:rsid w:val="0040392F"/>
    <w:rsid w:val="00403D6E"/>
    <w:rsid w:val="00404859"/>
    <w:rsid w:val="00404998"/>
    <w:rsid w:val="00404C7A"/>
    <w:rsid w:val="00405083"/>
    <w:rsid w:val="0040544F"/>
    <w:rsid w:val="00405AA2"/>
    <w:rsid w:val="00405E03"/>
    <w:rsid w:val="00406194"/>
    <w:rsid w:val="004077D8"/>
    <w:rsid w:val="00407AC0"/>
    <w:rsid w:val="00410C55"/>
    <w:rsid w:val="00411024"/>
    <w:rsid w:val="00411541"/>
    <w:rsid w:val="00411814"/>
    <w:rsid w:val="004118D4"/>
    <w:rsid w:val="004121C0"/>
    <w:rsid w:val="0041295A"/>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6F4F"/>
    <w:rsid w:val="00416F64"/>
    <w:rsid w:val="004170AF"/>
    <w:rsid w:val="0042057D"/>
    <w:rsid w:val="00421861"/>
    <w:rsid w:val="004222F5"/>
    <w:rsid w:val="00422309"/>
    <w:rsid w:val="00422C55"/>
    <w:rsid w:val="00423004"/>
    <w:rsid w:val="00423830"/>
    <w:rsid w:val="00423E40"/>
    <w:rsid w:val="004240F3"/>
    <w:rsid w:val="00424288"/>
    <w:rsid w:val="0042431A"/>
    <w:rsid w:val="004248CC"/>
    <w:rsid w:val="00425457"/>
    <w:rsid w:val="00425698"/>
    <w:rsid w:val="004259D6"/>
    <w:rsid w:val="00425B5A"/>
    <w:rsid w:val="00425ED2"/>
    <w:rsid w:val="004262F1"/>
    <w:rsid w:val="004263AE"/>
    <w:rsid w:val="004265E2"/>
    <w:rsid w:val="00426C84"/>
    <w:rsid w:val="00427BEA"/>
    <w:rsid w:val="00430AB5"/>
    <w:rsid w:val="00430BC5"/>
    <w:rsid w:val="00430C9D"/>
    <w:rsid w:val="004310F4"/>
    <w:rsid w:val="00431111"/>
    <w:rsid w:val="00431C4F"/>
    <w:rsid w:val="00431F67"/>
    <w:rsid w:val="0043243A"/>
    <w:rsid w:val="00432BB7"/>
    <w:rsid w:val="00432F2F"/>
    <w:rsid w:val="004331E9"/>
    <w:rsid w:val="0043390D"/>
    <w:rsid w:val="00433E8D"/>
    <w:rsid w:val="00433FAA"/>
    <w:rsid w:val="00434437"/>
    <w:rsid w:val="004346C9"/>
    <w:rsid w:val="00434A60"/>
    <w:rsid w:val="00434D53"/>
    <w:rsid w:val="00434D78"/>
    <w:rsid w:val="00434E88"/>
    <w:rsid w:val="0043541B"/>
    <w:rsid w:val="0043559E"/>
    <w:rsid w:val="0043592C"/>
    <w:rsid w:val="00436062"/>
    <w:rsid w:val="00436217"/>
    <w:rsid w:val="00436345"/>
    <w:rsid w:val="00436D18"/>
    <w:rsid w:val="00436F2F"/>
    <w:rsid w:val="00437967"/>
    <w:rsid w:val="0044061D"/>
    <w:rsid w:val="00440626"/>
    <w:rsid w:val="00440C9C"/>
    <w:rsid w:val="004411B9"/>
    <w:rsid w:val="00441207"/>
    <w:rsid w:val="00441462"/>
    <w:rsid w:val="00441E91"/>
    <w:rsid w:val="00441FEE"/>
    <w:rsid w:val="004422CA"/>
    <w:rsid w:val="0044276B"/>
    <w:rsid w:val="00442A45"/>
    <w:rsid w:val="00442FAD"/>
    <w:rsid w:val="00443807"/>
    <w:rsid w:val="00443A1C"/>
    <w:rsid w:val="00443F01"/>
    <w:rsid w:val="00443F03"/>
    <w:rsid w:val="004443E1"/>
    <w:rsid w:val="00444710"/>
    <w:rsid w:val="004449AC"/>
    <w:rsid w:val="00444CB0"/>
    <w:rsid w:val="0044506F"/>
    <w:rsid w:val="004462F7"/>
    <w:rsid w:val="0044636A"/>
    <w:rsid w:val="00451116"/>
    <w:rsid w:val="004515CF"/>
    <w:rsid w:val="00451656"/>
    <w:rsid w:val="00451F73"/>
    <w:rsid w:val="00453934"/>
    <w:rsid w:val="00453C7E"/>
    <w:rsid w:val="00453D68"/>
    <w:rsid w:val="00454835"/>
    <w:rsid w:val="004548B6"/>
    <w:rsid w:val="00454F06"/>
    <w:rsid w:val="004550AC"/>
    <w:rsid w:val="0045554B"/>
    <w:rsid w:val="00455AAF"/>
    <w:rsid w:val="0045650D"/>
    <w:rsid w:val="00456B54"/>
    <w:rsid w:val="00456E07"/>
    <w:rsid w:val="0045716C"/>
    <w:rsid w:val="00457E6A"/>
    <w:rsid w:val="00460124"/>
    <w:rsid w:val="0046019D"/>
    <w:rsid w:val="00460208"/>
    <w:rsid w:val="00460250"/>
    <w:rsid w:val="00460F38"/>
    <w:rsid w:val="004623FA"/>
    <w:rsid w:val="004626FF"/>
    <w:rsid w:val="00462C67"/>
    <w:rsid w:val="00464536"/>
    <w:rsid w:val="00464790"/>
    <w:rsid w:val="0046494A"/>
    <w:rsid w:val="0046514E"/>
    <w:rsid w:val="00465236"/>
    <w:rsid w:val="0046532C"/>
    <w:rsid w:val="00465A00"/>
    <w:rsid w:val="00465D5A"/>
    <w:rsid w:val="0046623C"/>
    <w:rsid w:val="0046686A"/>
    <w:rsid w:val="00466F96"/>
    <w:rsid w:val="00467739"/>
    <w:rsid w:val="00467F1F"/>
    <w:rsid w:val="004705D8"/>
    <w:rsid w:val="00470D0C"/>
    <w:rsid w:val="00470E3C"/>
    <w:rsid w:val="0047104F"/>
    <w:rsid w:val="00471900"/>
    <w:rsid w:val="00471D6B"/>
    <w:rsid w:val="00471DAD"/>
    <w:rsid w:val="00472A9D"/>
    <w:rsid w:val="00474104"/>
    <w:rsid w:val="00474150"/>
    <w:rsid w:val="004742FA"/>
    <w:rsid w:val="00474E22"/>
    <w:rsid w:val="004759B6"/>
    <w:rsid w:val="00475D86"/>
    <w:rsid w:val="0047608F"/>
    <w:rsid w:val="004762EF"/>
    <w:rsid w:val="00476554"/>
    <w:rsid w:val="004770D4"/>
    <w:rsid w:val="0047739F"/>
    <w:rsid w:val="0047758F"/>
    <w:rsid w:val="004776EC"/>
    <w:rsid w:val="00481264"/>
    <w:rsid w:val="004813D4"/>
    <w:rsid w:val="004821A1"/>
    <w:rsid w:val="004824CF"/>
    <w:rsid w:val="00482A39"/>
    <w:rsid w:val="00482B78"/>
    <w:rsid w:val="00482DB7"/>
    <w:rsid w:val="00482DF7"/>
    <w:rsid w:val="004839FD"/>
    <w:rsid w:val="00483C23"/>
    <w:rsid w:val="00483F05"/>
    <w:rsid w:val="0048493F"/>
    <w:rsid w:val="00484D63"/>
    <w:rsid w:val="00485023"/>
    <w:rsid w:val="00485132"/>
    <w:rsid w:val="00485C8E"/>
    <w:rsid w:val="004861B9"/>
    <w:rsid w:val="004864B3"/>
    <w:rsid w:val="004875B9"/>
    <w:rsid w:val="004875D5"/>
    <w:rsid w:val="00490054"/>
    <w:rsid w:val="004912CE"/>
    <w:rsid w:val="0049166E"/>
    <w:rsid w:val="00491A3E"/>
    <w:rsid w:val="00491D91"/>
    <w:rsid w:val="00491FF2"/>
    <w:rsid w:val="004922B1"/>
    <w:rsid w:val="004922E1"/>
    <w:rsid w:val="00492754"/>
    <w:rsid w:val="00492C28"/>
    <w:rsid w:val="00492DCE"/>
    <w:rsid w:val="004938A8"/>
    <w:rsid w:val="00493D27"/>
    <w:rsid w:val="0049489D"/>
    <w:rsid w:val="00494916"/>
    <w:rsid w:val="00494A6A"/>
    <w:rsid w:val="004951BC"/>
    <w:rsid w:val="0049580C"/>
    <w:rsid w:val="0049598A"/>
    <w:rsid w:val="00495AC6"/>
    <w:rsid w:val="004963EA"/>
    <w:rsid w:val="00496479"/>
    <w:rsid w:val="00496874"/>
    <w:rsid w:val="00496A58"/>
    <w:rsid w:val="00496AA3"/>
    <w:rsid w:val="00496BF5"/>
    <w:rsid w:val="00496CF9"/>
    <w:rsid w:val="00496E5A"/>
    <w:rsid w:val="0049768F"/>
    <w:rsid w:val="004A04E5"/>
    <w:rsid w:val="004A0768"/>
    <w:rsid w:val="004A0E0F"/>
    <w:rsid w:val="004A107A"/>
    <w:rsid w:val="004A1495"/>
    <w:rsid w:val="004A167D"/>
    <w:rsid w:val="004A17BE"/>
    <w:rsid w:val="004A2089"/>
    <w:rsid w:val="004A212F"/>
    <w:rsid w:val="004A2165"/>
    <w:rsid w:val="004A2B4F"/>
    <w:rsid w:val="004A3886"/>
    <w:rsid w:val="004A38A4"/>
    <w:rsid w:val="004A3E61"/>
    <w:rsid w:val="004A46FA"/>
    <w:rsid w:val="004A4993"/>
    <w:rsid w:val="004A4C41"/>
    <w:rsid w:val="004A4DCA"/>
    <w:rsid w:val="004A5084"/>
    <w:rsid w:val="004A5A04"/>
    <w:rsid w:val="004A5F74"/>
    <w:rsid w:val="004A6063"/>
    <w:rsid w:val="004A615C"/>
    <w:rsid w:val="004A6212"/>
    <w:rsid w:val="004A67D7"/>
    <w:rsid w:val="004A6C0A"/>
    <w:rsid w:val="004A7373"/>
    <w:rsid w:val="004B0043"/>
    <w:rsid w:val="004B021D"/>
    <w:rsid w:val="004B04B7"/>
    <w:rsid w:val="004B0B54"/>
    <w:rsid w:val="004B0DCC"/>
    <w:rsid w:val="004B1052"/>
    <w:rsid w:val="004B17B5"/>
    <w:rsid w:val="004B35AF"/>
    <w:rsid w:val="004B3F02"/>
    <w:rsid w:val="004B5366"/>
    <w:rsid w:val="004B5F4A"/>
    <w:rsid w:val="004B604A"/>
    <w:rsid w:val="004B6A8C"/>
    <w:rsid w:val="004B6B14"/>
    <w:rsid w:val="004B7C5F"/>
    <w:rsid w:val="004C07BB"/>
    <w:rsid w:val="004C08E7"/>
    <w:rsid w:val="004C0FC8"/>
    <w:rsid w:val="004C1CD6"/>
    <w:rsid w:val="004C20B6"/>
    <w:rsid w:val="004C28ED"/>
    <w:rsid w:val="004C30C3"/>
    <w:rsid w:val="004C3390"/>
    <w:rsid w:val="004C3869"/>
    <w:rsid w:val="004C43EE"/>
    <w:rsid w:val="004C44E9"/>
    <w:rsid w:val="004C4E4F"/>
    <w:rsid w:val="004C516F"/>
    <w:rsid w:val="004C6198"/>
    <w:rsid w:val="004C650A"/>
    <w:rsid w:val="004C68A0"/>
    <w:rsid w:val="004C692A"/>
    <w:rsid w:val="004C717A"/>
    <w:rsid w:val="004C748A"/>
    <w:rsid w:val="004C7B23"/>
    <w:rsid w:val="004C7CBB"/>
    <w:rsid w:val="004C7CFE"/>
    <w:rsid w:val="004D035C"/>
    <w:rsid w:val="004D1201"/>
    <w:rsid w:val="004D1313"/>
    <w:rsid w:val="004D1D85"/>
    <w:rsid w:val="004D2D46"/>
    <w:rsid w:val="004D2E4E"/>
    <w:rsid w:val="004D2E50"/>
    <w:rsid w:val="004D2ED5"/>
    <w:rsid w:val="004D3590"/>
    <w:rsid w:val="004D35BD"/>
    <w:rsid w:val="004D385E"/>
    <w:rsid w:val="004D3A9D"/>
    <w:rsid w:val="004D3FC2"/>
    <w:rsid w:val="004D4277"/>
    <w:rsid w:val="004D485B"/>
    <w:rsid w:val="004D4C2B"/>
    <w:rsid w:val="004D4CB2"/>
    <w:rsid w:val="004D5A25"/>
    <w:rsid w:val="004D5D8D"/>
    <w:rsid w:val="004D5EDC"/>
    <w:rsid w:val="004D60F8"/>
    <w:rsid w:val="004D6732"/>
    <w:rsid w:val="004D6AC4"/>
    <w:rsid w:val="004D6B74"/>
    <w:rsid w:val="004D7316"/>
    <w:rsid w:val="004D7DE1"/>
    <w:rsid w:val="004E02AB"/>
    <w:rsid w:val="004E10F3"/>
    <w:rsid w:val="004E20B2"/>
    <w:rsid w:val="004E2289"/>
    <w:rsid w:val="004E248A"/>
    <w:rsid w:val="004E2DB2"/>
    <w:rsid w:val="004E2F87"/>
    <w:rsid w:val="004E3C56"/>
    <w:rsid w:val="004E42DA"/>
    <w:rsid w:val="004E4662"/>
    <w:rsid w:val="004E47EC"/>
    <w:rsid w:val="004E4B84"/>
    <w:rsid w:val="004E514F"/>
    <w:rsid w:val="004E6841"/>
    <w:rsid w:val="004E6D0A"/>
    <w:rsid w:val="004E6D2A"/>
    <w:rsid w:val="004E6E06"/>
    <w:rsid w:val="004E6EF3"/>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4F760D"/>
    <w:rsid w:val="0050002D"/>
    <w:rsid w:val="00500141"/>
    <w:rsid w:val="00500C5A"/>
    <w:rsid w:val="00500E33"/>
    <w:rsid w:val="00501ECF"/>
    <w:rsid w:val="00502085"/>
    <w:rsid w:val="00502165"/>
    <w:rsid w:val="00502432"/>
    <w:rsid w:val="00502A8F"/>
    <w:rsid w:val="005031DD"/>
    <w:rsid w:val="00504834"/>
    <w:rsid w:val="00504B4E"/>
    <w:rsid w:val="00504C7A"/>
    <w:rsid w:val="0050520C"/>
    <w:rsid w:val="00505489"/>
    <w:rsid w:val="0050581D"/>
    <w:rsid w:val="00505A6E"/>
    <w:rsid w:val="00505AEE"/>
    <w:rsid w:val="00505C62"/>
    <w:rsid w:val="005060D7"/>
    <w:rsid w:val="0050632E"/>
    <w:rsid w:val="00506A1B"/>
    <w:rsid w:val="00506D07"/>
    <w:rsid w:val="005073D6"/>
    <w:rsid w:val="00507512"/>
    <w:rsid w:val="0050752D"/>
    <w:rsid w:val="00510F99"/>
    <w:rsid w:val="005112D9"/>
    <w:rsid w:val="0051132E"/>
    <w:rsid w:val="00511EF3"/>
    <w:rsid w:val="00512411"/>
    <w:rsid w:val="00512540"/>
    <w:rsid w:val="0051266A"/>
    <w:rsid w:val="00512BF0"/>
    <w:rsid w:val="00512F20"/>
    <w:rsid w:val="00513179"/>
    <w:rsid w:val="005131A5"/>
    <w:rsid w:val="00513441"/>
    <w:rsid w:val="00513574"/>
    <w:rsid w:val="0051380C"/>
    <w:rsid w:val="00513881"/>
    <w:rsid w:val="00513C84"/>
    <w:rsid w:val="00514175"/>
    <w:rsid w:val="00514507"/>
    <w:rsid w:val="00514597"/>
    <w:rsid w:val="005148C2"/>
    <w:rsid w:val="005153F5"/>
    <w:rsid w:val="00515D75"/>
    <w:rsid w:val="0051664D"/>
    <w:rsid w:val="0051670B"/>
    <w:rsid w:val="00516F9D"/>
    <w:rsid w:val="005176C9"/>
    <w:rsid w:val="00520E08"/>
    <w:rsid w:val="00521002"/>
    <w:rsid w:val="00521350"/>
    <w:rsid w:val="005213F7"/>
    <w:rsid w:val="005214EA"/>
    <w:rsid w:val="00521935"/>
    <w:rsid w:val="00522186"/>
    <w:rsid w:val="005221FE"/>
    <w:rsid w:val="00522CFD"/>
    <w:rsid w:val="0052466F"/>
    <w:rsid w:val="0052526C"/>
    <w:rsid w:val="00525830"/>
    <w:rsid w:val="00525849"/>
    <w:rsid w:val="00525C6E"/>
    <w:rsid w:val="00525DDA"/>
    <w:rsid w:val="00526159"/>
    <w:rsid w:val="00526326"/>
    <w:rsid w:val="00526381"/>
    <w:rsid w:val="0052640D"/>
    <w:rsid w:val="005268BA"/>
    <w:rsid w:val="005269E6"/>
    <w:rsid w:val="00526E71"/>
    <w:rsid w:val="005309BD"/>
    <w:rsid w:val="00530AF6"/>
    <w:rsid w:val="00530BFA"/>
    <w:rsid w:val="00530DFD"/>
    <w:rsid w:val="00530EE7"/>
    <w:rsid w:val="0053112A"/>
    <w:rsid w:val="00531C75"/>
    <w:rsid w:val="00532168"/>
    <w:rsid w:val="00532271"/>
    <w:rsid w:val="0053247C"/>
    <w:rsid w:val="00532F99"/>
    <w:rsid w:val="0053319B"/>
    <w:rsid w:val="0053364E"/>
    <w:rsid w:val="00533B6E"/>
    <w:rsid w:val="0053400C"/>
    <w:rsid w:val="005346A9"/>
    <w:rsid w:val="0053471B"/>
    <w:rsid w:val="005347B3"/>
    <w:rsid w:val="00534A7E"/>
    <w:rsid w:val="005351B9"/>
    <w:rsid w:val="00535C84"/>
    <w:rsid w:val="00536011"/>
    <w:rsid w:val="0053705B"/>
    <w:rsid w:val="00537F9D"/>
    <w:rsid w:val="00540404"/>
    <w:rsid w:val="00540755"/>
    <w:rsid w:val="0054081E"/>
    <w:rsid w:val="00540D7B"/>
    <w:rsid w:val="00540DAC"/>
    <w:rsid w:val="00543C89"/>
    <w:rsid w:val="00543E5B"/>
    <w:rsid w:val="0054498C"/>
    <w:rsid w:val="005451A6"/>
    <w:rsid w:val="0054558C"/>
    <w:rsid w:val="00545802"/>
    <w:rsid w:val="005461BC"/>
    <w:rsid w:val="005466D1"/>
    <w:rsid w:val="00546D1F"/>
    <w:rsid w:val="00546F26"/>
    <w:rsid w:val="00546F58"/>
    <w:rsid w:val="00547606"/>
    <w:rsid w:val="005500C7"/>
    <w:rsid w:val="0055012A"/>
    <w:rsid w:val="00550874"/>
    <w:rsid w:val="00550B55"/>
    <w:rsid w:val="00550B6E"/>
    <w:rsid w:val="00550B79"/>
    <w:rsid w:val="00551506"/>
    <w:rsid w:val="0055150B"/>
    <w:rsid w:val="0055193B"/>
    <w:rsid w:val="005519A7"/>
    <w:rsid w:val="0055205F"/>
    <w:rsid w:val="0055315B"/>
    <w:rsid w:val="005532F9"/>
    <w:rsid w:val="005543B4"/>
    <w:rsid w:val="0055440B"/>
    <w:rsid w:val="00554CCF"/>
    <w:rsid w:val="00555595"/>
    <w:rsid w:val="005556EC"/>
    <w:rsid w:val="00555F40"/>
    <w:rsid w:val="00556194"/>
    <w:rsid w:val="0055708D"/>
    <w:rsid w:val="00557A3A"/>
    <w:rsid w:val="00557A7D"/>
    <w:rsid w:val="00557C37"/>
    <w:rsid w:val="00557CFC"/>
    <w:rsid w:val="00560A9A"/>
    <w:rsid w:val="00560BD7"/>
    <w:rsid w:val="00561AE8"/>
    <w:rsid w:val="00561CA6"/>
    <w:rsid w:val="00562087"/>
    <w:rsid w:val="005624BD"/>
    <w:rsid w:val="00562E45"/>
    <w:rsid w:val="00563649"/>
    <w:rsid w:val="00563A02"/>
    <w:rsid w:val="00564300"/>
    <w:rsid w:val="00564565"/>
    <w:rsid w:val="005647BE"/>
    <w:rsid w:val="00564A12"/>
    <w:rsid w:val="00564CBC"/>
    <w:rsid w:val="00565EE0"/>
    <w:rsid w:val="00565FD3"/>
    <w:rsid w:val="00566299"/>
    <w:rsid w:val="00566B17"/>
    <w:rsid w:val="00566BF6"/>
    <w:rsid w:val="005673AF"/>
    <w:rsid w:val="00567532"/>
    <w:rsid w:val="00567695"/>
    <w:rsid w:val="00571253"/>
    <w:rsid w:val="0057127D"/>
    <w:rsid w:val="00571B4B"/>
    <w:rsid w:val="005722F6"/>
    <w:rsid w:val="005725F6"/>
    <w:rsid w:val="005738EB"/>
    <w:rsid w:val="005742B6"/>
    <w:rsid w:val="00574453"/>
    <w:rsid w:val="005746E9"/>
    <w:rsid w:val="005749CC"/>
    <w:rsid w:val="00574DB8"/>
    <w:rsid w:val="005763A4"/>
    <w:rsid w:val="00576443"/>
    <w:rsid w:val="0057786C"/>
    <w:rsid w:val="00577E2D"/>
    <w:rsid w:val="005802AF"/>
    <w:rsid w:val="00582869"/>
    <w:rsid w:val="00582976"/>
    <w:rsid w:val="005829DD"/>
    <w:rsid w:val="0058385C"/>
    <w:rsid w:val="00583C85"/>
    <w:rsid w:val="00584250"/>
    <w:rsid w:val="00584CF8"/>
    <w:rsid w:val="00584E2D"/>
    <w:rsid w:val="005867DF"/>
    <w:rsid w:val="00586817"/>
    <w:rsid w:val="00586D92"/>
    <w:rsid w:val="00586FB7"/>
    <w:rsid w:val="00587260"/>
    <w:rsid w:val="005872BD"/>
    <w:rsid w:val="00587507"/>
    <w:rsid w:val="00587681"/>
    <w:rsid w:val="00587FE0"/>
    <w:rsid w:val="00590184"/>
    <w:rsid w:val="005904F0"/>
    <w:rsid w:val="00590FF6"/>
    <w:rsid w:val="00591945"/>
    <w:rsid w:val="00592686"/>
    <w:rsid w:val="0059325A"/>
    <w:rsid w:val="00593755"/>
    <w:rsid w:val="00594294"/>
    <w:rsid w:val="00594479"/>
    <w:rsid w:val="00594B94"/>
    <w:rsid w:val="00595CDA"/>
    <w:rsid w:val="00595D46"/>
    <w:rsid w:val="005964E0"/>
    <w:rsid w:val="00596A0B"/>
    <w:rsid w:val="00596D56"/>
    <w:rsid w:val="00596E05"/>
    <w:rsid w:val="00596F85"/>
    <w:rsid w:val="005970FA"/>
    <w:rsid w:val="005A0117"/>
    <w:rsid w:val="005A0176"/>
    <w:rsid w:val="005A0315"/>
    <w:rsid w:val="005A088E"/>
    <w:rsid w:val="005A139C"/>
    <w:rsid w:val="005A1C76"/>
    <w:rsid w:val="005A2298"/>
    <w:rsid w:val="005A28C1"/>
    <w:rsid w:val="005A2950"/>
    <w:rsid w:val="005A3309"/>
    <w:rsid w:val="005A35C1"/>
    <w:rsid w:val="005A426F"/>
    <w:rsid w:val="005A4476"/>
    <w:rsid w:val="005A4583"/>
    <w:rsid w:val="005A53F6"/>
    <w:rsid w:val="005A54AD"/>
    <w:rsid w:val="005A5587"/>
    <w:rsid w:val="005A5EC9"/>
    <w:rsid w:val="005A6A38"/>
    <w:rsid w:val="005A7001"/>
    <w:rsid w:val="005A72DB"/>
    <w:rsid w:val="005A72FC"/>
    <w:rsid w:val="005A7537"/>
    <w:rsid w:val="005A7937"/>
    <w:rsid w:val="005B0115"/>
    <w:rsid w:val="005B0388"/>
    <w:rsid w:val="005B0C34"/>
    <w:rsid w:val="005B109A"/>
    <w:rsid w:val="005B197F"/>
    <w:rsid w:val="005B25BD"/>
    <w:rsid w:val="005B28C5"/>
    <w:rsid w:val="005B2B60"/>
    <w:rsid w:val="005B36EF"/>
    <w:rsid w:val="005B41E2"/>
    <w:rsid w:val="005B4219"/>
    <w:rsid w:val="005B536B"/>
    <w:rsid w:val="005B53AF"/>
    <w:rsid w:val="005B55F4"/>
    <w:rsid w:val="005B5D1F"/>
    <w:rsid w:val="005B6E15"/>
    <w:rsid w:val="005B7567"/>
    <w:rsid w:val="005B75D1"/>
    <w:rsid w:val="005B7906"/>
    <w:rsid w:val="005B7937"/>
    <w:rsid w:val="005B7DF4"/>
    <w:rsid w:val="005C010E"/>
    <w:rsid w:val="005C0699"/>
    <w:rsid w:val="005C07BA"/>
    <w:rsid w:val="005C0A3A"/>
    <w:rsid w:val="005C0E30"/>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812"/>
    <w:rsid w:val="005C6AF6"/>
    <w:rsid w:val="005C72F0"/>
    <w:rsid w:val="005C72F6"/>
    <w:rsid w:val="005D1063"/>
    <w:rsid w:val="005D15C0"/>
    <w:rsid w:val="005D161F"/>
    <w:rsid w:val="005D22DB"/>
    <w:rsid w:val="005D2AB9"/>
    <w:rsid w:val="005D2C2D"/>
    <w:rsid w:val="005D3097"/>
    <w:rsid w:val="005D30B3"/>
    <w:rsid w:val="005D34E2"/>
    <w:rsid w:val="005D3B15"/>
    <w:rsid w:val="005D4933"/>
    <w:rsid w:val="005D496E"/>
    <w:rsid w:val="005D4AE9"/>
    <w:rsid w:val="005D4B0B"/>
    <w:rsid w:val="005D4CDC"/>
    <w:rsid w:val="005D56DA"/>
    <w:rsid w:val="005D5E97"/>
    <w:rsid w:val="005D61A3"/>
    <w:rsid w:val="005D6AC6"/>
    <w:rsid w:val="005D6DAF"/>
    <w:rsid w:val="005D76F2"/>
    <w:rsid w:val="005D7C20"/>
    <w:rsid w:val="005E016E"/>
    <w:rsid w:val="005E037A"/>
    <w:rsid w:val="005E04E9"/>
    <w:rsid w:val="005E0C1B"/>
    <w:rsid w:val="005E0DCB"/>
    <w:rsid w:val="005E151B"/>
    <w:rsid w:val="005E17B4"/>
    <w:rsid w:val="005E19AF"/>
    <w:rsid w:val="005E1E81"/>
    <w:rsid w:val="005E28DB"/>
    <w:rsid w:val="005E2EDE"/>
    <w:rsid w:val="005E432A"/>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0898"/>
    <w:rsid w:val="005F110E"/>
    <w:rsid w:val="005F149B"/>
    <w:rsid w:val="005F1577"/>
    <w:rsid w:val="005F184F"/>
    <w:rsid w:val="005F18D6"/>
    <w:rsid w:val="005F2BA8"/>
    <w:rsid w:val="005F3582"/>
    <w:rsid w:val="005F36C4"/>
    <w:rsid w:val="005F3FFE"/>
    <w:rsid w:val="005F40BA"/>
    <w:rsid w:val="005F4434"/>
    <w:rsid w:val="005F50DF"/>
    <w:rsid w:val="005F5318"/>
    <w:rsid w:val="005F5324"/>
    <w:rsid w:val="005F603A"/>
    <w:rsid w:val="005F73ED"/>
    <w:rsid w:val="005F7877"/>
    <w:rsid w:val="005F7E1A"/>
    <w:rsid w:val="00600D34"/>
    <w:rsid w:val="0060107B"/>
    <w:rsid w:val="00601089"/>
    <w:rsid w:val="006010A5"/>
    <w:rsid w:val="00601171"/>
    <w:rsid w:val="00601925"/>
    <w:rsid w:val="00601DC7"/>
    <w:rsid w:val="00602064"/>
    <w:rsid w:val="00602A5E"/>
    <w:rsid w:val="00602C1D"/>
    <w:rsid w:val="00603024"/>
    <w:rsid w:val="00603342"/>
    <w:rsid w:val="006036DE"/>
    <w:rsid w:val="0060448B"/>
    <w:rsid w:val="00604C81"/>
    <w:rsid w:val="0060553C"/>
    <w:rsid w:val="00605996"/>
    <w:rsid w:val="00605A2E"/>
    <w:rsid w:val="00605F3F"/>
    <w:rsid w:val="00606047"/>
    <w:rsid w:val="00606176"/>
    <w:rsid w:val="006062B4"/>
    <w:rsid w:val="0060649C"/>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1BE7"/>
    <w:rsid w:val="00612146"/>
    <w:rsid w:val="00612D6B"/>
    <w:rsid w:val="00612DE6"/>
    <w:rsid w:val="00612FC6"/>
    <w:rsid w:val="006130C0"/>
    <w:rsid w:val="006132B7"/>
    <w:rsid w:val="00613485"/>
    <w:rsid w:val="006137C2"/>
    <w:rsid w:val="00613888"/>
    <w:rsid w:val="00613A81"/>
    <w:rsid w:val="00613C76"/>
    <w:rsid w:val="006144E8"/>
    <w:rsid w:val="0061454D"/>
    <w:rsid w:val="00614C2C"/>
    <w:rsid w:val="00614E10"/>
    <w:rsid w:val="0061547C"/>
    <w:rsid w:val="00615EF4"/>
    <w:rsid w:val="00615F2E"/>
    <w:rsid w:val="00616785"/>
    <w:rsid w:val="00616FF1"/>
    <w:rsid w:val="00617B95"/>
    <w:rsid w:val="00620354"/>
    <w:rsid w:val="00620636"/>
    <w:rsid w:val="00620718"/>
    <w:rsid w:val="00620A8B"/>
    <w:rsid w:val="00620B4E"/>
    <w:rsid w:val="00620B76"/>
    <w:rsid w:val="00621402"/>
    <w:rsid w:val="00622162"/>
    <w:rsid w:val="00622512"/>
    <w:rsid w:val="006226C1"/>
    <w:rsid w:val="00622A43"/>
    <w:rsid w:val="00622B2D"/>
    <w:rsid w:val="0062318C"/>
    <w:rsid w:val="006233D6"/>
    <w:rsid w:val="006237A2"/>
    <w:rsid w:val="0062386C"/>
    <w:rsid w:val="00623DA0"/>
    <w:rsid w:val="00623F8A"/>
    <w:rsid w:val="0062402E"/>
    <w:rsid w:val="0062427C"/>
    <w:rsid w:val="00624400"/>
    <w:rsid w:val="006244CA"/>
    <w:rsid w:val="006245D0"/>
    <w:rsid w:val="00624E51"/>
    <w:rsid w:val="006258CF"/>
    <w:rsid w:val="00625ACD"/>
    <w:rsid w:val="00625B0D"/>
    <w:rsid w:val="00625EA0"/>
    <w:rsid w:val="00626162"/>
    <w:rsid w:val="00627687"/>
    <w:rsid w:val="00627A9E"/>
    <w:rsid w:val="00630852"/>
    <w:rsid w:val="00631D5D"/>
    <w:rsid w:val="00631FEE"/>
    <w:rsid w:val="00633A95"/>
    <w:rsid w:val="00633C57"/>
    <w:rsid w:val="006345E4"/>
    <w:rsid w:val="00634719"/>
    <w:rsid w:val="006348F3"/>
    <w:rsid w:val="00634FED"/>
    <w:rsid w:val="00635923"/>
    <w:rsid w:val="00635B87"/>
    <w:rsid w:val="006361BB"/>
    <w:rsid w:val="006362C6"/>
    <w:rsid w:val="006367B8"/>
    <w:rsid w:val="00636B09"/>
    <w:rsid w:val="00637236"/>
    <w:rsid w:val="00637A81"/>
    <w:rsid w:val="00640B37"/>
    <w:rsid w:val="00640B51"/>
    <w:rsid w:val="00640C34"/>
    <w:rsid w:val="00640E84"/>
    <w:rsid w:val="0064106B"/>
    <w:rsid w:val="0064113D"/>
    <w:rsid w:val="0064134E"/>
    <w:rsid w:val="00641DB9"/>
    <w:rsid w:val="00642493"/>
    <w:rsid w:val="006427F9"/>
    <w:rsid w:val="00642985"/>
    <w:rsid w:val="00643078"/>
    <w:rsid w:val="00643205"/>
    <w:rsid w:val="00643641"/>
    <w:rsid w:val="006438C4"/>
    <w:rsid w:val="00643A9E"/>
    <w:rsid w:val="00643BC4"/>
    <w:rsid w:val="00643FB4"/>
    <w:rsid w:val="00645358"/>
    <w:rsid w:val="006453A5"/>
    <w:rsid w:val="0064558B"/>
    <w:rsid w:val="0064586F"/>
    <w:rsid w:val="00645E82"/>
    <w:rsid w:val="00645FA1"/>
    <w:rsid w:val="00646EF4"/>
    <w:rsid w:val="00647E2D"/>
    <w:rsid w:val="0065017D"/>
    <w:rsid w:val="006503E8"/>
    <w:rsid w:val="00650570"/>
    <w:rsid w:val="006505CD"/>
    <w:rsid w:val="0065114F"/>
    <w:rsid w:val="00651A15"/>
    <w:rsid w:val="00651B2E"/>
    <w:rsid w:val="00652143"/>
    <w:rsid w:val="00652291"/>
    <w:rsid w:val="00652422"/>
    <w:rsid w:val="006526BE"/>
    <w:rsid w:val="00652747"/>
    <w:rsid w:val="00653260"/>
    <w:rsid w:val="00653A6C"/>
    <w:rsid w:val="00653ED7"/>
    <w:rsid w:val="006545B0"/>
    <w:rsid w:val="00654A4A"/>
    <w:rsid w:val="0065545A"/>
    <w:rsid w:val="00655568"/>
    <w:rsid w:val="00655FCA"/>
    <w:rsid w:val="006560FD"/>
    <w:rsid w:val="00656829"/>
    <w:rsid w:val="00656DA1"/>
    <w:rsid w:val="006571E4"/>
    <w:rsid w:val="0065760C"/>
    <w:rsid w:val="0066037C"/>
    <w:rsid w:val="00660E4A"/>
    <w:rsid w:val="00661123"/>
    <w:rsid w:val="00661153"/>
    <w:rsid w:val="00661776"/>
    <w:rsid w:val="00662006"/>
    <w:rsid w:val="00662729"/>
    <w:rsid w:val="006627B9"/>
    <w:rsid w:val="00662A6B"/>
    <w:rsid w:val="00663111"/>
    <w:rsid w:val="0066319E"/>
    <w:rsid w:val="006631F8"/>
    <w:rsid w:val="00664111"/>
    <w:rsid w:val="006648C8"/>
    <w:rsid w:val="00664A6C"/>
    <w:rsid w:val="00664DAC"/>
    <w:rsid w:val="00665A42"/>
    <w:rsid w:val="00665CDA"/>
    <w:rsid w:val="00665F85"/>
    <w:rsid w:val="00666184"/>
    <w:rsid w:val="006661CF"/>
    <w:rsid w:val="0066627C"/>
    <w:rsid w:val="006663E5"/>
    <w:rsid w:val="00666583"/>
    <w:rsid w:val="006666FA"/>
    <w:rsid w:val="006668F8"/>
    <w:rsid w:val="006669AB"/>
    <w:rsid w:val="00667A22"/>
    <w:rsid w:val="00667B44"/>
    <w:rsid w:val="006708B0"/>
    <w:rsid w:val="00670BFD"/>
    <w:rsid w:val="00670DC6"/>
    <w:rsid w:val="00671E4C"/>
    <w:rsid w:val="0067299B"/>
    <w:rsid w:val="00672D3F"/>
    <w:rsid w:val="00673946"/>
    <w:rsid w:val="00674237"/>
    <w:rsid w:val="00674295"/>
    <w:rsid w:val="006743AB"/>
    <w:rsid w:val="006748A8"/>
    <w:rsid w:val="00674B4A"/>
    <w:rsid w:val="00674BB7"/>
    <w:rsid w:val="00674D90"/>
    <w:rsid w:val="00674DE5"/>
    <w:rsid w:val="00675059"/>
    <w:rsid w:val="00676234"/>
    <w:rsid w:val="0067625D"/>
    <w:rsid w:val="00676410"/>
    <w:rsid w:val="006764B5"/>
    <w:rsid w:val="00676D25"/>
    <w:rsid w:val="00676FB8"/>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2EE3"/>
    <w:rsid w:val="006830C1"/>
    <w:rsid w:val="0068337B"/>
    <w:rsid w:val="00683490"/>
    <w:rsid w:val="0068355B"/>
    <w:rsid w:val="0068376D"/>
    <w:rsid w:val="006837CF"/>
    <w:rsid w:val="00683D97"/>
    <w:rsid w:val="00684C3A"/>
    <w:rsid w:val="00684FCA"/>
    <w:rsid w:val="00685202"/>
    <w:rsid w:val="0068524B"/>
    <w:rsid w:val="00685691"/>
    <w:rsid w:val="0068582B"/>
    <w:rsid w:val="00685E4A"/>
    <w:rsid w:val="00686233"/>
    <w:rsid w:val="00686B5C"/>
    <w:rsid w:val="00686F01"/>
    <w:rsid w:val="00690276"/>
    <w:rsid w:val="0069030C"/>
    <w:rsid w:val="00690677"/>
    <w:rsid w:val="006909D8"/>
    <w:rsid w:val="00690B8A"/>
    <w:rsid w:val="00690BBA"/>
    <w:rsid w:val="0069135E"/>
    <w:rsid w:val="006915C8"/>
    <w:rsid w:val="00691BBF"/>
    <w:rsid w:val="0069268A"/>
    <w:rsid w:val="00692850"/>
    <w:rsid w:val="00692DC9"/>
    <w:rsid w:val="00693271"/>
    <w:rsid w:val="0069347D"/>
    <w:rsid w:val="00693B5B"/>
    <w:rsid w:val="00693D0C"/>
    <w:rsid w:val="0069418C"/>
    <w:rsid w:val="00694A7A"/>
    <w:rsid w:val="00694C33"/>
    <w:rsid w:val="00694FE9"/>
    <w:rsid w:val="00695271"/>
    <w:rsid w:val="00695A0A"/>
    <w:rsid w:val="00695D55"/>
    <w:rsid w:val="00696997"/>
    <w:rsid w:val="00697B6F"/>
    <w:rsid w:val="006A02D6"/>
    <w:rsid w:val="006A0CBD"/>
    <w:rsid w:val="006A0DB1"/>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1F"/>
    <w:rsid w:val="006A65A5"/>
    <w:rsid w:val="006A6D0E"/>
    <w:rsid w:val="006A6DCF"/>
    <w:rsid w:val="006A6DD8"/>
    <w:rsid w:val="006A6EEF"/>
    <w:rsid w:val="006A7001"/>
    <w:rsid w:val="006A71CE"/>
    <w:rsid w:val="006A758C"/>
    <w:rsid w:val="006A75BC"/>
    <w:rsid w:val="006A7805"/>
    <w:rsid w:val="006A7BB0"/>
    <w:rsid w:val="006A7E95"/>
    <w:rsid w:val="006B0682"/>
    <w:rsid w:val="006B191A"/>
    <w:rsid w:val="006B1D0C"/>
    <w:rsid w:val="006B1D18"/>
    <w:rsid w:val="006B2380"/>
    <w:rsid w:val="006B2465"/>
    <w:rsid w:val="006B2608"/>
    <w:rsid w:val="006B2718"/>
    <w:rsid w:val="006B29D1"/>
    <w:rsid w:val="006B2AA2"/>
    <w:rsid w:val="006B30EF"/>
    <w:rsid w:val="006B3119"/>
    <w:rsid w:val="006B3126"/>
    <w:rsid w:val="006B3C1A"/>
    <w:rsid w:val="006B443D"/>
    <w:rsid w:val="006B4493"/>
    <w:rsid w:val="006B4B55"/>
    <w:rsid w:val="006B56DF"/>
    <w:rsid w:val="006B58DF"/>
    <w:rsid w:val="006B6297"/>
    <w:rsid w:val="006B6B95"/>
    <w:rsid w:val="006B6C95"/>
    <w:rsid w:val="006B7995"/>
    <w:rsid w:val="006B79AA"/>
    <w:rsid w:val="006B7A15"/>
    <w:rsid w:val="006C03A9"/>
    <w:rsid w:val="006C0591"/>
    <w:rsid w:val="006C07A9"/>
    <w:rsid w:val="006C0D0F"/>
    <w:rsid w:val="006C0F46"/>
    <w:rsid w:val="006C1EEC"/>
    <w:rsid w:val="006C1EED"/>
    <w:rsid w:val="006C319D"/>
    <w:rsid w:val="006C352C"/>
    <w:rsid w:val="006C3732"/>
    <w:rsid w:val="006C3A33"/>
    <w:rsid w:val="006C3AC5"/>
    <w:rsid w:val="006C3FEA"/>
    <w:rsid w:val="006C4D9B"/>
    <w:rsid w:val="006C4FEE"/>
    <w:rsid w:val="006C581A"/>
    <w:rsid w:val="006C5A01"/>
    <w:rsid w:val="006C63EF"/>
    <w:rsid w:val="006C65E9"/>
    <w:rsid w:val="006C6666"/>
    <w:rsid w:val="006C69E7"/>
    <w:rsid w:val="006C7F0E"/>
    <w:rsid w:val="006D09FD"/>
    <w:rsid w:val="006D10AE"/>
    <w:rsid w:val="006D159B"/>
    <w:rsid w:val="006D1BBB"/>
    <w:rsid w:val="006D1D6B"/>
    <w:rsid w:val="006D1E54"/>
    <w:rsid w:val="006D24DC"/>
    <w:rsid w:val="006D25C3"/>
    <w:rsid w:val="006D25E8"/>
    <w:rsid w:val="006D29E6"/>
    <w:rsid w:val="006D29F2"/>
    <w:rsid w:val="006D2A2D"/>
    <w:rsid w:val="006D33CB"/>
    <w:rsid w:val="006D3674"/>
    <w:rsid w:val="006D3BBB"/>
    <w:rsid w:val="006D4290"/>
    <w:rsid w:val="006D4B4A"/>
    <w:rsid w:val="006D4BE9"/>
    <w:rsid w:val="006D4CD6"/>
    <w:rsid w:val="006D5276"/>
    <w:rsid w:val="006D5E20"/>
    <w:rsid w:val="006D69D6"/>
    <w:rsid w:val="006D6DD6"/>
    <w:rsid w:val="006D6F85"/>
    <w:rsid w:val="006D71F9"/>
    <w:rsid w:val="006D76F8"/>
    <w:rsid w:val="006D7CA2"/>
    <w:rsid w:val="006E025F"/>
    <w:rsid w:val="006E065B"/>
    <w:rsid w:val="006E09D3"/>
    <w:rsid w:val="006E1692"/>
    <w:rsid w:val="006E1828"/>
    <w:rsid w:val="006E1E6C"/>
    <w:rsid w:val="006E20CB"/>
    <w:rsid w:val="006E2EBB"/>
    <w:rsid w:val="006E351D"/>
    <w:rsid w:val="006E39DC"/>
    <w:rsid w:val="006E4253"/>
    <w:rsid w:val="006E533A"/>
    <w:rsid w:val="006E5505"/>
    <w:rsid w:val="006E56CB"/>
    <w:rsid w:val="006E576A"/>
    <w:rsid w:val="006E6052"/>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42D"/>
    <w:rsid w:val="006F2A5B"/>
    <w:rsid w:val="006F2D27"/>
    <w:rsid w:val="006F2FB3"/>
    <w:rsid w:val="006F3B4E"/>
    <w:rsid w:val="006F3CE3"/>
    <w:rsid w:val="006F3D23"/>
    <w:rsid w:val="006F4E35"/>
    <w:rsid w:val="006F531B"/>
    <w:rsid w:val="006F56B6"/>
    <w:rsid w:val="006F598C"/>
    <w:rsid w:val="006F5AE6"/>
    <w:rsid w:val="006F5C09"/>
    <w:rsid w:val="006F62BC"/>
    <w:rsid w:val="006F670F"/>
    <w:rsid w:val="006F70BD"/>
    <w:rsid w:val="006F7BF9"/>
    <w:rsid w:val="0070023A"/>
    <w:rsid w:val="007008AF"/>
    <w:rsid w:val="007008F5"/>
    <w:rsid w:val="00700E96"/>
    <w:rsid w:val="00700EE1"/>
    <w:rsid w:val="00702493"/>
    <w:rsid w:val="007034D1"/>
    <w:rsid w:val="00703AB1"/>
    <w:rsid w:val="00704310"/>
    <w:rsid w:val="007051B6"/>
    <w:rsid w:val="007051D8"/>
    <w:rsid w:val="00705B01"/>
    <w:rsid w:val="00706A77"/>
    <w:rsid w:val="00707084"/>
    <w:rsid w:val="007078A9"/>
    <w:rsid w:val="0071035D"/>
    <w:rsid w:val="007109A0"/>
    <w:rsid w:val="00710D88"/>
    <w:rsid w:val="00711670"/>
    <w:rsid w:val="00711C3B"/>
    <w:rsid w:val="00711F2D"/>
    <w:rsid w:val="007122F9"/>
    <w:rsid w:val="0071266E"/>
    <w:rsid w:val="00712B5E"/>
    <w:rsid w:val="00713074"/>
    <w:rsid w:val="00713170"/>
    <w:rsid w:val="00713720"/>
    <w:rsid w:val="0071382F"/>
    <w:rsid w:val="007145F8"/>
    <w:rsid w:val="00714652"/>
    <w:rsid w:val="00714A8A"/>
    <w:rsid w:val="00714B44"/>
    <w:rsid w:val="00714F3B"/>
    <w:rsid w:val="007157E0"/>
    <w:rsid w:val="00715816"/>
    <w:rsid w:val="00715D92"/>
    <w:rsid w:val="00716540"/>
    <w:rsid w:val="007165C5"/>
    <w:rsid w:val="007166F7"/>
    <w:rsid w:val="00716AEF"/>
    <w:rsid w:val="00716B51"/>
    <w:rsid w:val="00717076"/>
    <w:rsid w:val="00717296"/>
    <w:rsid w:val="007172CB"/>
    <w:rsid w:val="00717746"/>
    <w:rsid w:val="00717FE7"/>
    <w:rsid w:val="00720335"/>
    <w:rsid w:val="0072052A"/>
    <w:rsid w:val="007207B8"/>
    <w:rsid w:val="0072095D"/>
    <w:rsid w:val="00720CF6"/>
    <w:rsid w:val="00720F5C"/>
    <w:rsid w:val="00721A20"/>
    <w:rsid w:val="00721D30"/>
    <w:rsid w:val="00721FDF"/>
    <w:rsid w:val="007220C6"/>
    <w:rsid w:val="0072295E"/>
    <w:rsid w:val="00722B04"/>
    <w:rsid w:val="00722BB9"/>
    <w:rsid w:val="00723F3A"/>
    <w:rsid w:val="00725370"/>
    <w:rsid w:val="007253B2"/>
    <w:rsid w:val="007253FF"/>
    <w:rsid w:val="007271CB"/>
    <w:rsid w:val="00727328"/>
    <w:rsid w:val="00727370"/>
    <w:rsid w:val="00727420"/>
    <w:rsid w:val="00727551"/>
    <w:rsid w:val="00730ED5"/>
    <w:rsid w:val="007310B9"/>
    <w:rsid w:val="007319AD"/>
    <w:rsid w:val="007320A9"/>
    <w:rsid w:val="007326A9"/>
    <w:rsid w:val="0073277B"/>
    <w:rsid w:val="00732A29"/>
    <w:rsid w:val="00732E51"/>
    <w:rsid w:val="00733957"/>
    <w:rsid w:val="007339F8"/>
    <w:rsid w:val="0073435D"/>
    <w:rsid w:val="00734536"/>
    <w:rsid w:val="007345B7"/>
    <w:rsid w:val="00734A6F"/>
    <w:rsid w:val="00734BAD"/>
    <w:rsid w:val="00735949"/>
    <w:rsid w:val="00735A72"/>
    <w:rsid w:val="00735D9E"/>
    <w:rsid w:val="00736707"/>
    <w:rsid w:val="007374D3"/>
    <w:rsid w:val="0073758A"/>
    <w:rsid w:val="00737870"/>
    <w:rsid w:val="007378A1"/>
    <w:rsid w:val="00737B68"/>
    <w:rsid w:val="00737FFD"/>
    <w:rsid w:val="00740561"/>
    <w:rsid w:val="00740A7D"/>
    <w:rsid w:val="00740F87"/>
    <w:rsid w:val="0074109C"/>
    <w:rsid w:val="0074109D"/>
    <w:rsid w:val="00742335"/>
    <w:rsid w:val="00742445"/>
    <w:rsid w:val="00742842"/>
    <w:rsid w:val="0074312B"/>
    <w:rsid w:val="00743714"/>
    <w:rsid w:val="0074492D"/>
    <w:rsid w:val="00744FD2"/>
    <w:rsid w:val="0074563B"/>
    <w:rsid w:val="00745A2F"/>
    <w:rsid w:val="00745A9E"/>
    <w:rsid w:val="00745B0F"/>
    <w:rsid w:val="00745E38"/>
    <w:rsid w:val="00745E99"/>
    <w:rsid w:val="0074620D"/>
    <w:rsid w:val="00747171"/>
    <w:rsid w:val="00747215"/>
    <w:rsid w:val="00750E70"/>
    <w:rsid w:val="0075132B"/>
    <w:rsid w:val="00751808"/>
    <w:rsid w:val="00751BB7"/>
    <w:rsid w:val="007526AB"/>
    <w:rsid w:val="00753107"/>
    <w:rsid w:val="0075323B"/>
    <w:rsid w:val="00753376"/>
    <w:rsid w:val="00753909"/>
    <w:rsid w:val="00753A83"/>
    <w:rsid w:val="007543B0"/>
    <w:rsid w:val="007548E3"/>
    <w:rsid w:val="00754A5A"/>
    <w:rsid w:val="00755F90"/>
    <w:rsid w:val="007564F6"/>
    <w:rsid w:val="007565BF"/>
    <w:rsid w:val="007568A9"/>
    <w:rsid w:val="00756CB9"/>
    <w:rsid w:val="00756DEC"/>
    <w:rsid w:val="007600A5"/>
    <w:rsid w:val="00760631"/>
    <w:rsid w:val="00761514"/>
    <w:rsid w:val="00761FBC"/>
    <w:rsid w:val="00761FE1"/>
    <w:rsid w:val="00762100"/>
    <w:rsid w:val="0076267A"/>
    <w:rsid w:val="007629F0"/>
    <w:rsid w:val="00762EBF"/>
    <w:rsid w:val="00763318"/>
    <w:rsid w:val="00763C22"/>
    <w:rsid w:val="00763CE7"/>
    <w:rsid w:val="00764115"/>
    <w:rsid w:val="007643DE"/>
    <w:rsid w:val="00764923"/>
    <w:rsid w:val="00764F16"/>
    <w:rsid w:val="007659E2"/>
    <w:rsid w:val="007669EA"/>
    <w:rsid w:val="00766A7F"/>
    <w:rsid w:val="007673C3"/>
    <w:rsid w:val="00767696"/>
    <w:rsid w:val="00767793"/>
    <w:rsid w:val="0077002A"/>
    <w:rsid w:val="00770127"/>
    <w:rsid w:val="007701DE"/>
    <w:rsid w:val="00770533"/>
    <w:rsid w:val="00770ABA"/>
    <w:rsid w:val="00770D78"/>
    <w:rsid w:val="00771830"/>
    <w:rsid w:val="00772177"/>
    <w:rsid w:val="00772532"/>
    <w:rsid w:val="0077265F"/>
    <w:rsid w:val="007737B9"/>
    <w:rsid w:val="007739E9"/>
    <w:rsid w:val="00774225"/>
    <w:rsid w:val="00774589"/>
    <w:rsid w:val="0077510D"/>
    <w:rsid w:val="00775596"/>
    <w:rsid w:val="0077576E"/>
    <w:rsid w:val="00775C65"/>
    <w:rsid w:val="00775DE1"/>
    <w:rsid w:val="00775FA9"/>
    <w:rsid w:val="0077639A"/>
    <w:rsid w:val="00776D55"/>
    <w:rsid w:val="00776EBA"/>
    <w:rsid w:val="00777BEE"/>
    <w:rsid w:val="007800AF"/>
    <w:rsid w:val="00780360"/>
    <w:rsid w:val="00780DB1"/>
    <w:rsid w:val="0078100C"/>
    <w:rsid w:val="0078157F"/>
    <w:rsid w:val="0078176F"/>
    <w:rsid w:val="00781779"/>
    <w:rsid w:val="0078185E"/>
    <w:rsid w:val="007819B3"/>
    <w:rsid w:val="007825D2"/>
    <w:rsid w:val="00782799"/>
    <w:rsid w:val="0078297F"/>
    <w:rsid w:val="00783BF7"/>
    <w:rsid w:val="0078438D"/>
    <w:rsid w:val="007846C0"/>
    <w:rsid w:val="007856AF"/>
    <w:rsid w:val="007858FD"/>
    <w:rsid w:val="00785AF4"/>
    <w:rsid w:val="007863CB"/>
    <w:rsid w:val="007863DE"/>
    <w:rsid w:val="00786F48"/>
    <w:rsid w:val="0078725D"/>
    <w:rsid w:val="0078772C"/>
    <w:rsid w:val="00787866"/>
    <w:rsid w:val="007878E4"/>
    <w:rsid w:val="007879E4"/>
    <w:rsid w:val="0079082B"/>
    <w:rsid w:val="0079090E"/>
    <w:rsid w:val="00790980"/>
    <w:rsid w:val="00790984"/>
    <w:rsid w:val="00791054"/>
    <w:rsid w:val="00792076"/>
    <w:rsid w:val="00792289"/>
    <w:rsid w:val="0079228D"/>
    <w:rsid w:val="00792628"/>
    <w:rsid w:val="0079267C"/>
    <w:rsid w:val="0079345F"/>
    <w:rsid w:val="00793B2B"/>
    <w:rsid w:val="00793CC0"/>
    <w:rsid w:val="00794177"/>
    <w:rsid w:val="007955F3"/>
    <w:rsid w:val="007958ED"/>
    <w:rsid w:val="007960DD"/>
    <w:rsid w:val="007963BD"/>
    <w:rsid w:val="007966E6"/>
    <w:rsid w:val="00797A64"/>
    <w:rsid w:val="007A00FC"/>
    <w:rsid w:val="007A014D"/>
    <w:rsid w:val="007A0505"/>
    <w:rsid w:val="007A0A90"/>
    <w:rsid w:val="007A0E22"/>
    <w:rsid w:val="007A1190"/>
    <w:rsid w:val="007A1222"/>
    <w:rsid w:val="007A1924"/>
    <w:rsid w:val="007A1B93"/>
    <w:rsid w:val="007A1CC3"/>
    <w:rsid w:val="007A3BC8"/>
    <w:rsid w:val="007A3DCA"/>
    <w:rsid w:val="007A4783"/>
    <w:rsid w:val="007A5191"/>
    <w:rsid w:val="007A61B0"/>
    <w:rsid w:val="007A647F"/>
    <w:rsid w:val="007A64E0"/>
    <w:rsid w:val="007A6A15"/>
    <w:rsid w:val="007A6BDA"/>
    <w:rsid w:val="007A6CBB"/>
    <w:rsid w:val="007A6E19"/>
    <w:rsid w:val="007A6ED6"/>
    <w:rsid w:val="007A7AEE"/>
    <w:rsid w:val="007A7F33"/>
    <w:rsid w:val="007B03A0"/>
    <w:rsid w:val="007B0500"/>
    <w:rsid w:val="007B0AE7"/>
    <w:rsid w:val="007B0BE5"/>
    <w:rsid w:val="007B111B"/>
    <w:rsid w:val="007B1441"/>
    <w:rsid w:val="007B17FD"/>
    <w:rsid w:val="007B1B4D"/>
    <w:rsid w:val="007B25E8"/>
    <w:rsid w:val="007B25FE"/>
    <w:rsid w:val="007B2E18"/>
    <w:rsid w:val="007B330D"/>
    <w:rsid w:val="007B33F3"/>
    <w:rsid w:val="007B374F"/>
    <w:rsid w:val="007B376C"/>
    <w:rsid w:val="007B3AE8"/>
    <w:rsid w:val="007B3B59"/>
    <w:rsid w:val="007B4418"/>
    <w:rsid w:val="007B5168"/>
    <w:rsid w:val="007B5DAC"/>
    <w:rsid w:val="007B5F62"/>
    <w:rsid w:val="007B621D"/>
    <w:rsid w:val="007B625E"/>
    <w:rsid w:val="007B640C"/>
    <w:rsid w:val="007B650F"/>
    <w:rsid w:val="007B654F"/>
    <w:rsid w:val="007B66B3"/>
    <w:rsid w:val="007B7077"/>
    <w:rsid w:val="007B718D"/>
    <w:rsid w:val="007B73FD"/>
    <w:rsid w:val="007C04AA"/>
    <w:rsid w:val="007C09DF"/>
    <w:rsid w:val="007C1042"/>
    <w:rsid w:val="007C14B6"/>
    <w:rsid w:val="007C17D3"/>
    <w:rsid w:val="007C1B30"/>
    <w:rsid w:val="007C20B1"/>
    <w:rsid w:val="007C2DB5"/>
    <w:rsid w:val="007C2E2A"/>
    <w:rsid w:val="007C3003"/>
    <w:rsid w:val="007C385F"/>
    <w:rsid w:val="007C3F53"/>
    <w:rsid w:val="007C4924"/>
    <w:rsid w:val="007C4DB0"/>
    <w:rsid w:val="007C4E2B"/>
    <w:rsid w:val="007C4E8C"/>
    <w:rsid w:val="007C5201"/>
    <w:rsid w:val="007C5923"/>
    <w:rsid w:val="007C5F20"/>
    <w:rsid w:val="007C64E9"/>
    <w:rsid w:val="007C65DE"/>
    <w:rsid w:val="007C6B60"/>
    <w:rsid w:val="007C6F85"/>
    <w:rsid w:val="007C703D"/>
    <w:rsid w:val="007C71DC"/>
    <w:rsid w:val="007C7B99"/>
    <w:rsid w:val="007C7E3F"/>
    <w:rsid w:val="007D0741"/>
    <w:rsid w:val="007D0F9A"/>
    <w:rsid w:val="007D114B"/>
    <w:rsid w:val="007D16CC"/>
    <w:rsid w:val="007D2368"/>
    <w:rsid w:val="007D23B3"/>
    <w:rsid w:val="007D2E1E"/>
    <w:rsid w:val="007D3AA0"/>
    <w:rsid w:val="007D3B71"/>
    <w:rsid w:val="007D3FE2"/>
    <w:rsid w:val="007D4359"/>
    <w:rsid w:val="007D4488"/>
    <w:rsid w:val="007D4660"/>
    <w:rsid w:val="007D4EC2"/>
    <w:rsid w:val="007D55B6"/>
    <w:rsid w:val="007D564D"/>
    <w:rsid w:val="007D5690"/>
    <w:rsid w:val="007D57B7"/>
    <w:rsid w:val="007D5930"/>
    <w:rsid w:val="007D5AC9"/>
    <w:rsid w:val="007D67EA"/>
    <w:rsid w:val="007D69FA"/>
    <w:rsid w:val="007D6BA9"/>
    <w:rsid w:val="007D703B"/>
    <w:rsid w:val="007D75E9"/>
    <w:rsid w:val="007D7CC9"/>
    <w:rsid w:val="007E080A"/>
    <w:rsid w:val="007E11D8"/>
    <w:rsid w:val="007E1600"/>
    <w:rsid w:val="007E1E93"/>
    <w:rsid w:val="007E2172"/>
    <w:rsid w:val="007E2F09"/>
    <w:rsid w:val="007E34DB"/>
    <w:rsid w:val="007E38C7"/>
    <w:rsid w:val="007E3A75"/>
    <w:rsid w:val="007E3B00"/>
    <w:rsid w:val="007E3B68"/>
    <w:rsid w:val="007E3F3E"/>
    <w:rsid w:val="007E4641"/>
    <w:rsid w:val="007E4778"/>
    <w:rsid w:val="007E5504"/>
    <w:rsid w:val="007E5A20"/>
    <w:rsid w:val="007E5D6C"/>
    <w:rsid w:val="007E6838"/>
    <w:rsid w:val="007E73F1"/>
    <w:rsid w:val="007E7FA7"/>
    <w:rsid w:val="007F02B9"/>
    <w:rsid w:val="007F078E"/>
    <w:rsid w:val="007F07A1"/>
    <w:rsid w:val="007F0CE1"/>
    <w:rsid w:val="007F1ABA"/>
    <w:rsid w:val="007F23DB"/>
    <w:rsid w:val="007F282F"/>
    <w:rsid w:val="007F28B0"/>
    <w:rsid w:val="007F2A03"/>
    <w:rsid w:val="007F3517"/>
    <w:rsid w:val="007F3616"/>
    <w:rsid w:val="007F37F2"/>
    <w:rsid w:val="007F4847"/>
    <w:rsid w:val="007F4D92"/>
    <w:rsid w:val="007F4ED7"/>
    <w:rsid w:val="007F5371"/>
    <w:rsid w:val="007F60F8"/>
    <w:rsid w:val="007F635F"/>
    <w:rsid w:val="007F699F"/>
    <w:rsid w:val="007F6DE8"/>
    <w:rsid w:val="007F77B2"/>
    <w:rsid w:val="007F7883"/>
    <w:rsid w:val="007F7D0C"/>
    <w:rsid w:val="00800499"/>
    <w:rsid w:val="00801179"/>
    <w:rsid w:val="008014ED"/>
    <w:rsid w:val="00801C63"/>
    <w:rsid w:val="0080237B"/>
    <w:rsid w:val="00802570"/>
    <w:rsid w:val="008029DB"/>
    <w:rsid w:val="00802CA3"/>
    <w:rsid w:val="008041B6"/>
    <w:rsid w:val="008042C1"/>
    <w:rsid w:val="008048CD"/>
    <w:rsid w:val="00805346"/>
    <w:rsid w:val="00805C75"/>
    <w:rsid w:val="00805EF7"/>
    <w:rsid w:val="00806FFB"/>
    <w:rsid w:val="008072D7"/>
    <w:rsid w:val="00807647"/>
    <w:rsid w:val="00807BBD"/>
    <w:rsid w:val="0081017A"/>
    <w:rsid w:val="00810603"/>
    <w:rsid w:val="00810D15"/>
    <w:rsid w:val="00810F1B"/>
    <w:rsid w:val="00811145"/>
    <w:rsid w:val="00811263"/>
    <w:rsid w:val="008112E2"/>
    <w:rsid w:val="00811742"/>
    <w:rsid w:val="008123AF"/>
    <w:rsid w:val="008129DB"/>
    <w:rsid w:val="00812B83"/>
    <w:rsid w:val="00812C2D"/>
    <w:rsid w:val="00813813"/>
    <w:rsid w:val="00813C03"/>
    <w:rsid w:val="00813FBF"/>
    <w:rsid w:val="008141D2"/>
    <w:rsid w:val="00814283"/>
    <w:rsid w:val="00814503"/>
    <w:rsid w:val="00814A09"/>
    <w:rsid w:val="00814D88"/>
    <w:rsid w:val="00814DEF"/>
    <w:rsid w:val="00814E85"/>
    <w:rsid w:val="00814F25"/>
    <w:rsid w:val="0081527D"/>
    <w:rsid w:val="00816C67"/>
    <w:rsid w:val="00817210"/>
    <w:rsid w:val="00817C6C"/>
    <w:rsid w:val="00820209"/>
    <w:rsid w:val="008203C4"/>
    <w:rsid w:val="00820434"/>
    <w:rsid w:val="008206FC"/>
    <w:rsid w:val="00820F35"/>
    <w:rsid w:val="00820FEC"/>
    <w:rsid w:val="008214D8"/>
    <w:rsid w:val="00821AE8"/>
    <w:rsid w:val="00822FF3"/>
    <w:rsid w:val="008231CF"/>
    <w:rsid w:val="00823429"/>
    <w:rsid w:val="0082393D"/>
    <w:rsid w:val="00823DE0"/>
    <w:rsid w:val="00824BFC"/>
    <w:rsid w:val="00824FAC"/>
    <w:rsid w:val="0082661F"/>
    <w:rsid w:val="00826CA6"/>
    <w:rsid w:val="00827A85"/>
    <w:rsid w:val="00827EEB"/>
    <w:rsid w:val="00830821"/>
    <w:rsid w:val="00830BC4"/>
    <w:rsid w:val="00830D92"/>
    <w:rsid w:val="008314F2"/>
    <w:rsid w:val="00831DF7"/>
    <w:rsid w:val="00831ED5"/>
    <w:rsid w:val="00832177"/>
    <w:rsid w:val="0083324D"/>
    <w:rsid w:val="00833AA0"/>
    <w:rsid w:val="00833AFA"/>
    <w:rsid w:val="00834160"/>
    <w:rsid w:val="00834929"/>
    <w:rsid w:val="008353D9"/>
    <w:rsid w:val="008354D0"/>
    <w:rsid w:val="00835595"/>
    <w:rsid w:val="0083585E"/>
    <w:rsid w:val="0083636A"/>
    <w:rsid w:val="0084143B"/>
    <w:rsid w:val="00841733"/>
    <w:rsid w:val="0084237C"/>
    <w:rsid w:val="00842484"/>
    <w:rsid w:val="0084272C"/>
    <w:rsid w:val="008433D2"/>
    <w:rsid w:val="00843447"/>
    <w:rsid w:val="00843C0B"/>
    <w:rsid w:val="008440F5"/>
    <w:rsid w:val="00844354"/>
    <w:rsid w:val="00844434"/>
    <w:rsid w:val="0084487B"/>
    <w:rsid w:val="00844BD4"/>
    <w:rsid w:val="00844D38"/>
    <w:rsid w:val="00844D85"/>
    <w:rsid w:val="0084563E"/>
    <w:rsid w:val="0084591F"/>
    <w:rsid w:val="008460B0"/>
    <w:rsid w:val="0084660B"/>
    <w:rsid w:val="008466C5"/>
    <w:rsid w:val="00846C55"/>
    <w:rsid w:val="008473CB"/>
    <w:rsid w:val="0084777B"/>
    <w:rsid w:val="00847A58"/>
    <w:rsid w:val="00847F30"/>
    <w:rsid w:val="00847F98"/>
    <w:rsid w:val="0085046A"/>
    <w:rsid w:val="008509D5"/>
    <w:rsid w:val="00850C4B"/>
    <w:rsid w:val="00850E71"/>
    <w:rsid w:val="008513E1"/>
    <w:rsid w:val="0085146E"/>
    <w:rsid w:val="0085193A"/>
    <w:rsid w:val="00851B6E"/>
    <w:rsid w:val="00851F2A"/>
    <w:rsid w:val="0085246F"/>
    <w:rsid w:val="008524BE"/>
    <w:rsid w:val="00852505"/>
    <w:rsid w:val="00852E36"/>
    <w:rsid w:val="00853008"/>
    <w:rsid w:val="0085306F"/>
    <w:rsid w:val="008531A4"/>
    <w:rsid w:val="00853243"/>
    <w:rsid w:val="00853BC2"/>
    <w:rsid w:val="00853C7E"/>
    <w:rsid w:val="00854278"/>
    <w:rsid w:val="008549E5"/>
    <w:rsid w:val="00854E88"/>
    <w:rsid w:val="00854F07"/>
    <w:rsid w:val="00854F54"/>
    <w:rsid w:val="00855197"/>
    <w:rsid w:val="008552CF"/>
    <w:rsid w:val="008556EE"/>
    <w:rsid w:val="00855B24"/>
    <w:rsid w:val="00855F7B"/>
    <w:rsid w:val="00856038"/>
    <w:rsid w:val="00856063"/>
    <w:rsid w:val="008562BC"/>
    <w:rsid w:val="00856333"/>
    <w:rsid w:val="00856652"/>
    <w:rsid w:val="008566B2"/>
    <w:rsid w:val="00856D1A"/>
    <w:rsid w:val="00857172"/>
    <w:rsid w:val="008578FB"/>
    <w:rsid w:val="00860B01"/>
    <w:rsid w:val="00860DE4"/>
    <w:rsid w:val="00861930"/>
    <w:rsid w:val="008619F0"/>
    <w:rsid w:val="0086236A"/>
    <w:rsid w:val="00862B94"/>
    <w:rsid w:val="00863082"/>
    <w:rsid w:val="00863F3B"/>
    <w:rsid w:val="008648BD"/>
    <w:rsid w:val="00864A80"/>
    <w:rsid w:val="008655B2"/>
    <w:rsid w:val="0086569A"/>
    <w:rsid w:val="00866989"/>
    <w:rsid w:val="00867A36"/>
    <w:rsid w:val="00867A8E"/>
    <w:rsid w:val="00867C26"/>
    <w:rsid w:val="00867C3F"/>
    <w:rsid w:val="00870002"/>
    <w:rsid w:val="008700CE"/>
    <w:rsid w:val="008702A8"/>
    <w:rsid w:val="0087035A"/>
    <w:rsid w:val="00870FD4"/>
    <w:rsid w:val="008719F9"/>
    <w:rsid w:val="00871BEA"/>
    <w:rsid w:val="00871C1E"/>
    <w:rsid w:val="00871D15"/>
    <w:rsid w:val="00871D17"/>
    <w:rsid w:val="00871E05"/>
    <w:rsid w:val="00872058"/>
    <w:rsid w:val="00872172"/>
    <w:rsid w:val="00872345"/>
    <w:rsid w:val="00872B3E"/>
    <w:rsid w:val="00872C75"/>
    <w:rsid w:val="00873456"/>
    <w:rsid w:val="0087347D"/>
    <w:rsid w:val="00873CA1"/>
    <w:rsid w:val="00873FB9"/>
    <w:rsid w:val="0087524E"/>
    <w:rsid w:val="0087556D"/>
    <w:rsid w:val="00876025"/>
    <w:rsid w:val="00877372"/>
    <w:rsid w:val="00877660"/>
    <w:rsid w:val="0087773A"/>
    <w:rsid w:val="00877B0B"/>
    <w:rsid w:val="00880121"/>
    <w:rsid w:val="0088185C"/>
    <w:rsid w:val="0088192E"/>
    <w:rsid w:val="0088208B"/>
    <w:rsid w:val="0088214A"/>
    <w:rsid w:val="00882CF6"/>
    <w:rsid w:val="00882DAD"/>
    <w:rsid w:val="00882E12"/>
    <w:rsid w:val="0088313D"/>
    <w:rsid w:val="0088390A"/>
    <w:rsid w:val="00883E5C"/>
    <w:rsid w:val="008843F5"/>
    <w:rsid w:val="00884848"/>
    <w:rsid w:val="00884E5B"/>
    <w:rsid w:val="00884F32"/>
    <w:rsid w:val="00885263"/>
    <w:rsid w:val="00885DD8"/>
    <w:rsid w:val="0088625F"/>
    <w:rsid w:val="00886878"/>
    <w:rsid w:val="008868A8"/>
    <w:rsid w:val="008869B1"/>
    <w:rsid w:val="00886C15"/>
    <w:rsid w:val="00886EAF"/>
    <w:rsid w:val="00886F6A"/>
    <w:rsid w:val="008873A0"/>
    <w:rsid w:val="008902F2"/>
    <w:rsid w:val="00890BEB"/>
    <w:rsid w:val="00890D93"/>
    <w:rsid w:val="0089103C"/>
    <w:rsid w:val="0089118D"/>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E81"/>
    <w:rsid w:val="008A3049"/>
    <w:rsid w:val="008A306A"/>
    <w:rsid w:val="008A306E"/>
    <w:rsid w:val="008A3F15"/>
    <w:rsid w:val="008A44F2"/>
    <w:rsid w:val="008A46D6"/>
    <w:rsid w:val="008A4887"/>
    <w:rsid w:val="008A4A49"/>
    <w:rsid w:val="008A4D60"/>
    <w:rsid w:val="008A53EE"/>
    <w:rsid w:val="008A5AA9"/>
    <w:rsid w:val="008A5C0F"/>
    <w:rsid w:val="008A67B2"/>
    <w:rsid w:val="008A6CF5"/>
    <w:rsid w:val="008A6FE4"/>
    <w:rsid w:val="008A714C"/>
    <w:rsid w:val="008B012A"/>
    <w:rsid w:val="008B10E4"/>
    <w:rsid w:val="008B1596"/>
    <w:rsid w:val="008B16F0"/>
    <w:rsid w:val="008B31A6"/>
    <w:rsid w:val="008B3ACF"/>
    <w:rsid w:val="008B4062"/>
    <w:rsid w:val="008B4B14"/>
    <w:rsid w:val="008B506A"/>
    <w:rsid w:val="008B56D7"/>
    <w:rsid w:val="008B5977"/>
    <w:rsid w:val="008B6206"/>
    <w:rsid w:val="008B63EC"/>
    <w:rsid w:val="008B6E2F"/>
    <w:rsid w:val="008B7A43"/>
    <w:rsid w:val="008C06A5"/>
    <w:rsid w:val="008C0807"/>
    <w:rsid w:val="008C09C4"/>
    <w:rsid w:val="008C09DC"/>
    <w:rsid w:val="008C0B7B"/>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3D52"/>
    <w:rsid w:val="008C4014"/>
    <w:rsid w:val="008C4392"/>
    <w:rsid w:val="008C476A"/>
    <w:rsid w:val="008C4857"/>
    <w:rsid w:val="008C5C68"/>
    <w:rsid w:val="008C5F0F"/>
    <w:rsid w:val="008C646F"/>
    <w:rsid w:val="008C65B6"/>
    <w:rsid w:val="008C6B6E"/>
    <w:rsid w:val="008C6C1C"/>
    <w:rsid w:val="008C73E8"/>
    <w:rsid w:val="008D016B"/>
    <w:rsid w:val="008D0258"/>
    <w:rsid w:val="008D04C6"/>
    <w:rsid w:val="008D08DC"/>
    <w:rsid w:val="008D0EE3"/>
    <w:rsid w:val="008D129C"/>
    <w:rsid w:val="008D12D7"/>
    <w:rsid w:val="008D1D6A"/>
    <w:rsid w:val="008D2AC2"/>
    <w:rsid w:val="008D34E0"/>
    <w:rsid w:val="008D429B"/>
    <w:rsid w:val="008D45B1"/>
    <w:rsid w:val="008D4689"/>
    <w:rsid w:val="008D48FF"/>
    <w:rsid w:val="008D50EA"/>
    <w:rsid w:val="008D53A4"/>
    <w:rsid w:val="008D61A7"/>
    <w:rsid w:val="008D64F1"/>
    <w:rsid w:val="008D6812"/>
    <w:rsid w:val="008D6C97"/>
    <w:rsid w:val="008D76CA"/>
    <w:rsid w:val="008D7A5E"/>
    <w:rsid w:val="008E0007"/>
    <w:rsid w:val="008E0179"/>
    <w:rsid w:val="008E0374"/>
    <w:rsid w:val="008E0E70"/>
    <w:rsid w:val="008E1077"/>
    <w:rsid w:val="008E1426"/>
    <w:rsid w:val="008E145C"/>
    <w:rsid w:val="008E16B0"/>
    <w:rsid w:val="008E1AA7"/>
    <w:rsid w:val="008E1D5A"/>
    <w:rsid w:val="008E1EFF"/>
    <w:rsid w:val="008E1F5F"/>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6F4"/>
    <w:rsid w:val="008F0A1E"/>
    <w:rsid w:val="008F0FD3"/>
    <w:rsid w:val="008F104E"/>
    <w:rsid w:val="008F1093"/>
    <w:rsid w:val="008F13D6"/>
    <w:rsid w:val="008F1E9C"/>
    <w:rsid w:val="008F2795"/>
    <w:rsid w:val="008F2F6F"/>
    <w:rsid w:val="008F356B"/>
    <w:rsid w:val="008F3AB7"/>
    <w:rsid w:val="008F3D6C"/>
    <w:rsid w:val="008F485A"/>
    <w:rsid w:val="008F58B6"/>
    <w:rsid w:val="008F6791"/>
    <w:rsid w:val="008F6978"/>
    <w:rsid w:val="008F7D12"/>
    <w:rsid w:val="008F7DB1"/>
    <w:rsid w:val="00900BE3"/>
    <w:rsid w:val="00900D4D"/>
    <w:rsid w:val="009010DF"/>
    <w:rsid w:val="009012FC"/>
    <w:rsid w:val="00901303"/>
    <w:rsid w:val="009014B1"/>
    <w:rsid w:val="009015DD"/>
    <w:rsid w:val="00901A65"/>
    <w:rsid w:val="00901D76"/>
    <w:rsid w:val="00902D59"/>
    <w:rsid w:val="0090300F"/>
    <w:rsid w:val="009032BC"/>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6B6"/>
    <w:rsid w:val="00907827"/>
    <w:rsid w:val="009110E7"/>
    <w:rsid w:val="0091133D"/>
    <w:rsid w:val="00911D3A"/>
    <w:rsid w:val="009122F8"/>
    <w:rsid w:val="009124CB"/>
    <w:rsid w:val="00912568"/>
    <w:rsid w:val="00912915"/>
    <w:rsid w:val="009132BB"/>
    <w:rsid w:val="00913870"/>
    <w:rsid w:val="00913A0B"/>
    <w:rsid w:val="00913B4C"/>
    <w:rsid w:val="0091416C"/>
    <w:rsid w:val="009142F6"/>
    <w:rsid w:val="00914DA4"/>
    <w:rsid w:val="009151EE"/>
    <w:rsid w:val="009154B5"/>
    <w:rsid w:val="00915520"/>
    <w:rsid w:val="009155DC"/>
    <w:rsid w:val="009155F7"/>
    <w:rsid w:val="00915704"/>
    <w:rsid w:val="00915937"/>
    <w:rsid w:val="00915EA2"/>
    <w:rsid w:val="00915F3D"/>
    <w:rsid w:val="00916334"/>
    <w:rsid w:val="00917281"/>
    <w:rsid w:val="0091784D"/>
    <w:rsid w:val="00917AA0"/>
    <w:rsid w:val="0092075A"/>
    <w:rsid w:val="00920AE6"/>
    <w:rsid w:val="00920B55"/>
    <w:rsid w:val="00921131"/>
    <w:rsid w:val="009211DE"/>
    <w:rsid w:val="009213FB"/>
    <w:rsid w:val="00922AA5"/>
    <w:rsid w:val="00922B82"/>
    <w:rsid w:val="0092363C"/>
    <w:rsid w:val="009238F7"/>
    <w:rsid w:val="00923C63"/>
    <w:rsid w:val="00923E1F"/>
    <w:rsid w:val="00924605"/>
    <w:rsid w:val="009247F5"/>
    <w:rsid w:val="00924966"/>
    <w:rsid w:val="00924CA6"/>
    <w:rsid w:val="00924F81"/>
    <w:rsid w:val="00925717"/>
    <w:rsid w:val="00925819"/>
    <w:rsid w:val="00925875"/>
    <w:rsid w:val="009258B0"/>
    <w:rsid w:val="00926AB2"/>
    <w:rsid w:val="00927471"/>
    <w:rsid w:val="00927593"/>
    <w:rsid w:val="00927A95"/>
    <w:rsid w:val="00927C17"/>
    <w:rsid w:val="00927C43"/>
    <w:rsid w:val="00927C5C"/>
    <w:rsid w:val="00927CA6"/>
    <w:rsid w:val="00927CEF"/>
    <w:rsid w:val="00931854"/>
    <w:rsid w:val="0093254F"/>
    <w:rsid w:val="0093262B"/>
    <w:rsid w:val="00932B27"/>
    <w:rsid w:val="00932B80"/>
    <w:rsid w:val="00932CFD"/>
    <w:rsid w:val="0093409F"/>
    <w:rsid w:val="00934AA9"/>
    <w:rsid w:val="0093523F"/>
    <w:rsid w:val="009356BA"/>
    <w:rsid w:val="00935723"/>
    <w:rsid w:val="00935CB8"/>
    <w:rsid w:val="00936D0E"/>
    <w:rsid w:val="009373D3"/>
    <w:rsid w:val="009378EB"/>
    <w:rsid w:val="0094075F"/>
    <w:rsid w:val="009407FE"/>
    <w:rsid w:val="009410B7"/>
    <w:rsid w:val="009412F9"/>
    <w:rsid w:val="00941710"/>
    <w:rsid w:val="00941A2E"/>
    <w:rsid w:val="00941E3E"/>
    <w:rsid w:val="00942436"/>
    <w:rsid w:val="00942551"/>
    <w:rsid w:val="00942E87"/>
    <w:rsid w:val="00943263"/>
    <w:rsid w:val="00943358"/>
    <w:rsid w:val="0094344C"/>
    <w:rsid w:val="00944217"/>
    <w:rsid w:val="00945827"/>
    <w:rsid w:val="00945B1A"/>
    <w:rsid w:val="00945F98"/>
    <w:rsid w:val="0094609A"/>
    <w:rsid w:val="009462C7"/>
    <w:rsid w:val="00946A2C"/>
    <w:rsid w:val="00946F1E"/>
    <w:rsid w:val="00947716"/>
    <w:rsid w:val="009479D1"/>
    <w:rsid w:val="00947BFD"/>
    <w:rsid w:val="00947D7E"/>
    <w:rsid w:val="009507C1"/>
    <w:rsid w:val="0095154F"/>
    <w:rsid w:val="00951563"/>
    <w:rsid w:val="00951CD9"/>
    <w:rsid w:val="00952623"/>
    <w:rsid w:val="00952AC8"/>
    <w:rsid w:val="00952B49"/>
    <w:rsid w:val="00952CA0"/>
    <w:rsid w:val="00952FFB"/>
    <w:rsid w:val="009535DE"/>
    <w:rsid w:val="0095361B"/>
    <w:rsid w:val="009539AF"/>
    <w:rsid w:val="00953D70"/>
    <w:rsid w:val="00954726"/>
    <w:rsid w:val="00954A61"/>
    <w:rsid w:val="00954DDD"/>
    <w:rsid w:val="00954EA6"/>
    <w:rsid w:val="00954FE0"/>
    <w:rsid w:val="00956F14"/>
    <w:rsid w:val="00956F62"/>
    <w:rsid w:val="00957603"/>
    <w:rsid w:val="009576F3"/>
    <w:rsid w:val="009579A2"/>
    <w:rsid w:val="00957A1D"/>
    <w:rsid w:val="00957BC0"/>
    <w:rsid w:val="00957D38"/>
    <w:rsid w:val="00960369"/>
    <w:rsid w:val="0096045B"/>
    <w:rsid w:val="009607A2"/>
    <w:rsid w:val="009610A9"/>
    <w:rsid w:val="00961671"/>
    <w:rsid w:val="0096176B"/>
    <w:rsid w:val="00961AC1"/>
    <w:rsid w:val="0096276A"/>
    <w:rsid w:val="0096359F"/>
    <w:rsid w:val="00963F8F"/>
    <w:rsid w:val="00964013"/>
    <w:rsid w:val="00964263"/>
    <w:rsid w:val="0096459E"/>
    <w:rsid w:val="0096487B"/>
    <w:rsid w:val="00965059"/>
    <w:rsid w:val="00965462"/>
    <w:rsid w:val="00965885"/>
    <w:rsid w:val="00965CD1"/>
    <w:rsid w:val="00965D14"/>
    <w:rsid w:val="00965F27"/>
    <w:rsid w:val="00965FF5"/>
    <w:rsid w:val="00966934"/>
    <w:rsid w:val="00967359"/>
    <w:rsid w:val="00970460"/>
    <w:rsid w:val="00970874"/>
    <w:rsid w:val="00970BF4"/>
    <w:rsid w:val="00971B48"/>
    <w:rsid w:val="00972583"/>
    <w:rsid w:val="00972963"/>
    <w:rsid w:val="00972ECE"/>
    <w:rsid w:val="0097326D"/>
    <w:rsid w:val="009734B3"/>
    <w:rsid w:val="00973500"/>
    <w:rsid w:val="009736FE"/>
    <w:rsid w:val="00973AC4"/>
    <w:rsid w:val="00974C4C"/>
    <w:rsid w:val="009757D1"/>
    <w:rsid w:val="00975EB9"/>
    <w:rsid w:val="009768FC"/>
    <w:rsid w:val="00976AB7"/>
    <w:rsid w:val="00976ABE"/>
    <w:rsid w:val="00977631"/>
    <w:rsid w:val="009777B0"/>
    <w:rsid w:val="00977FDA"/>
    <w:rsid w:val="00980381"/>
    <w:rsid w:val="00980557"/>
    <w:rsid w:val="00980754"/>
    <w:rsid w:val="00980D7C"/>
    <w:rsid w:val="00980F74"/>
    <w:rsid w:val="00981443"/>
    <w:rsid w:val="00981535"/>
    <w:rsid w:val="00981B5F"/>
    <w:rsid w:val="00981B78"/>
    <w:rsid w:val="009825C8"/>
    <w:rsid w:val="00982B12"/>
    <w:rsid w:val="009832B9"/>
    <w:rsid w:val="009832E0"/>
    <w:rsid w:val="00983531"/>
    <w:rsid w:val="00983A38"/>
    <w:rsid w:val="0098409F"/>
    <w:rsid w:val="009840AE"/>
    <w:rsid w:val="0098437C"/>
    <w:rsid w:val="009844E5"/>
    <w:rsid w:val="00984616"/>
    <w:rsid w:val="00984A55"/>
    <w:rsid w:val="00984BF1"/>
    <w:rsid w:val="00984DB4"/>
    <w:rsid w:val="00985537"/>
    <w:rsid w:val="00985C01"/>
    <w:rsid w:val="00986130"/>
    <w:rsid w:val="00986438"/>
    <w:rsid w:val="00986885"/>
    <w:rsid w:val="00987567"/>
    <w:rsid w:val="00987663"/>
    <w:rsid w:val="009879E6"/>
    <w:rsid w:val="00987A81"/>
    <w:rsid w:val="00987C5E"/>
    <w:rsid w:val="00987CB5"/>
    <w:rsid w:val="009903BA"/>
    <w:rsid w:val="009903D4"/>
    <w:rsid w:val="0099050A"/>
    <w:rsid w:val="00990ADD"/>
    <w:rsid w:val="009911B1"/>
    <w:rsid w:val="0099142B"/>
    <w:rsid w:val="00991698"/>
    <w:rsid w:val="009917DA"/>
    <w:rsid w:val="009917E7"/>
    <w:rsid w:val="00991AE2"/>
    <w:rsid w:val="00991C17"/>
    <w:rsid w:val="00991C34"/>
    <w:rsid w:val="0099274D"/>
    <w:rsid w:val="00992D1E"/>
    <w:rsid w:val="00992D66"/>
    <w:rsid w:val="00993405"/>
    <w:rsid w:val="00993B1E"/>
    <w:rsid w:val="00993E88"/>
    <w:rsid w:val="0099417E"/>
    <w:rsid w:val="009945EC"/>
    <w:rsid w:val="009946A1"/>
    <w:rsid w:val="009947D7"/>
    <w:rsid w:val="00994A54"/>
    <w:rsid w:val="00994D1A"/>
    <w:rsid w:val="00995D8E"/>
    <w:rsid w:val="00995DED"/>
    <w:rsid w:val="009965D6"/>
    <w:rsid w:val="00997EB2"/>
    <w:rsid w:val="009A036C"/>
    <w:rsid w:val="009A054C"/>
    <w:rsid w:val="009A06F5"/>
    <w:rsid w:val="009A0788"/>
    <w:rsid w:val="009A0E92"/>
    <w:rsid w:val="009A0FF3"/>
    <w:rsid w:val="009A1135"/>
    <w:rsid w:val="009A12D9"/>
    <w:rsid w:val="009A17EC"/>
    <w:rsid w:val="009A1A4A"/>
    <w:rsid w:val="009A25D3"/>
    <w:rsid w:val="009A3345"/>
    <w:rsid w:val="009A3756"/>
    <w:rsid w:val="009A3D83"/>
    <w:rsid w:val="009A596B"/>
    <w:rsid w:val="009A63AE"/>
    <w:rsid w:val="009A667A"/>
    <w:rsid w:val="009A6DB2"/>
    <w:rsid w:val="009A759F"/>
    <w:rsid w:val="009A79BB"/>
    <w:rsid w:val="009A7A9C"/>
    <w:rsid w:val="009A7C0F"/>
    <w:rsid w:val="009A7FD0"/>
    <w:rsid w:val="009B02F5"/>
    <w:rsid w:val="009B03DF"/>
    <w:rsid w:val="009B0675"/>
    <w:rsid w:val="009B069F"/>
    <w:rsid w:val="009B1E3A"/>
    <w:rsid w:val="009B1EAB"/>
    <w:rsid w:val="009B208B"/>
    <w:rsid w:val="009B2232"/>
    <w:rsid w:val="009B2A43"/>
    <w:rsid w:val="009B2D84"/>
    <w:rsid w:val="009B3E2E"/>
    <w:rsid w:val="009B3FBB"/>
    <w:rsid w:val="009B4860"/>
    <w:rsid w:val="009B4B4A"/>
    <w:rsid w:val="009B5D45"/>
    <w:rsid w:val="009B636F"/>
    <w:rsid w:val="009B6AF0"/>
    <w:rsid w:val="009B6CE4"/>
    <w:rsid w:val="009B6EB7"/>
    <w:rsid w:val="009B7209"/>
    <w:rsid w:val="009B75FA"/>
    <w:rsid w:val="009C0579"/>
    <w:rsid w:val="009C09F3"/>
    <w:rsid w:val="009C0B12"/>
    <w:rsid w:val="009C0CD2"/>
    <w:rsid w:val="009C128C"/>
    <w:rsid w:val="009C1604"/>
    <w:rsid w:val="009C1E96"/>
    <w:rsid w:val="009C20A8"/>
    <w:rsid w:val="009C292D"/>
    <w:rsid w:val="009C2E0C"/>
    <w:rsid w:val="009C3903"/>
    <w:rsid w:val="009C3928"/>
    <w:rsid w:val="009C4094"/>
    <w:rsid w:val="009C50F1"/>
    <w:rsid w:val="009C5398"/>
    <w:rsid w:val="009C5A51"/>
    <w:rsid w:val="009C5F0C"/>
    <w:rsid w:val="009C67C0"/>
    <w:rsid w:val="009C6C4B"/>
    <w:rsid w:val="009C6D40"/>
    <w:rsid w:val="009C7A56"/>
    <w:rsid w:val="009C7ECF"/>
    <w:rsid w:val="009D0B9E"/>
    <w:rsid w:val="009D0BD7"/>
    <w:rsid w:val="009D0C18"/>
    <w:rsid w:val="009D0C3E"/>
    <w:rsid w:val="009D0D36"/>
    <w:rsid w:val="009D1035"/>
    <w:rsid w:val="009D1059"/>
    <w:rsid w:val="009D13D0"/>
    <w:rsid w:val="009D1B09"/>
    <w:rsid w:val="009D2068"/>
    <w:rsid w:val="009D2836"/>
    <w:rsid w:val="009D363D"/>
    <w:rsid w:val="009D38C0"/>
    <w:rsid w:val="009D3AB0"/>
    <w:rsid w:val="009D3BE0"/>
    <w:rsid w:val="009D41AD"/>
    <w:rsid w:val="009D41CC"/>
    <w:rsid w:val="009D4D46"/>
    <w:rsid w:val="009D562B"/>
    <w:rsid w:val="009D575B"/>
    <w:rsid w:val="009D5A47"/>
    <w:rsid w:val="009D5F60"/>
    <w:rsid w:val="009D6113"/>
    <w:rsid w:val="009D6193"/>
    <w:rsid w:val="009D6A1B"/>
    <w:rsid w:val="009D6B55"/>
    <w:rsid w:val="009D6BC5"/>
    <w:rsid w:val="009D6BC9"/>
    <w:rsid w:val="009D6DA4"/>
    <w:rsid w:val="009D7470"/>
    <w:rsid w:val="009D74D1"/>
    <w:rsid w:val="009D7861"/>
    <w:rsid w:val="009D7D33"/>
    <w:rsid w:val="009E01FC"/>
    <w:rsid w:val="009E0317"/>
    <w:rsid w:val="009E0419"/>
    <w:rsid w:val="009E0C8D"/>
    <w:rsid w:val="009E0FD9"/>
    <w:rsid w:val="009E11BF"/>
    <w:rsid w:val="009E14CC"/>
    <w:rsid w:val="009E1999"/>
    <w:rsid w:val="009E2284"/>
    <w:rsid w:val="009E237C"/>
    <w:rsid w:val="009E2F1C"/>
    <w:rsid w:val="009E305C"/>
    <w:rsid w:val="009E324D"/>
    <w:rsid w:val="009E39E2"/>
    <w:rsid w:val="009E46BF"/>
    <w:rsid w:val="009E4DD4"/>
    <w:rsid w:val="009E4E3F"/>
    <w:rsid w:val="009E5B49"/>
    <w:rsid w:val="009E6224"/>
    <w:rsid w:val="009E64B8"/>
    <w:rsid w:val="009E698B"/>
    <w:rsid w:val="009E6D4A"/>
    <w:rsid w:val="009E7C2F"/>
    <w:rsid w:val="009F004F"/>
    <w:rsid w:val="009F00B2"/>
    <w:rsid w:val="009F044B"/>
    <w:rsid w:val="009F06AA"/>
    <w:rsid w:val="009F0BB6"/>
    <w:rsid w:val="009F0BED"/>
    <w:rsid w:val="009F0F0A"/>
    <w:rsid w:val="009F0F77"/>
    <w:rsid w:val="009F0FBE"/>
    <w:rsid w:val="009F1547"/>
    <w:rsid w:val="009F169E"/>
    <w:rsid w:val="009F1A08"/>
    <w:rsid w:val="009F1A1B"/>
    <w:rsid w:val="009F1CB5"/>
    <w:rsid w:val="009F1E07"/>
    <w:rsid w:val="009F2186"/>
    <w:rsid w:val="009F2542"/>
    <w:rsid w:val="009F2BAF"/>
    <w:rsid w:val="009F30AF"/>
    <w:rsid w:val="009F3475"/>
    <w:rsid w:val="009F35E0"/>
    <w:rsid w:val="009F3836"/>
    <w:rsid w:val="009F45FE"/>
    <w:rsid w:val="009F47E8"/>
    <w:rsid w:val="009F4ABA"/>
    <w:rsid w:val="009F50F4"/>
    <w:rsid w:val="009F55FF"/>
    <w:rsid w:val="009F5914"/>
    <w:rsid w:val="009F591B"/>
    <w:rsid w:val="009F6FEF"/>
    <w:rsid w:val="009F71BE"/>
    <w:rsid w:val="009F7225"/>
    <w:rsid w:val="009F7257"/>
    <w:rsid w:val="009F7706"/>
    <w:rsid w:val="00A00317"/>
    <w:rsid w:val="00A00963"/>
    <w:rsid w:val="00A0167D"/>
    <w:rsid w:val="00A01D0B"/>
    <w:rsid w:val="00A02A9B"/>
    <w:rsid w:val="00A02D14"/>
    <w:rsid w:val="00A053F6"/>
    <w:rsid w:val="00A057DA"/>
    <w:rsid w:val="00A057FA"/>
    <w:rsid w:val="00A0598C"/>
    <w:rsid w:val="00A05C7D"/>
    <w:rsid w:val="00A066AE"/>
    <w:rsid w:val="00A07426"/>
    <w:rsid w:val="00A10DD9"/>
    <w:rsid w:val="00A1117F"/>
    <w:rsid w:val="00A11ACF"/>
    <w:rsid w:val="00A11D21"/>
    <w:rsid w:val="00A11D9F"/>
    <w:rsid w:val="00A12565"/>
    <w:rsid w:val="00A12758"/>
    <w:rsid w:val="00A12C6B"/>
    <w:rsid w:val="00A12E41"/>
    <w:rsid w:val="00A12FE6"/>
    <w:rsid w:val="00A13151"/>
    <w:rsid w:val="00A13525"/>
    <w:rsid w:val="00A13C4B"/>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D01"/>
    <w:rsid w:val="00A20F78"/>
    <w:rsid w:val="00A218F1"/>
    <w:rsid w:val="00A21A75"/>
    <w:rsid w:val="00A21D1D"/>
    <w:rsid w:val="00A22250"/>
    <w:rsid w:val="00A2263C"/>
    <w:rsid w:val="00A236F4"/>
    <w:rsid w:val="00A24394"/>
    <w:rsid w:val="00A2448F"/>
    <w:rsid w:val="00A258FB"/>
    <w:rsid w:val="00A25BCD"/>
    <w:rsid w:val="00A26060"/>
    <w:rsid w:val="00A269C9"/>
    <w:rsid w:val="00A27070"/>
    <w:rsid w:val="00A27271"/>
    <w:rsid w:val="00A27CED"/>
    <w:rsid w:val="00A27DEE"/>
    <w:rsid w:val="00A31025"/>
    <w:rsid w:val="00A31563"/>
    <w:rsid w:val="00A31932"/>
    <w:rsid w:val="00A31B93"/>
    <w:rsid w:val="00A3202D"/>
    <w:rsid w:val="00A32BE6"/>
    <w:rsid w:val="00A32EB7"/>
    <w:rsid w:val="00A33BD6"/>
    <w:rsid w:val="00A33CA7"/>
    <w:rsid w:val="00A34BBC"/>
    <w:rsid w:val="00A34C4D"/>
    <w:rsid w:val="00A34E06"/>
    <w:rsid w:val="00A34FFC"/>
    <w:rsid w:val="00A35910"/>
    <w:rsid w:val="00A35ADD"/>
    <w:rsid w:val="00A35B9D"/>
    <w:rsid w:val="00A35D32"/>
    <w:rsid w:val="00A36749"/>
    <w:rsid w:val="00A36F9C"/>
    <w:rsid w:val="00A375EF"/>
    <w:rsid w:val="00A377CD"/>
    <w:rsid w:val="00A37896"/>
    <w:rsid w:val="00A37C3C"/>
    <w:rsid w:val="00A40643"/>
    <w:rsid w:val="00A40981"/>
    <w:rsid w:val="00A41757"/>
    <w:rsid w:val="00A423C4"/>
    <w:rsid w:val="00A4294B"/>
    <w:rsid w:val="00A43195"/>
    <w:rsid w:val="00A4342E"/>
    <w:rsid w:val="00A444BE"/>
    <w:rsid w:val="00A44E68"/>
    <w:rsid w:val="00A457C2"/>
    <w:rsid w:val="00A46C22"/>
    <w:rsid w:val="00A46D7F"/>
    <w:rsid w:val="00A475C5"/>
    <w:rsid w:val="00A47B68"/>
    <w:rsid w:val="00A50128"/>
    <w:rsid w:val="00A50D1F"/>
    <w:rsid w:val="00A51751"/>
    <w:rsid w:val="00A517B6"/>
    <w:rsid w:val="00A517F5"/>
    <w:rsid w:val="00A519B0"/>
    <w:rsid w:val="00A5221B"/>
    <w:rsid w:val="00A522D1"/>
    <w:rsid w:val="00A52542"/>
    <w:rsid w:val="00A528C2"/>
    <w:rsid w:val="00A52B18"/>
    <w:rsid w:val="00A53930"/>
    <w:rsid w:val="00A53A5D"/>
    <w:rsid w:val="00A53B8A"/>
    <w:rsid w:val="00A53BEB"/>
    <w:rsid w:val="00A5433A"/>
    <w:rsid w:val="00A54602"/>
    <w:rsid w:val="00A54AFD"/>
    <w:rsid w:val="00A54E69"/>
    <w:rsid w:val="00A55857"/>
    <w:rsid w:val="00A567BB"/>
    <w:rsid w:val="00A56BFE"/>
    <w:rsid w:val="00A56D82"/>
    <w:rsid w:val="00A56F2F"/>
    <w:rsid w:val="00A57306"/>
    <w:rsid w:val="00A603B7"/>
    <w:rsid w:val="00A603C7"/>
    <w:rsid w:val="00A60FC9"/>
    <w:rsid w:val="00A61080"/>
    <w:rsid w:val="00A61833"/>
    <w:rsid w:val="00A61B06"/>
    <w:rsid w:val="00A61C8F"/>
    <w:rsid w:val="00A61F1A"/>
    <w:rsid w:val="00A61FF9"/>
    <w:rsid w:val="00A62113"/>
    <w:rsid w:val="00A62BD7"/>
    <w:rsid w:val="00A630BE"/>
    <w:rsid w:val="00A63230"/>
    <w:rsid w:val="00A63379"/>
    <w:rsid w:val="00A633EB"/>
    <w:rsid w:val="00A63774"/>
    <w:rsid w:val="00A64872"/>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EA"/>
    <w:rsid w:val="00A721A7"/>
    <w:rsid w:val="00A72227"/>
    <w:rsid w:val="00A72C65"/>
    <w:rsid w:val="00A72CE7"/>
    <w:rsid w:val="00A738C1"/>
    <w:rsid w:val="00A73A3B"/>
    <w:rsid w:val="00A74256"/>
    <w:rsid w:val="00A74751"/>
    <w:rsid w:val="00A74901"/>
    <w:rsid w:val="00A75031"/>
    <w:rsid w:val="00A75580"/>
    <w:rsid w:val="00A75733"/>
    <w:rsid w:val="00A76308"/>
    <w:rsid w:val="00A76C6E"/>
    <w:rsid w:val="00A76F86"/>
    <w:rsid w:val="00A776C7"/>
    <w:rsid w:val="00A77717"/>
    <w:rsid w:val="00A7781A"/>
    <w:rsid w:val="00A77AC1"/>
    <w:rsid w:val="00A77C08"/>
    <w:rsid w:val="00A80ACB"/>
    <w:rsid w:val="00A81492"/>
    <w:rsid w:val="00A81527"/>
    <w:rsid w:val="00A815B9"/>
    <w:rsid w:val="00A82058"/>
    <w:rsid w:val="00A823DC"/>
    <w:rsid w:val="00A82AC6"/>
    <w:rsid w:val="00A82DE6"/>
    <w:rsid w:val="00A8365D"/>
    <w:rsid w:val="00A83C22"/>
    <w:rsid w:val="00A84AE7"/>
    <w:rsid w:val="00A84DAF"/>
    <w:rsid w:val="00A84E8D"/>
    <w:rsid w:val="00A851E6"/>
    <w:rsid w:val="00A8565E"/>
    <w:rsid w:val="00A858D8"/>
    <w:rsid w:val="00A86576"/>
    <w:rsid w:val="00A8668D"/>
    <w:rsid w:val="00A8672E"/>
    <w:rsid w:val="00A869B0"/>
    <w:rsid w:val="00A869B8"/>
    <w:rsid w:val="00A871F0"/>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586A"/>
    <w:rsid w:val="00A963A5"/>
    <w:rsid w:val="00A9696D"/>
    <w:rsid w:val="00A96A31"/>
    <w:rsid w:val="00A96BBA"/>
    <w:rsid w:val="00A97082"/>
    <w:rsid w:val="00A97301"/>
    <w:rsid w:val="00A9774D"/>
    <w:rsid w:val="00A97829"/>
    <w:rsid w:val="00A979A3"/>
    <w:rsid w:val="00AA0175"/>
    <w:rsid w:val="00AA03A9"/>
    <w:rsid w:val="00AA0965"/>
    <w:rsid w:val="00AA0975"/>
    <w:rsid w:val="00AA0B33"/>
    <w:rsid w:val="00AA0C77"/>
    <w:rsid w:val="00AA106D"/>
    <w:rsid w:val="00AA1D27"/>
    <w:rsid w:val="00AA204C"/>
    <w:rsid w:val="00AA2239"/>
    <w:rsid w:val="00AA2D57"/>
    <w:rsid w:val="00AA2E53"/>
    <w:rsid w:val="00AA3000"/>
    <w:rsid w:val="00AA3941"/>
    <w:rsid w:val="00AA3C70"/>
    <w:rsid w:val="00AA40F7"/>
    <w:rsid w:val="00AA43EB"/>
    <w:rsid w:val="00AA4482"/>
    <w:rsid w:val="00AA538E"/>
    <w:rsid w:val="00AA56D0"/>
    <w:rsid w:val="00AA588E"/>
    <w:rsid w:val="00AA5FDB"/>
    <w:rsid w:val="00AA610F"/>
    <w:rsid w:val="00AA6223"/>
    <w:rsid w:val="00AA68F2"/>
    <w:rsid w:val="00AB008E"/>
    <w:rsid w:val="00AB01BE"/>
    <w:rsid w:val="00AB056E"/>
    <w:rsid w:val="00AB09DB"/>
    <w:rsid w:val="00AB0C9F"/>
    <w:rsid w:val="00AB0EB2"/>
    <w:rsid w:val="00AB0F63"/>
    <w:rsid w:val="00AB0F65"/>
    <w:rsid w:val="00AB1363"/>
    <w:rsid w:val="00AB143A"/>
    <w:rsid w:val="00AB155C"/>
    <w:rsid w:val="00AB1693"/>
    <w:rsid w:val="00AB2940"/>
    <w:rsid w:val="00AB2C82"/>
    <w:rsid w:val="00AB315C"/>
    <w:rsid w:val="00AB3E3E"/>
    <w:rsid w:val="00AB433D"/>
    <w:rsid w:val="00AB45CA"/>
    <w:rsid w:val="00AB4745"/>
    <w:rsid w:val="00AB47A8"/>
    <w:rsid w:val="00AB54D2"/>
    <w:rsid w:val="00AB553C"/>
    <w:rsid w:val="00AB5BCE"/>
    <w:rsid w:val="00AB5CFB"/>
    <w:rsid w:val="00AB5CFE"/>
    <w:rsid w:val="00AB620D"/>
    <w:rsid w:val="00AB6294"/>
    <w:rsid w:val="00AB632A"/>
    <w:rsid w:val="00AB67E1"/>
    <w:rsid w:val="00AB68F9"/>
    <w:rsid w:val="00AB717A"/>
    <w:rsid w:val="00AB71C6"/>
    <w:rsid w:val="00AB7A07"/>
    <w:rsid w:val="00AB7C18"/>
    <w:rsid w:val="00AB7E96"/>
    <w:rsid w:val="00AC003B"/>
    <w:rsid w:val="00AC003C"/>
    <w:rsid w:val="00AC0103"/>
    <w:rsid w:val="00AC0A8E"/>
    <w:rsid w:val="00AC0F37"/>
    <w:rsid w:val="00AC13E7"/>
    <w:rsid w:val="00AC1404"/>
    <w:rsid w:val="00AC14BD"/>
    <w:rsid w:val="00AC19FF"/>
    <w:rsid w:val="00AC1E27"/>
    <w:rsid w:val="00AC2CDF"/>
    <w:rsid w:val="00AC2E8D"/>
    <w:rsid w:val="00AC316F"/>
    <w:rsid w:val="00AC31EA"/>
    <w:rsid w:val="00AC32B7"/>
    <w:rsid w:val="00AC38BD"/>
    <w:rsid w:val="00AC4881"/>
    <w:rsid w:val="00AC4A71"/>
    <w:rsid w:val="00AC4A91"/>
    <w:rsid w:val="00AC510F"/>
    <w:rsid w:val="00AC52F0"/>
    <w:rsid w:val="00AC54A8"/>
    <w:rsid w:val="00AC5A38"/>
    <w:rsid w:val="00AC5BF4"/>
    <w:rsid w:val="00AC5F91"/>
    <w:rsid w:val="00AC7363"/>
    <w:rsid w:val="00AC7893"/>
    <w:rsid w:val="00AD039F"/>
    <w:rsid w:val="00AD077D"/>
    <w:rsid w:val="00AD0F88"/>
    <w:rsid w:val="00AD10DF"/>
    <w:rsid w:val="00AD1113"/>
    <w:rsid w:val="00AD11A5"/>
    <w:rsid w:val="00AD209A"/>
    <w:rsid w:val="00AD211C"/>
    <w:rsid w:val="00AD24F3"/>
    <w:rsid w:val="00AD2DDF"/>
    <w:rsid w:val="00AD37E0"/>
    <w:rsid w:val="00AD3902"/>
    <w:rsid w:val="00AD3C07"/>
    <w:rsid w:val="00AD3E47"/>
    <w:rsid w:val="00AD3F61"/>
    <w:rsid w:val="00AD44D9"/>
    <w:rsid w:val="00AD49D1"/>
    <w:rsid w:val="00AD4D95"/>
    <w:rsid w:val="00AD4FEE"/>
    <w:rsid w:val="00AD523F"/>
    <w:rsid w:val="00AD5255"/>
    <w:rsid w:val="00AD57F8"/>
    <w:rsid w:val="00AD58A0"/>
    <w:rsid w:val="00AD6010"/>
    <w:rsid w:val="00AD623D"/>
    <w:rsid w:val="00AD6D22"/>
    <w:rsid w:val="00AD6DFC"/>
    <w:rsid w:val="00AD7746"/>
    <w:rsid w:val="00AE03CC"/>
    <w:rsid w:val="00AE0551"/>
    <w:rsid w:val="00AE05F8"/>
    <w:rsid w:val="00AE218D"/>
    <w:rsid w:val="00AE2212"/>
    <w:rsid w:val="00AE2704"/>
    <w:rsid w:val="00AE2F6E"/>
    <w:rsid w:val="00AE319E"/>
    <w:rsid w:val="00AE339E"/>
    <w:rsid w:val="00AE33FF"/>
    <w:rsid w:val="00AE38D4"/>
    <w:rsid w:val="00AE3D5D"/>
    <w:rsid w:val="00AE4854"/>
    <w:rsid w:val="00AE499D"/>
    <w:rsid w:val="00AE4B14"/>
    <w:rsid w:val="00AE4E99"/>
    <w:rsid w:val="00AE4FF8"/>
    <w:rsid w:val="00AE5753"/>
    <w:rsid w:val="00AE5E94"/>
    <w:rsid w:val="00AE5F43"/>
    <w:rsid w:val="00AE6856"/>
    <w:rsid w:val="00AE6D12"/>
    <w:rsid w:val="00AE78D9"/>
    <w:rsid w:val="00AF026B"/>
    <w:rsid w:val="00AF06D5"/>
    <w:rsid w:val="00AF09DD"/>
    <w:rsid w:val="00AF15B0"/>
    <w:rsid w:val="00AF1AF3"/>
    <w:rsid w:val="00AF246B"/>
    <w:rsid w:val="00AF2F61"/>
    <w:rsid w:val="00AF3C3E"/>
    <w:rsid w:val="00AF40DE"/>
    <w:rsid w:val="00AF425E"/>
    <w:rsid w:val="00AF4B72"/>
    <w:rsid w:val="00AF4BEE"/>
    <w:rsid w:val="00AF4E49"/>
    <w:rsid w:val="00AF56BE"/>
    <w:rsid w:val="00AF5B2F"/>
    <w:rsid w:val="00AF5D7A"/>
    <w:rsid w:val="00AF6067"/>
    <w:rsid w:val="00AF61F1"/>
    <w:rsid w:val="00AF6557"/>
    <w:rsid w:val="00AF6637"/>
    <w:rsid w:val="00AF666D"/>
    <w:rsid w:val="00AF7B95"/>
    <w:rsid w:val="00AF7DB4"/>
    <w:rsid w:val="00B00827"/>
    <w:rsid w:val="00B009CC"/>
    <w:rsid w:val="00B00B92"/>
    <w:rsid w:val="00B01008"/>
    <w:rsid w:val="00B01192"/>
    <w:rsid w:val="00B016BB"/>
    <w:rsid w:val="00B01A94"/>
    <w:rsid w:val="00B01CEC"/>
    <w:rsid w:val="00B024CA"/>
    <w:rsid w:val="00B024F0"/>
    <w:rsid w:val="00B02636"/>
    <w:rsid w:val="00B02655"/>
    <w:rsid w:val="00B02E72"/>
    <w:rsid w:val="00B0339B"/>
    <w:rsid w:val="00B03BCC"/>
    <w:rsid w:val="00B04B53"/>
    <w:rsid w:val="00B05094"/>
    <w:rsid w:val="00B05102"/>
    <w:rsid w:val="00B05227"/>
    <w:rsid w:val="00B058C6"/>
    <w:rsid w:val="00B06130"/>
    <w:rsid w:val="00B061E0"/>
    <w:rsid w:val="00B06F57"/>
    <w:rsid w:val="00B0706B"/>
    <w:rsid w:val="00B079F9"/>
    <w:rsid w:val="00B07BBB"/>
    <w:rsid w:val="00B1016F"/>
    <w:rsid w:val="00B10263"/>
    <w:rsid w:val="00B102DD"/>
    <w:rsid w:val="00B10376"/>
    <w:rsid w:val="00B105D3"/>
    <w:rsid w:val="00B10865"/>
    <w:rsid w:val="00B10D36"/>
    <w:rsid w:val="00B11A26"/>
    <w:rsid w:val="00B11C26"/>
    <w:rsid w:val="00B11DEE"/>
    <w:rsid w:val="00B12661"/>
    <w:rsid w:val="00B1269A"/>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2E51"/>
    <w:rsid w:val="00B23933"/>
    <w:rsid w:val="00B24787"/>
    <w:rsid w:val="00B2489D"/>
    <w:rsid w:val="00B24BF8"/>
    <w:rsid w:val="00B24FAF"/>
    <w:rsid w:val="00B24FB0"/>
    <w:rsid w:val="00B25453"/>
    <w:rsid w:val="00B257DA"/>
    <w:rsid w:val="00B25863"/>
    <w:rsid w:val="00B25955"/>
    <w:rsid w:val="00B25E56"/>
    <w:rsid w:val="00B25ED6"/>
    <w:rsid w:val="00B26968"/>
    <w:rsid w:val="00B26CB4"/>
    <w:rsid w:val="00B274F7"/>
    <w:rsid w:val="00B27DA7"/>
    <w:rsid w:val="00B27E1D"/>
    <w:rsid w:val="00B27F3E"/>
    <w:rsid w:val="00B3057E"/>
    <w:rsid w:val="00B30730"/>
    <w:rsid w:val="00B308DB"/>
    <w:rsid w:val="00B31B9C"/>
    <w:rsid w:val="00B31CD6"/>
    <w:rsid w:val="00B31D61"/>
    <w:rsid w:val="00B33618"/>
    <w:rsid w:val="00B33653"/>
    <w:rsid w:val="00B33BB9"/>
    <w:rsid w:val="00B34205"/>
    <w:rsid w:val="00B34753"/>
    <w:rsid w:val="00B347C2"/>
    <w:rsid w:val="00B34D6C"/>
    <w:rsid w:val="00B35559"/>
    <w:rsid w:val="00B3559C"/>
    <w:rsid w:val="00B360F8"/>
    <w:rsid w:val="00B36A96"/>
    <w:rsid w:val="00B36BF8"/>
    <w:rsid w:val="00B36DB6"/>
    <w:rsid w:val="00B370C4"/>
    <w:rsid w:val="00B3725B"/>
    <w:rsid w:val="00B37432"/>
    <w:rsid w:val="00B40417"/>
    <w:rsid w:val="00B4041C"/>
    <w:rsid w:val="00B4068F"/>
    <w:rsid w:val="00B407ED"/>
    <w:rsid w:val="00B40E9F"/>
    <w:rsid w:val="00B4118A"/>
    <w:rsid w:val="00B4145D"/>
    <w:rsid w:val="00B41516"/>
    <w:rsid w:val="00B416C6"/>
    <w:rsid w:val="00B42B90"/>
    <w:rsid w:val="00B42C50"/>
    <w:rsid w:val="00B44FDB"/>
    <w:rsid w:val="00B45080"/>
    <w:rsid w:val="00B4516C"/>
    <w:rsid w:val="00B46382"/>
    <w:rsid w:val="00B466DA"/>
    <w:rsid w:val="00B46905"/>
    <w:rsid w:val="00B4696B"/>
    <w:rsid w:val="00B46A92"/>
    <w:rsid w:val="00B47113"/>
    <w:rsid w:val="00B47ACA"/>
    <w:rsid w:val="00B47CC6"/>
    <w:rsid w:val="00B500E0"/>
    <w:rsid w:val="00B505B6"/>
    <w:rsid w:val="00B51514"/>
    <w:rsid w:val="00B5200E"/>
    <w:rsid w:val="00B526F6"/>
    <w:rsid w:val="00B52746"/>
    <w:rsid w:val="00B530B3"/>
    <w:rsid w:val="00B5333A"/>
    <w:rsid w:val="00B537FD"/>
    <w:rsid w:val="00B5384F"/>
    <w:rsid w:val="00B53CCF"/>
    <w:rsid w:val="00B54421"/>
    <w:rsid w:val="00B549FB"/>
    <w:rsid w:val="00B552E3"/>
    <w:rsid w:val="00B5544F"/>
    <w:rsid w:val="00B55787"/>
    <w:rsid w:val="00B55C9A"/>
    <w:rsid w:val="00B55CFB"/>
    <w:rsid w:val="00B55E5D"/>
    <w:rsid w:val="00B562E4"/>
    <w:rsid w:val="00B564E7"/>
    <w:rsid w:val="00B56826"/>
    <w:rsid w:val="00B56E71"/>
    <w:rsid w:val="00B56FF7"/>
    <w:rsid w:val="00B575B6"/>
    <w:rsid w:val="00B577A8"/>
    <w:rsid w:val="00B577EA"/>
    <w:rsid w:val="00B577FF"/>
    <w:rsid w:val="00B57E94"/>
    <w:rsid w:val="00B606DC"/>
    <w:rsid w:val="00B6099B"/>
    <w:rsid w:val="00B60A36"/>
    <w:rsid w:val="00B60A8B"/>
    <w:rsid w:val="00B61155"/>
    <w:rsid w:val="00B6154D"/>
    <w:rsid w:val="00B61C3C"/>
    <w:rsid w:val="00B6285D"/>
    <w:rsid w:val="00B6293C"/>
    <w:rsid w:val="00B63371"/>
    <w:rsid w:val="00B63B49"/>
    <w:rsid w:val="00B63EB9"/>
    <w:rsid w:val="00B64407"/>
    <w:rsid w:val="00B65409"/>
    <w:rsid w:val="00B654EB"/>
    <w:rsid w:val="00B65540"/>
    <w:rsid w:val="00B664DC"/>
    <w:rsid w:val="00B66867"/>
    <w:rsid w:val="00B66994"/>
    <w:rsid w:val="00B66EF5"/>
    <w:rsid w:val="00B6715A"/>
    <w:rsid w:val="00B67749"/>
    <w:rsid w:val="00B67A14"/>
    <w:rsid w:val="00B67BFA"/>
    <w:rsid w:val="00B67D62"/>
    <w:rsid w:val="00B703F6"/>
    <w:rsid w:val="00B70757"/>
    <w:rsid w:val="00B7079D"/>
    <w:rsid w:val="00B707FE"/>
    <w:rsid w:val="00B710D8"/>
    <w:rsid w:val="00B71726"/>
    <w:rsid w:val="00B71A16"/>
    <w:rsid w:val="00B71A1E"/>
    <w:rsid w:val="00B71AFB"/>
    <w:rsid w:val="00B71F3A"/>
    <w:rsid w:val="00B728B3"/>
    <w:rsid w:val="00B72C8B"/>
    <w:rsid w:val="00B72D08"/>
    <w:rsid w:val="00B73C97"/>
    <w:rsid w:val="00B744CF"/>
    <w:rsid w:val="00B757DA"/>
    <w:rsid w:val="00B76129"/>
    <w:rsid w:val="00B76340"/>
    <w:rsid w:val="00B763BC"/>
    <w:rsid w:val="00B769D7"/>
    <w:rsid w:val="00B76A88"/>
    <w:rsid w:val="00B76B19"/>
    <w:rsid w:val="00B77573"/>
    <w:rsid w:val="00B80C43"/>
    <w:rsid w:val="00B80DF0"/>
    <w:rsid w:val="00B81141"/>
    <w:rsid w:val="00B815B2"/>
    <w:rsid w:val="00B821F8"/>
    <w:rsid w:val="00B82278"/>
    <w:rsid w:val="00B8264D"/>
    <w:rsid w:val="00B835A5"/>
    <w:rsid w:val="00B836B9"/>
    <w:rsid w:val="00B836F5"/>
    <w:rsid w:val="00B83855"/>
    <w:rsid w:val="00B84CF8"/>
    <w:rsid w:val="00B85B4E"/>
    <w:rsid w:val="00B865DB"/>
    <w:rsid w:val="00B867F4"/>
    <w:rsid w:val="00B868E2"/>
    <w:rsid w:val="00B86FD2"/>
    <w:rsid w:val="00B87381"/>
    <w:rsid w:val="00B87B6D"/>
    <w:rsid w:val="00B87E7C"/>
    <w:rsid w:val="00B87F76"/>
    <w:rsid w:val="00B900D5"/>
    <w:rsid w:val="00B908A3"/>
    <w:rsid w:val="00B90B39"/>
    <w:rsid w:val="00B90DEF"/>
    <w:rsid w:val="00B90DF3"/>
    <w:rsid w:val="00B9144F"/>
    <w:rsid w:val="00B91478"/>
    <w:rsid w:val="00B91FFA"/>
    <w:rsid w:val="00B934AB"/>
    <w:rsid w:val="00B93FF5"/>
    <w:rsid w:val="00B94552"/>
    <w:rsid w:val="00B94786"/>
    <w:rsid w:val="00B94D38"/>
    <w:rsid w:val="00B95189"/>
    <w:rsid w:val="00B9551C"/>
    <w:rsid w:val="00B957A5"/>
    <w:rsid w:val="00B95A7E"/>
    <w:rsid w:val="00B95D25"/>
    <w:rsid w:val="00B95F18"/>
    <w:rsid w:val="00B9607E"/>
    <w:rsid w:val="00B9695E"/>
    <w:rsid w:val="00B96C13"/>
    <w:rsid w:val="00B97042"/>
    <w:rsid w:val="00B970C7"/>
    <w:rsid w:val="00B9773F"/>
    <w:rsid w:val="00B97DE2"/>
    <w:rsid w:val="00BA0D64"/>
    <w:rsid w:val="00BA1F69"/>
    <w:rsid w:val="00BA202C"/>
    <w:rsid w:val="00BA20B1"/>
    <w:rsid w:val="00BA2B9C"/>
    <w:rsid w:val="00BA3351"/>
    <w:rsid w:val="00BA3642"/>
    <w:rsid w:val="00BA44ED"/>
    <w:rsid w:val="00BA5B53"/>
    <w:rsid w:val="00BA5C3E"/>
    <w:rsid w:val="00BA6349"/>
    <w:rsid w:val="00BA63B1"/>
    <w:rsid w:val="00BA6505"/>
    <w:rsid w:val="00BA66BA"/>
    <w:rsid w:val="00BA68A6"/>
    <w:rsid w:val="00BA690F"/>
    <w:rsid w:val="00BA6D05"/>
    <w:rsid w:val="00BA7136"/>
    <w:rsid w:val="00BA7631"/>
    <w:rsid w:val="00BA7715"/>
    <w:rsid w:val="00BA774F"/>
    <w:rsid w:val="00BA78B6"/>
    <w:rsid w:val="00BA79B5"/>
    <w:rsid w:val="00BA7DE9"/>
    <w:rsid w:val="00BB016A"/>
    <w:rsid w:val="00BB03B2"/>
    <w:rsid w:val="00BB0840"/>
    <w:rsid w:val="00BB09AF"/>
    <w:rsid w:val="00BB112D"/>
    <w:rsid w:val="00BB18AD"/>
    <w:rsid w:val="00BB20BA"/>
    <w:rsid w:val="00BB24DF"/>
    <w:rsid w:val="00BB26AD"/>
    <w:rsid w:val="00BB2930"/>
    <w:rsid w:val="00BB29B6"/>
    <w:rsid w:val="00BB3C7D"/>
    <w:rsid w:val="00BB3D25"/>
    <w:rsid w:val="00BB447D"/>
    <w:rsid w:val="00BB4692"/>
    <w:rsid w:val="00BB488D"/>
    <w:rsid w:val="00BB5287"/>
    <w:rsid w:val="00BB53F9"/>
    <w:rsid w:val="00BB5743"/>
    <w:rsid w:val="00BB5E6F"/>
    <w:rsid w:val="00BB66D1"/>
    <w:rsid w:val="00BB6D2B"/>
    <w:rsid w:val="00BB6F41"/>
    <w:rsid w:val="00BB716E"/>
    <w:rsid w:val="00BB7613"/>
    <w:rsid w:val="00BB79BD"/>
    <w:rsid w:val="00BC0EA7"/>
    <w:rsid w:val="00BC10E6"/>
    <w:rsid w:val="00BC1220"/>
    <w:rsid w:val="00BC1250"/>
    <w:rsid w:val="00BC2C62"/>
    <w:rsid w:val="00BC3211"/>
    <w:rsid w:val="00BC3516"/>
    <w:rsid w:val="00BC364C"/>
    <w:rsid w:val="00BC55A3"/>
    <w:rsid w:val="00BC59B3"/>
    <w:rsid w:val="00BC666B"/>
    <w:rsid w:val="00BC6DC2"/>
    <w:rsid w:val="00BC7208"/>
    <w:rsid w:val="00BD0A76"/>
    <w:rsid w:val="00BD0B48"/>
    <w:rsid w:val="00BD0C97"/>
    <w:rsid w:val="00BD1425"/>
    <w:rsid w:val="00BD15FD"/>
    <w:rsid w:val="00BD1643"/>
    <w:rsid w:val="00BD1DF0"/>
    <w:rsid w:val="00BD1E24"/>
    <w:rsid w:val="00BD271D"/>
    <w:rsid w:val="00BD2761"/>
    <w:rsid w:val="00BD2A0A"/>
    <w:rsid w:val="00BD3653"/>
    <w:rsid w:val="00BD3DA7"/>
    <w:rsid w:val="00BD43D6"/>
    <w:rsid w:val="00BD462E"/>
    <w:rsid w:val="00BD4CE7"/>
    <w:rsid w:val="00BD52D9"/>
    <w:rsid w:val="00BD55E2"/>
    <w:rsid w:val="00BD59BD"/>
    <w:rsid w:val="00BD59C1"/>
    <w:rsid w:val="00BD5BEA"/>
    <w:rsid w:val="00BD5D0F"/>
    <w:rsid w:val="00BD6009"/>
    <w:rsid w:val="00BD6E75"/>
    <w:rsid w:val="00BD7025"/>
    <w:rsid w:val="00BD75BA"/>
    <w:rsid w:val="00BD761A"/>
    <w:rsid w:val="00BD7863"/>
    <w:rsid w:val="00BD7A45"/>
    <w:rsid w:val="00BD7A71"/>
    <w:rsid w:val="00BD7B9B"/>
    <w:rsid w:val="00BD7C68"/>
    <w:rsid w:val="00BE034B"/>
    <w:rsid w:val="00BE061D"/>
    <w:rsid w:val="00BE08AA"/>
    <w:rsid w:val="00BE0CC9"/>
    <w:rsid w:val="00BE0EAD"/>
    <w:rsid w:val="00BE15B2"/>
    <w:rsid w:val="00BE1CBC"/>
    <w:rsid w:val="00BE1F49"/>
    <w:rsid w:val="00BE27F9"/>
    <w:rsid w:val="00BE291C"/>
    <w:rsid w:val="00BE29DC"/>
    <w:rsid w:val="00BE34AC"/>
    <w:rsid w:val="00BE358D"/>
    <w:rsid w:val="00BE3B56"/>
    <w:rsid w:val="00BE4254"/>
    <w:rsid w:val="00BE4F69"/>
    <w:rsid w:val="00BE5132"/>
    <w:rsid w:val="00BE5158"/>
    <w:rsid w:val="00BE5393"/>
    <w:rsid w:val="00BE5C7D"/>
    <w:rsid w:val="00BE62E9"/>
    <w:rsid w:val="00BE6BD1"/>
    <w:rsid w:val="00BE70D7"/>
    <w:rsid w:val="00BE78C5"/>
    <w:rsid w:val="00BF0DAA"/>
    <w:rsid w:val="00BF1393"/>
    <w:rsid w:val="00BF1CE2"/>
    <w:rsid w:val="00BF1EA0"/>
    <w:rsid w:val="00BF2170"/>
    <w:rsid w:val="00BF3A71"/>
    <w:rsid w:val="00BF486D"/>
    <w:rsid w:val="00BF60E7"/>
    <w:rsid w:val="00BF65EA"/>
    <w:rsid w:val="00BF697A"/>
    <w:rsid w:val="00BF6ADB"/>
    <w:rsid w:val="00BF6D5A"/>
    <w:rsid w:val="00BF78A0"/>
    <w:rsid w:val="00C0271F"/>
    <w:rsid w:val="00C02DA5"/>
    <w:rsid w:val="00C02F96"/>
    <w:rsid w:val="00C0303B"/>
    <w:rsid w:val="00C031ED"/>
    <w:rsid w:val="00C031F9"/>
    <w:rsid w:val="00C03776"/>
    <w:rsid w:val="00C03E66"/>
    <w:rsid w:val="00C04138"/>
    <w:rsid w:val="00C042ED"/>
    <w:rsid w:val="00C04320"/>
    <w:rsid w:val="00C046A1"/>
    <w:rsid w:val="00C04B9F"/>
    <w:rsid w:val="00C051EF"/>
    <w:rsid w:val="00C0523C"/>
    <w:rsid w:val="00C06006"/>
    <w:rsid w:val="00C07413"/>
    <w:rsid w:val="00C074D9"/>
    <w:rsid w:val="00C0753E"/>
    <w:rsid w:val="00C07C10"/>
    <w:rsid w:val="00C10646"/>
    <w:rsid w:val="00C10A80"/>
    <w:rsid w:val="00C10A86"/>
    <w:rsid w:val="00C10F1C"/>
    <w:rsid w:val="00C11C8D"/>
    <w:rsid w:val="00C12078"/>
    <w:rsid w:val="00C120E9"/>
    <w:rsid w:val="00C12199"/>
    <w:rsid w:val="00C127A9"/>
    <w:rsid w:val="00C12BED"/>
    <w:rsid w:val="00C12C3F"/>
    <w:rsid w:val="00C12C89"/>
    <w:rsid w:val="00C13585"/>
    <w:rsid w:val="00C13821"/>
    <w:rsid w:val="00C13A14"/>
    <w:rsid w:val="00C13BBA"/>
    <w:rsid w:val="00C13E76"/>
    <w:rsid w:val="00C14051"/>
    <w:rsid w:val="00C15667"/>
    <w:rsid w:val="00C15F73"/>
    <w:rsid w:val="00C17170"/>
    <w:rsid w:val="00C2037B"/>
    <w:rsid w:val="00C20A4C"/>
    <w:rsid w:val="00C20B63"/>
    <w:rsid w:val="00C217CB"/>
    <w:rsid w:val="00C21D97"/>
    <w:rsid w:val="00C2205A"/>
    <w:rsid w:val="00C221F2"/>
    <w:rsid w:val="00C22887"/>
    <w:rsid w:val="00C22935"/>
    <w:rsid w:val="00C22B0B"/>
    <w:rsid w:val="00C22FF7"/>
    <w:rsid w:val="00C23C7A"/>
    <w:rsid w:val="00C23DC9"/>
    <w:rsid w:val="00C23EDF"/>
    <w:rsid w:val="00C25009"/>
    <w:rsid w:val="00C25670"/>
    <w:rsid w:val="00C25773"/>
    <w:rsid w:val="00C25F93"/>
    <w:rsid w:val="00C263BF"/>
    <w:rsid w:val="00C26B34"/>
    <w:rsid w:val="00C26E5B"/>
    <w:rsid w:val="00C27A10"/>
    <w:rsid w:val="00C27A2F"/>
    <w:rsid w:val="00C27AC0"/>
    <w:rsid w:val="00C27F75"/>
    <w:rsid w:val="00C27F76"/>
    <w:rsid w:val="00C27F83"/>
    <w:rsid w:val="00C3055E"/>
    <w:rsid w:val="00C30655"/>
    <w:rsid w:val="00C308AF"/>
    <w:rsid w:val="00C30DA4"/>
    <w:rsid w:val="00C3137E"/>
    <w:rsid w:val="00C313CB"/>
    <w:rsid w:val="00C320EE"/>
    <w:rsid w:val="00C32B62"/>
    <w:rsid w:val="00C3329F"/>
    <w:rsid w:val="00C334EC"/>
    <w:rsid w:val="00C33B79"/>
    <w:rsid w:val="00C33D7F"/>
    <w:rsid w:val="00C33E25"/>
    <w:rsid w:val="00C341E4"/>
    <w:rsid w:val="00C34334"/>
    <w:rsid w:val="00C35470"/>
    <w:rsid w:val="00C35F65"/>
    <w:rsid w:val="00C36513"/>
    <w:rsid w:val="00C36E65"/>
    <w:rsid w:val="00C3788C"/>
    <w:rsid w:val="00C41124"/>
    <w:rsid w:val="00C41688"/>
    <w:rsid w:val="00C41A87"/>
    <w:rsid w:val="00C427CE"/>
    <w:rsid w:val="00C4337B"/>
    <w:rsid w:val="00C43536"/>
    <w:rsid w:val="00C43E4B"/>
    <w:rsid w:val="00C44046"/>
    <w:rsid w:val="00C44719"/>
    <w:rsid w:val="00C44A9B"/>
    <w:rsid w:val="00C44D76"/>
    <w:rsid w:val="00C4505B"/>
    <w:rsid w:val="00C4589D"/>
    <w:rsid w:val="00C45D83"/>
    <w:rsid w:val="00C4690E"/>
    <w:rsid w:val="00C46B5B"/>
    <w:rsid w:val="00C46EDD"/>
    <w:rsid w:val="00C471ED"/>
    <w:rsid w:val="00C47438"/>
    <w:rsid w:val="00C47D00"/>
    <w:rsid w:val="00C47D07"/>
    <w:rsid w:val="00C47F43"/>
    <w:rsid w:val="00C50108"/>
    <w:rsid w:val="00C514BD"/>
    <w:rsid w:val="00C51610"/>
    <w:rsid w:val="00C516B5"/>
    <w:rsid w:val="00C516CD"/>
    <w:rsid w:val="00C51BC8"/>
    <w:rsid w:val="00C51E37"/>
    <w:rsid w:val="00C51F6A"/>
    <w:rsid w:val="00C5211B"/>
    <w:rsid w:val="00C5248F"/>
    <w:rsid w:val="00C53422"/>
    <w:rsid w:val="00C53C74"/>
    <w:rsid w:val="00C54D1E"/>
    <w:rsid w:val="00C54DFD"/>
    <w:rsid w:val="00C55AC6"/>
    <w:rsid w:val="00C55B40"/>
    <w:rsid w:val="00C560BC"/>
    <w:rsid w:val="00C56FB5"/>
    <w:rsid w:val="00C56FBE"/>
    <w:rsid w:val="00C57857"/>
    <w:rsid w:val="00C57AB0"/>
    <w:rsid w:val="00C57D74"/>
    <w:rsid w:val="00C60128"/>
    <w:rsid w:val="00C6028F"/>
    <w:rsid w:val="00C60BBE"/>
    <w:rsid w:val="00C60ED4"/>
    <w:rsid w:val="00C61FDC"/>
    <w:rsid w:val="00C6247C"/>
    <w:rsid w:val="00C62593"/>
    <w:rsid w:val="00C62919"/>
    <w:rsid w:val="00C63309"/>
    <w:rsid w:val="00C63F77"/>
    <w:rsid w:val="00C64110"/>
    <w:rsid w:val="00C64200"/>
    <w:rsid w:val="00C64F8B"/>
    <w:rsid w:val="00C6572C"/>
    <w:rsid w:val="00C659E3"/>
    <w:rsid w:val="00C65A2A"/>
    <w:rsid w:val="00C65C5D"/>
    <w:rsid w:val="00C66DAE"/>
    <w:rsid w:val="00C66F88"/>
    <w:rsid w:val="00C6700A"/>
    <w:rsid w:val="00C674CB"/>
    <w:rsid w:val="00C6799A"/>
    <w:rsid w:val="00C67AC4"/>
    <w:rsid w:val="00C7064F"/>
    <w:rsid w:val="00C708F7"/>
    <w:rsid w:val="00C70CFF"/>
    <w:rsid w:val="00C70DD0"/>
    <w:rsid w:val="00C7191A"/>
    <w:rsid w:val="00C71954"/>
    <w:rsid w:val="00C71A6A"/>
    <w:rsid w:val="00C71F2A"/>
    <w:rsid w:val="00C724D8"/>
    <w:rsid w:val="00C72A86"/>
    <w:rsid w:val="00C73A1C"/>
    <w:rsid w:val="00C74092"/>
    <w:rsid w:val="00C7417D"/>
    <w:rsid w:val="00C74286"/>
    <w:rsid w:val="00C74608"/>
    <w:rsid w:val="00C748BE"/>
    <w:rsid w:val="00C75655"/>
    <w:rsid w:val="00C75D4E"/>
    <w:rsid w:val="00C761FB"/>
    <w:rsid w:val="00C7672B"/>
    <w:rsid w:val="00C7691A"/>
    <w:rsid w:val="00C76AF3"/>
    <w:rsid w:val="00C76BE0"/>
    <w:rsid w:val="00C76E2F"/>
    <w:rsid w:val="00C76F2A"/>
    <w:rsid w:val="00C77501"/>
    <w:rsid w:val="00C77A1F"/>
    <w:rsid w:val="00C8021F"/>
    <w:rsid w:val="00C809B9"/>
    <w:rsid w:val="00C80CA5"/>
    <w:rsid w:val="00C819B7"/>
    <w:rsid w:val="00C81C5B"/>
    <w:rsid w:val="00C81DE1"/>
    <w:rsid w:val="00C82414"/>
    <w:rsid w:val="00C8255A"/>
    <w:rsid w:val="00C82819"/>
    <w:rsid w:val="00C82D00"/>
    <w:rsid w:val="00C83083"/>
    <w:rsid w:val="00C837C3"/>
    <w:rsid w:val="00C84497"/>
    <w:rsid w:val="00C84768"/>
    <w:rsid w:val="00C84A7A"/>
    <w:rsid w:val="00C854A6"/>
    <w:rsid w:val="00C85651"/>
    <w:rsid w:val="00C85F76"/>
    <w:rsid w:val="00C868F6"/>
    <w:rsid w:val="00C86953"/>
    <w:rsid w:val="00C86A40"/>
    <w:rsid w:val="00C86ACE"/>
    <w:rsid w:val="00C87F6C"/>
    <w:rsid w:val="00C90502"/>
    <w:rsid w:val="00C9070D"/>
    <w:rsid w:val="00C90BCA"/>
    <w:rsid w:val="00C90D91"/>
    <w:rsid w:val="00C9137C"/>
    <w:rsid w:val="00C914E0"/>
    <w:rsid w:val="00C91644"/>
    <w:rsid w:val="00C916E9"/>
    <w:rsid w:val="00C917B7"/>
    <w:rsid w:val="00C923F6"/>
    <w:rsid w:val="00C926EC"/>
    <w:rsid w:val="00C92A17"/>
    <w:rsid w:val="00C930D3"/>
    <w:rsid w:val="00C93556"/>
    <w:rsid w:val="00C9368B"/>
    <w:rsid w:val="00C95590"/>
    <w:rsid w:val="00C95698"/>
    <w:rsid w:val="00C9663B"/>
    <w:rsid w:val="00C96D64"/>
    <w:rsid w:val="00C9712A"/>
    <w:rsid w:val="00CA092B"/>
    <w:rsid w:val="00CA0B3D"/>
    <w:rsid w:val="00CA1356"/>
    <w:rsid w:val="00CA1792"/>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4FF"/>
    <w:rsid w:val="00CA4EFA"/>
    <w:rsid w:val="00CA515E"/>
    <w:rsid w:val="00CA5AB3"/>
    <w:rsid w:val="00CA5CC1"/>
    <w:rsid w:val="00CA5FDE"/>
    <w:rsid w:val="00CA60A0"/>
    <w:rsid w:val="00CA64B6"/>
    <w:rsid w:val="00CA70A3"/>
    <w:rsid w:val="00CA78BE"/>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6E8"/>
    <w:rsid w:val="00CB57F8"/>
    <w:rsid w:val="00CB5C32"/>
    <w:rsid w:val="00CB5C5E"/>
    <w:rsid w:val="00CB65BF"/>
    <w:rsid w:val="00CB661B"/>
    <w:rsid w:val="00CB6B9A"/>
    <w:rsid w:val="00CB6E2B"/>
    <w:rsid w:val="00CB6FF7"/>
    <w:rsid w:val="00CB70C2"/>
    <w:rsid w:val="00CB7302"/>
    <w:rsid w:val="00CB7371"/>
    <w:rsid w:val="00CB776F"/>
    <w:rsid w:val="00CB792D"/>
    <w:rsid w:val="00CB7B64"/>
    <w:rsid w:val="00CC0C0C"/>
    <w:rsid w:val="00CC0CC3"/>
    <w:rsid w:val="00CC13CF"/>
    <w:rsid w:val="00CC1D86"/>
    <w:rsid w:val="00CC1E9F"/>
    <w:rsid w:val="00CC21F5"/>
    <w:rsid w:val="00CC28CE"/>
    <w:rsid w:val="00CC396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4868"/>
    <w:rsid w:val="00CD50AF"/>
    <w:rsid w:val="00CD538E"/>
    <w:rsid w:val="00CD5988"/>
    <w:rsid w:val="00CD5A0D"/>
    <w:rsid w:val="00CD5CA4"/>
    <w:rsid w:val="00CD616D"/>
    <w:rsid w:val="00CD6379"/>
    <w:rsid w:val="00CD6A2B"/>
    <w:rsid w:val="00CD7887"/>
    <w:rsid w:val="00CD7F9A"/>
    <w:rsid w:val="00CE00B9"/>
    <w:rsid w:val="00CE02FA"/>
    <w:rsid w:val="00CE0483"/>
    <w:rsid w:val="00CE0491"/>
    <w:rsid w:val="00CE051C"/>
    <w:rsid w:val="00CE0C35"/>
    <w:rsid w:val="00CE0C63"/>
    <w:rsid w:val="00CE10F2"/>
    <w:rsid w:val="00CE1ECA"/>
    <w:rsid w:val="00CE2078"/>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4EC"/>
    <w:rsid w:val="00CF0548"/>
    <w:rsid w:val="00CF0A6F"/>
    <w:rsid w:val="00CF0F99"/>
    <w:rsid w:val="00CF13B5"/>
    <w:rsid w:val="00CF1528"/>
    <w:rsid w:val="00CF17FD"/>
    <w:rsid w:val="00CF1AA5"/>
    <w:rsid w:val="00CF2095"/>
    <w:rsid w:val="00CF28BA"/>
    <w:rsid w:val="00CF2C3A"/>
    <w:rsid w:val="00CF3046"/>
    <w:rsid w:val="00CF3980"/>
    <w:rsid w:val="00CF414A"/>
    <w:rsid w:val="00CF4245"/>
    <w:rsid w:val="00CF47E1"/>
    <w:rsid w:val="00CF4FF0"/>
    <w:rsid w:val="00CF51DA"/>
    <w:rsid w:val="00CF57B0"/>
    <w:rsid w:val="00CF5A49"/>
    <w:rsid w:val="00CF5B47"/>
    <w:rsid w:val="00CF5D3A"/>
    <w:rsid w:val="00CF607B"/>
    <w:rsid w:val="00CF6368"/>
    <w:rsid w:val="00CF6869"/>
    <w:rsid w:val="00CF6D28"/>
    <w:rsid w:val="00CF797A"/>
    <w:rsid w:val="00CF7BE9"/>
    <w:rsid w:val="00D00C6D"/>
    <w:rsid w:val="00D013CF"/>
    <w:rsid w:val="00D01FBC"/>
    <w:rsid w:val="00D020B8"/>
    <w:rsid w:val="00D032B9"/>
    <w:rsid w:val="00D032BC"/>
    <w:rsid w:val="00D038C6"/>
    <w:rsid w:val="00D04FDD"/>
    <w:rsid w:val="00D06268"/>
    <w:rsid w:val="00D0675D"/>
    <w:rsid w:val="00D06F42"/>
    <w:rsid w:val="00D07470"/>
    <w:rsid w:val="00D076EF"/>
    <w:rsid w:val="00D07BB6"/>
    <w:rsid w:val="00D07BC4"/>
    <w:rsid w:val="00D1017C"/>
    <w:rsid w:val="00D104F9"/>
    <w:rsid w:val="00D10A33"/>
    <w:rsid w:val="00D10EEF"/>
    <w:rsid w:val="00D11001"/>
    <w:rsid w:val="00D11050"/>
    <w:rsid w:val="00D12A6E"/>
    <w:rsid w:val="00D12DD6"/>
    <w:rsid w:val="00D132D9"/>
    <w:rsid w:val="00D1385B"/>
    <w:rsid w:val="00D139E7"/>
    <w:rsid w:val="00D14323"/>
    <w:rsid w:val="00D1457A"/>
    <w:rsid w:val="00D14763"/>
    <w:rsid w:val="00D14C48"/>
    <w:rsid w:val="00D14E10"/>
    <w:rsid w:val="00D15088"/>
    <w:rsid w:val="00D1581D"/>
    <w:rsid w:val="00D15B6D"/>
    <w:rsid w:val="00D15D9F"/>
    <w:rsid w:val="00D16008"/>
    <w:rsid w:val="00D166D4"/>
    <w:rsid w:val="00D16AC3"/>
    <w:rsid w:val="00D1715F"/>
    <w:rsid w:val="00D202B7"/>
    <w:rsid w:val="00D207DC"/>
    <w:rsid w:val="00D2099C"/>
    <w:rsid w:val="00D20D57"/>
    <w:rsid w:val="00D22631"/>
    <w:rsid w:val="00D22641"/>
    <w:rsid w:val="00D22E73"/>
    <w:rsid w:val="00D24991"/>
    <w:rsid w:val="00D24B8F"/>
    <w:rsid w:val="00D24D66"/>
    <w:rsid w:val="00D2527F"/>
    <w:rsid w:val="00D2555A"/>
    <w:rsid w:val="00D25B17"/>
    <w:rsid w:val="00D264EF"/>
    <w:rsid w:val="00D2656C"/>
    <w:rsid w:val="00D2714A"/>
    <w:rsid w:val="00D279BE"/>
    <w:rsid w:val="00D30254"/>
    <w:rsid w:val="00D3039D"/>
    <w:rsid w:val="00D30ED2"/>
    <w:rsid w:val="00D32931"/>
    <w:rsid w:val="00D332E7"/>
    <w:rsid w:val="00D335E7"/>
    <w:rsid w:val="00D33768"/>
    <w:rsid w:val="00D338CA"/>
    <w:rsid w:val="00D33B0F"/>
    <w:rsid w:val="00D33D87"/>
    <w:rsid w:val="00D3420B"/>
    <w:rsid w:val="00D34244"/>
    <w:rsid w:val="00D3433C"/>
    <w:rsid w:val="00D34943"/>
    <w:rsid w:val="00D34C7A"/>
    <w:rsid w:val="00D34F4A"/>
    <w:rsid w:val="00D35077"/>
    <w:rsid w:val="00D353B7"/>
    <w:rsid w:val="00D358B5"/>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0A"/>
    <w:rsid w:val="00D415D6"/>
    <w:rsid w:val="00D41844"/>
    <w:rsid w:val="00D418FE"/>
    <w:rsid w:val="00D41A2E"/>
    <w:rsid w:val="00D41A9C"/>
    <w:rsid w:val="00D41D77"/>
    <w:rsid w:val="00D41F54"/>
    <w:rsid w:val="00D4230A"/>
    <w:rsid w:val="00D432A9"/>
    <w:rsid w:val="00D43570"/>
    <w:rsid w:val="00D43DC1"/>
    <w:rsid w:val="00D43DF6"/>
    <w:rsid w:val="00D4404F"/>
    <w:rsid w:val="00D4499F"/>
    <w:rsid w:val="00D44A7C"/>
    <w:rsid w:val="00D44D01"/>
    <w:rsid w:val="00D451D2"/>
    <w:rsid w:val="00D45204"/>
    <w:rsid w:val="00D45DD3"/>
    <w:rsid w:val="00D4647A"/>
    <w:rsid w:val="00D46DAE"/>
    <w:rsid w:val="00D470E6"/>
    <w:rsid w:val="00D47717"/>
    <w:rsid w:val="00D504D7"/>
    <w:rsid w:val="00D50955"/>
    <w:rsid w:val="00D50E4D"/>
    <w:rsid w:val="00D51346"/>
    <w:rsid w:val="00D517C5"/>
    <w:rsid w:val="00D51C8F"/>
    <w:rsid w:val="00D51CB6"/>
    <w:rsid w:val="00D5204B"/>
    <w:rsid w:val="00D525BB"/>
    <w:rsid w:val="00D527DA"/>
    <w:rsid w:val="00D528B0"/>
    <w:rsid w:val="00D53460"/>
    <w:rsid w:val="00D5364A"/>
    <w:rsid w:val="00D53C0D"/>
    <w:rsid w:val="00D53E12"/>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C12"/>
    <w:rsid w:val="00D60CE2"/>
    <w:rsid w:val="00D612EC"/>
    <w:rsid w:val="00D6153E"/>
    <w:rsid w:val="00D61A8B"/>
    <w:rsid w:val="00D61B65"/>
    <w:rsid w:val="00D61B6A"/>
    <w:rsid w:val="00D6219E"/>
    <w:rsid w:val="00D623C4"/>
    <w:rsid w:val="00D62932"/>
    <w:rsid w:val="00D62CE8"/>
    <w:rsid w:val="00D62D50"/>
    <w:rsid w:val="00D6334E"/>
    <w:rsid w:val="00D63350"/>
    <w:rsid w:val="00D6373F"/>
    <w:rsid w:val="00D63964"/>
    <w:rsid w:val="00D63C73"/>
    <w:rsid w:val="00D64417"/>
    <w:rsid w:val="00D64B01"/>
    <w:rsid w:val="00D659A8"/>
    <w:rsid w:val="00D661BD"/>
    <w:rsid w:val="00D669D3"/>
    <w:rsid w:val="00D67761"/>
    <w:rsid w:val="00D67A13"/>
    <w:rsid w:val="00D67A77"/>
    <w:rsid w:val="00D67F40"/>
    <w:rsid w:val="00D70090"/>
    <w:rsid w:val="00D7040F"/>
    <w:rsid w:val="00D70501"/>
    <w:rsid w:val="00D7065C"/>
    <w:rsid w:val="00D719E6"/>
    <w:rsid w:val="00D71F9A"/>
    <w:rsid w:val="00D722DF"/>
    <w:rsid w:val="00D72A2E"/>
    <w:rsid w:val="00D72F01"/>
    <w:rsid w:val="00D72FBD"/>
    <w:rsid w:val="00D7314B"/>
    <w:rsid w:val="00D733D6"/>
    <w:rsid w:val="00D73A11"/>
    <w:rsid w:val="00D740D1"/>
    <w:rsid w:val="00D741FF"/>
    <w:rsid w:val="00D7587C"/>
    <w:rsid w:val="00D75BF3"/>
    <w:rsid w:val="00D769B9"/>
    <w:rsid w:val="00D77530"/>
    <w:rsid w:val="00D77699"/>
    <w:rsid w:val="00D7780F"/>
    <w:rsid w:val="00D80587"/>
    <w:rsid w:val="00D80A83"/>
    <w:rsid w:val="00D81A84"/>
    <w:rsid w:val="00D81C1D"/>
    <w:rsid w:val="00D82B3C"/>
    <w:rsid w:val="00D82B81"/>
    <w:rsid w:val="00D82E05"/>
    <w:rsid w:val="00D83043"/>
    <w:rsid w:val="00D83204"/>
    <w:rsid w:val="00D84675"/>
    <w:rsid w:val="00D84D58"/>
    <w:rsid w:val="00D8526A"/>
    <w:rsid w:val="00D8617A"/>
    <w:rsid w:val="00D86252"/>
    <w:rsid w:val="00D865E6"/>
    <w:rsid w:val="00D86B05"/>
    <w:rsid w:val="00D86EF5"/>
    <w:rsid w:val="00D86FE2"/>
    <w:rsid w:val="00D8720D"/>
    <w:rsid w:val="00D87CC5"/>
    <w:rsid w:val="00D87DA9"/>
    <w:rsid w:val="00D910BE"/>
    <w:rsid w:val="00D917F3"/>
    <w:rsid w:val="00D92E61"/>
    <w:rsid w:val="00D92EFE"/>
    <w:rsid w:val="00D935BB"/>
    <w:rsid w:val="00D93D91"/>
    <w:rsid w:val="00D94136"/>
    <w:rsid w:val="00D95091"/>
    <w:rsid w:val="00D954DF"/>
    <w:rsid w:val="00D95CB0"/>
    <w:rsid w:val="00D95EA4"/>
    <w:rsid w:val="00D966F5"/>
    <w:rsid w:val="00D96D38"/>
    <w:rsid w:val="00D96E1A"/>
    <w:rsid w:val="00D973B2"/>
    <w:rsid w:val="00D9779A"/>
    <w:rsid w:val="00D97968"/>
    <w:rsid w:val="00D97BAA"/>
    <w:rsid w:val="00DA0435"/>
    <w:rsid w:val="00DA0AA0"/>
    <w:rsid w:val="00DA13EF"/>
    <w:rsid w:val="00DA149D"/>
    <w:rsid w:val="00DA1872"/>
    <w:rsid w:val="00DA1902"/>
    <w:rsid w:val="00DA2E7B"/>
    <w:rsid w:val="00DA3358"/>
    <w:rsid w:val="00DA3AF3"/>
    <w:rsid w:val="00DA41BE"/>
    <w:rsid w:val="00DA468D"/>
    <w:rsid w:val="00DA495A"/>
    <w:rsid w:val="00DA4C31"/>
    <w:rsid w:val="00DA544F"/>
    <w:rsid w:val="00DA5455"/>
    <w:rsid w:val="00DA57F0"/>
    <w:rsid w:val="00DA5C2B"/>
    <w:rsid w:val="00DA5DCC"/>
    <w:rsid w:val="00DA65CD"/>
    <w:rsid w:val="00DA6C17"/>
    <w:rsid w:val="00DA6F07"/>
    <w:rsid w:val="00DA75AE"/>
    <w:rsid w:val="00DA796D"/>
    <w:rsid w:val="00DA79B6"/>
    <w:rsid w:val="00DA7A20"/>
    <w:rsid w:val="00DB0631"/>
    <w:rsid w:val="00DB1369"/>
    <w:rsid w:val="00DB1563"/>
    <w:rsid w:val="00DB165A"/>
    <w:rsid w:val="00DB169E"/>
    <w:rsid w:val="00DB18A0"/>
    <w:rsid w:val="00DB1B04"/>
    <w:rsid w:val="00DB1D63"/>
    <w:rsid w:val="00DB2915"/>
    <w:rsid w:val="00DB2AC0"/>
    <w:rsid w:val="00DB2E03"/>
    <w:rsid w:val="00DB3063"/>
    <w:rsid w:val="00DB39A0"/>
    <w:rsid w:val="00DB3E83"/>
    <w:rsid w:val="00DB422A"/>
    <w:rsid w:val="00DB4568"/>
    <w:rsid w:val="00DB4754"/>
    <w:rsid w:val="00DB48F1"/>
    <w:rsid w:val="00DB4C27"/>
    <w:rsid w:val="00DB4F28"/>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2323"/>
    <w:rsid w:val="00DC2916"/>
    <w:rsid w:val="00DC2AA9"/>
    <w:rsid w:val="00DC39C0"/>
    <w:rsid w:val="00DC3A8D"/>
    <w:rsid w:val="00DC4A14"/>
    <w:rsid w:val="00DC4B35"/>
    <w:rsid w:val="00DC4D3A"/>
    <w:rsid w:val="00DC6195"/>
    <w:rsid w:val="00DC6404"/>
    <w:rsid w:val="00DC72B1"/>
    <w:rsid w:val="00DC76A6"/>
    <w:rsid w:val="00DC7B30"/>
    <w:rsid w:val="00DC7B44"/>
    <w:rsid w:val="00DD06A2"/>
    <w:rsid w:val="00DD08AB"/>
    <w:rsid w:val="00DD09C9"/>
    <w:rsid w:val="00DD113B"/>
    <w:rsid w:val="00DD15E5"/>
    <w:rsid w:val="00DD24BD"/>
    <w:rsid w:val="00DD2711"/>
    <w:rsid w:val="00DD27D5"/>
    <w:rsid w:val="00DD2CC2"/>
    <w:rsid w:val="00DD332A"/>
    <w:rsid w:val="00DD3D8D"/>
    <w:rsid w:val="00DD3F27"/>
    <w:rsid w:val="00DD4237"/>
    <w:rsid w:val="00DD4818"/>
    <w:rsid w:val="00DD48A4"/>
    <w:rsid w:val="00DD55BD"/>
    <w:rsid w:val="00DD57B3"/>
    <w:rsid w:val="00DD5848"/>
    <w:rsid w:val="00DD5D3F"/>
    <w:rsid w:val="00DD613D"/>
    <w:rsid w:val="00DD64C5"/>
    <w:rsid w:val="00DD65EF"/>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9CD"/>
    <w:rsid w:val="00DE6380"/>
    <w:rsid w:val="00DE6744"/>
    <w:rsid w:val="00DE7FAE"/>
    <w:rsid w:val="00DF01D7"/>
    <w:rsid w:val="00DF03CC"/>
    <w:rsid w:val="00DF0806"/>
    <w:rsid w:val="00DF0EE3"/>
    <w:rsid w:val="00DF0F0F"/>
    <w:rsid w:val="00DF102A"/>
    <w:rsid w:val="00DF15E3"/>
    <w:rsid w:val="00DF212C"/>
    <w:rsid w:val="00DF231F"/>
    <w:rsid w:val="00DF23B6"/>
    <w:rsid w:val="00DF26C7"/>
    <w:rsid w:val="00DF2791"/>
    <w:rsid w:val="00DF2B56"/>
    <w:rsid w:val="00DF3514"/>
    <w:rsid w:val="00DF359B"/>
    <w:rsid w:val="00DF5355"/>
    <w:rsid w:val="00DF568D"/>
    <w:rsid w:val="00DF67D2"/>
    <w:rsid w:val="00E0055D"/>
    <w:rsid w:val="00E008B9"/>
    <w:rsid w:val="00E00C1D"/>
    <w:rsid w:val="00E00CCB"/>
    <w:rsid w:val="00E00EC5"/>
    <w:rsid w:val="00E0145C"/>
    <w:rsid w:val="00E0147F"/>
    <w:rsid w:val="00E01653"/>
    <w:rsid w:val="00E016AB"/>
    <w:rsid w:val="00E01C97"/>
    <w:rsid w:val="00E0227D"/>
    <w:rsid w:val="00E0315C"/>
    <w:rsid w:val="00E03206"/>
    <w:rsid w:val="00E0368B"/>
    <w:rsid w:val="00E03B8A"/>
    <w:rsid w:val="00E03E2C"/>
    <w:rsid w:val="00E03EB3"/>
    <w:rsid w:val="00E0427E"/>
    <w:rsid w:val="00E042C7"/>
    <w:rsid w:val="00E04421"/>
    <w:rsid w:val="00E04C73"/>
    <w:rsid w:val="00E04F64"/>
    <w:rsid w:val="00E055E3"/>
    <w:rsid w:val="00E06010"/>
    <w:rsid w:val="00E0651F"/>
    <w:rsid w:val="00E06AB5"/>
    <w:rsid w:val="00E06BB6"/>
    <w:rsid w:val="00E073AC"/>
    <w:rsid w:val="00E0781A"/>
    <w:rsid w:val="00E1031D"/>
    <w:rsid w:val="00E10801"/>
    <w:rsid w:val="00E108DD"/>
    <w:rsid w:val="00E10B66"/>
    <w:rsid w:val="00E10B7B"/>
    <w:rsid w:val="00E1125C"/>
    <w:rsid w:val="00E11475"/>
    <w:rsid w:val="00E116C5"/>
    <w:rsid w:val="00E119E3"/>
    <w:rsid w:val="00E11F40"/>
    <w:rsid w:val="00E128FD"/>
    <w:rsid w:val="00E12A46"/>
    <w:rsid w:val="00E13047"/>
    <w:rsid w:val="00E13165"/>
    <w:rsid w:val="00E134E0"/>
    <w:rsid w:val="00E13A03"/>
    <w:rsid w:val="00E13E04"/>
    <w:rsid w:val="00E13EB4"/>
    <w:rsid w:val="00E14881"/>
    <w:rsid w:val="00E1494A"/>
    <w:rsid w:val="00E149C5"/>
    <w:rsid w:val="00E15DF2"/>
    <w:rsid w:val="00E16142"/>
    <w:rsid w:val="00E167D3"/>
    <w:rsid w:val="00E16D52"/>
    <w:rsid w:val="00E175A7"/>
    <w:rsid w:val="00E17C8D"/>
    <w:rsid w:val="00E20168"/>
    <w:rsid w:val="00E204B1"/>
    <w:rsid w:val="00E20695"/>
    <w:rsid w:val="00E20740"/>
    <w:rsid w:val="00E20E92"/>
    <w:rsid w:val="00E21106"/>
    <w:rsid w:val="00E21FA5"/>
    <w:rsid w:val="00E22A6A"/>
    <w:rsid w:val="00E22B56"/>
    <w:rsid w:val="00E22C01"/>
    <w:rsid w:val="00E231EE"/>
    <w:rsid w:val="00E232D0"/>
    <w:rsid w:val="00E23802"/>
    <w:rsid w:val="00E23B80"/>
    <w:rsid w:val="00E2448F"/>
    <w:rsid w:val="00E245DA"/>
    <w:rsid w:val="00E24645"/>
    <w:rsid w:val="00E24817"/>
    <w:rsid w:val="00E24A2B"/>
    <w:rsid w:val="00E24DF7"/>
    <w:rsid w:val="00E252BE"/>
    <w:rsid w:val="00E252C5"/>
    <w:rsid w:val="00E261E0"/>
    <w:rsid w:val="00E268FE"/>
    <w:rsid w:val="00E26B15"/>
    <w:rsid w:val="00E26BB0"/>
    <w:rsid w:val="00E27177"/>
    <w:rsid w:val="00E274B5"/>
    <w:rsid w:val="00E27DF6"/>
    <w:rsid w:val="00E3066D"/>
    <w:rsid w:val="00E30765"/>
    <w:rsid w:val="00E31B92"/>
    <w:rsid w:val="00E31BCB"/>
    <w:rsid w:val="00E3286C"/>
    <w:rsid w:val="00E32963"/>
    <w:rsid w:val="00E32D9B"/>
    <w:rsid w:val="00E32DF1"/>
    <w:rsid w:val="00E336E7"/>
    <w:rsid w:val="00E337BC"/>
    <w:rsid w:val="00E33D52"/>
    <w:rsid w:val="00E34160"/>
    <w:rsid w:val="00E34E11"/>
    <w:rsid w:val="00E350CD"/>
    <w:rsid w:val="00E36328"/>
    <w:rsid w:val="00E36469"/>
    <w:rsid w:val="00E3657A"/>
    <w:rsid w:val="00E36B2E"/>
    <w:rsid w:val="00E36DD1"/>
    <w:rsid w:val="00E36DFD"/>
    <w:rsid w:val="00E36FC6"/>
    <w:rsid w:val="00E371C9"/>
    <w:rsid w:val="00E372A9"/>
    <w:rsid w:val="00E4001B"/>
    <w:rsid w:val="00E412A0"/>
    <w:rsid w:val="00E41737"/>
    <w:rsid w:val="00E42AAF"/>
    <w:rsid w:val="00E42D7F"/>
    <w:rsid w:val="00E42E44"/>
    <w:rsid w:val="00E42FE8"/>
    <w:rsid w:val="00E43094"/>
    <w:rsid w:val="00E435A7"/>
    <w:rsid w:val="00E43DDC"/>
    <w:rsid w:val="00E43E14"/>
    <w:rsid w:val="00E44290"/>
    <w:rsid w:val="00E45711"/>
    <w:rsid w:val="00E45A4C"/>
    <w:rsid w:val="00E45A8F"/>
    <w:rsid w:val="00E461C0"/>
    <w:rsid w:val="00E46B7C"/>
    <w:rsid w:val="00E46B9D"/>
    <w:rsid w:val="00E47262"/>
    <w:rsid w:val="00E477D3"/>
    <w:rsid w:val="00E50270"/>
    <w:rsid w:val="00E50274"/>
    <w:rsid w:val="00E506CB"/>
    <w:rsid w:val="00E507F3"/>
    <w:rsid w:val="00E50B9E"/>
    <w:rsid w:val="00E50E3D"/>
    <w:rsid w:val="00E50F64"/>
    <w:rsid w:val="00E51316"/>
    <w:rsid w:val="00E51E10"/>
    <w:rsid w:val="00E51FDE"/>
    <w:rsid w:val="00E52D31"/>
    <w:rsid w:val="00E5333A"/>
    <w:rsid w:val="00E534B2"/>
    <w:rsid w:val="00E53CBB"/>
    <w:rsid w:val="00E54173"/>
    <w:rsid w:val="00E54730"/>
    <w:rsid w:val="00E55CD2"/>
    <w:rsid w:val="00E5659E"/>
    <w:rsid w:val="00E56851"/>
    <w:rsid w:val="00E56B66"/>
    <w:rsid w:val="00E56EDF"/>
    <w:rsid w:val="00E57676"/>
    <w:rsid w:val="00E57807"/>
    <w:rsid w:val="00E579AF"/>
    <w:rsid w:val="00E57B5A"/>
    <w:rsid w:val="00E57CF3"/>
    <w:rsid w:val="00E602FD"/>
    <w:rsid w:val="00E60545"/>
    <w:rsid w:val="00E62007"/>
    <w:rsid w:val="00E622CC"/>
    <w:rsid w:val="00E62523"/>
    <w:rsid w:val="00E63048"/>
    <w:rsid w:val="00E634C6"/>
    <w:rsid w:val="00E63557"/>
    <w:rsid w:val="00E63D14"/>
    <w:rsid w:val="00E64377"/>
    <w:rsid w:val="00E64563"/>
    <w:rsid w:val="00E6468A"/>
    <w:rsid w:val="00E64AC0"/>
    <w:rsid w:val="00E64C81"/>
    <w:rsid w:val="00E64EB2"/>
    <w:rsid w:val="00E65035"/>
    <w:rsid w:val="00E65A5A"/>
    <w:rsid w:val="00E661B0"/>
    <w:rsid w:val="00E6643C"/>
    <w:rsid w:val="00E665AC"/>
    <w:rsid w:val="00E6685D"/>
    <w:rsid w:val="00E67B06"/>
    <w:rsid w:val="00E67B53"/>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459A"/>
    <w:rsid w:val="00E749C5"/>
    <w:rsid w:val="00E754BA"/>
    <w:rsid w:val="00E757CF"/>
    <w:rsid w:val="00E761FE"/>
    <w:rsid w:val="00E7640B"/>
    <w:rsid w:val="00E7694D"/>
    <w:rsid w:val="00E770B5"/>
    <w:rsid w:val="00E77197"/>
    <w:rsid w:val="00E771D0"/>
    <w:rsid w:val="00E77A3E"/>
    <w:rsid w:val="00E77ABB"/>
    <w:rsid w:val="00E77BDC"/>
    <w:rsid w:val="00E80176"/>
    <w:rsid w:val="00E805D1"/>
    <w:rsid w:val="00E80927"/>
    <w:rsid w:val="00E80A3D"/>
    <w:rsid w:val="00E80AFC"/>
    <w:rsid w:val="00E8125A"/>
    <w:rsid w:val="00E815BB"/>
    <w:rsid w:val="00E81AE1"/>
    <w:rsid w:val="00E81B1A"/>
    <w:rsid w:val="00E8236B"/>
    <w:rsid w:val="00E82B43"/>
    <w:rsid w:val="00E82B77"/>
    <w:rsid w:val="00E82CDE"/>
    <w:rsid w:val="00E82EB4"/>
    <w:rsid w:val="00E82FD8"/>
    <w:rsid w:val="00E833E5"/>
    <w:rsid w:val="00E84F5C"/>
    <w:rsid w:val="00E84FB3"/>
    <w:rsid w:val="00E851A0"/>
    <w:rsid w:val="00E856FD"/>
    <w:rsid w:val="00E8581A"/>
    <w:rsid w:val="00E85F4A"/>
    <w:rsid w:val="00E86438"/>
    <w:rsid w:val="00E86A3E"/>
    <w:rsid w:val="00E86E52"/>
    <w:rsid w:val="00E86F68"/>
    <w:rsid w:val="00E87037"/>
    <w:rsid w:val="00E90092"/>
    <w:rsid w:val="00E90ED5"/>
    <w:rsid w:val="00E921F1"/>
    <w:rsid w:val="00E92854"/>
    <w:rsid w:val="00E933CE"/>
    <w:rsid w:val="00E93F0D"/>
    <w:rsid w:val="00E940E0"/>
    <w:rsid w:val="00E94373"/>
    <w:rsid w:val="00E945C3"/>
    <w:rsid w:val="00E9599F"/>
    <w:rsid w:val="00E95E22"/>
    <w:rsid w:val="00E96A24"/>
    <w:rsid w:val="00E96D70"/>
    <w:rsid w:val="00E9767C"/>
    <w:rsid w:val="00E97C49"/>
    <w:rsid w:val="00E97F43"/>
    <w:rsid w:val="00EA0F03"/>
    <w:rsid w:val="00EA15D8"/>
    <w:rsid w:val="00EA1C4C"/>
    <w:rsid w:val="00EA1D5F"/>
    <w:rsid w:val="00EA1EF9"/>
    <w:rsid w:val="00EA21E2"/>
    <w:rsid w:val="00EA22F0"/>
    <w:rsid w:val="00EA2642"/>
    <w:rsid w:val="00EA2CA0"/>
    <w:rsid w:val="00EA2F09"/>
    <w:rsid w:val="00EA3031"/>
    <w:rsid w:val="00EA31C2"/>
    <w:rsid w:val="00EA4A6F"/>
    <w:rsid w:val="00EA4D27"/>
    <w:rsid w:val="00EA4D9E"/>
    <w:rsid w:val="00EA4F1B"/>
    <w:rsid w:val="00EA5760"/>
    <w:rsid w:val="00EA5B41"/>
    <w:rsid w:val="00EA5C13"/>
    <w:rsid w:val="00EA5D50"/>
    <w:rsid w:val="00EA60B4"/>
    <w:rsid w:val="00EA6623"/>
    <w:rsid w:val="00EA6BDE"/>
    <w:rsid w:val="00EA6E44"/>
    <w:rsid w:val="00EA7237"/>
    <w:rsid w:val="00EA7843"/>
    <w:rsid w:val="00EB055B"/>
    <w:rsid w:val="00EB070A"/>
    <w:rsid w:val="00EB0C9F"/>
    <w:rsid w:val="00EB0DC2"/>
    <w:rsid w:val="00EB0ED2"/>
    <w:rsid w:val="00EB0F9A"/>
    <w:rsid w:val="00EB104B"/>
    <w:rsid w:val="00EB112A"/>
    <w:rsid w:val="00EB1B82"/>
    <w:rsid w:val="00EB1C86"/>
    <w:rsid w:val="00EB2FE6"/>
    <w:rsid w:val="00EB3661"/>
    <w:rsid w:val="00EB37CB"/>
    <w:rsid w:val="00EB3902"/>
    <w:rsid w:val="00EB3D66"/>
    <w:rsid w:val="00EB46AF"/>
    <w:rsid w:val="00EB47AB"/>
    <w:rsid w:val="00EB51BA"/>
    <w:rsid w:val="00EB57D6"/>
    <w:rsid w:val="00EB5D2C"/>
    <w:rsid w:val="00EB5DD1"/>
    <w:rsid w:val="00EB5F34"/>
    <w:rsid w:val="00EB6050"/>
    <w:rsid w:val="00EB6570"/>
    <w:rsid w:val="00EB67F6"/>
    <w:rsid w:val="00EB6DC7"/>
    <w:rsid w:val="00EB7AFB"/>
    <w:rsid w:val="00EC0A68"/>
    <w:rsid w:val="00EC0E75"/>
    <w:rsid w:val="00EC110F"/>
    <w:rsid w:val="00EC1212"/>
    <w:rsid w:val="00EC13D6"/>
    <w:rsid w:val="00EC18EA"/>
    <w:rsid w:val="00EC1D3D"/>
    <w:rsid w:val="00EC1DF2"/>
    <w:rsid w:val="00EC2085"/>
    <w:rsid w:val="00EC2CBA"/>
    <w:rsid w:val="00EC3151"/>
    <w:rsid w:val="00EC3331"/>
    <w:rsid w:val="00EC360D"/>
    <w:rsid w:val="00EC4139"/>
    <w:rsid w:val="00EC45E0"/>
    <w:rsid w:val="00EC49CE"/>
    <w:rsid w:val="00EC4A6B"/>
    <w:rsid w:val="00EC4D83"/>
    <w:rsid w:val="00EC518F"/>
    <w:rsid w:val="00EC537B"/>
    <w:rsid w:val="00EC589B"/>
    <w:rsid w:val="00EC5B5B"/>
    <w:rsid w:val="00EC5F0B"/>
    <w:rsid w:val="00EC5F75"/>
    <w:rsid w:val="00EC677E"/>
    <w:rsid w:val="00EC6E37"/>
    <w:rsid w:val="00EC7071"/>
    <w:rsid w:val="00EC7E67"/>
    <w:rsid w:val="00ED03E8"/>
    <w:rsid w:val="00ED05BA"/>
    <w:rsid w:val="00ED0903"/>
    <w:rsid w:val="00ED0CCD"/>
    <w:rsid w:val="00ED10AF"/>
    <w:rsid w:val="00ED1435"/>
    <w:rsid w:val="00ED1AD3"/>
    <w:rsid w:val="00ED1D98"/>
    <w:rsid w:val="00ED1F5D"/>
    <w:rsid w:val="00ED2869"/>
    <w:rsid w:val="00ED3143"/>
    <w:rsid w:val="00ED389B"/>
    <w:rsid w:val="00ED3E97"/>
    <w:rsid w:val="00ED3F10"/>
    <w:rsid w:val="00ED496E"/>
    <w:rsid w:val="00ED4CE6"/>
    <w:rsid w:val="00ED5070"/>
    <w:rsid w:val="00ED53AD"/>
    <w:rsid w:val="00ED5536"/>
    <w:rsid w:val="00ED56CF"/>
    <w:rsid w:val="00ED5B5C"/>
    <w:rsid w:val="00ED6B5A"/>
    <w:rsid w:val="00ED70BD"/>
    <w:rsid w:val="00ED7934"/>
    <w:rsid w:val="00ED7D28"/>
    <w:rsid w:val="00EE0B3E"/>
    <w:rsid w:val="00EE0BAA"/>
    <w:rsid w:val="00EE10AC"/>
    <w:rsid w:val="00EE1FD6"/>
    <w:rsid w:val="00EE2D5B"/>
    <w:rsid w:val="00EE3556"/>
    <w:rsid w:val="00EE37BB"/>
    <w:rsid w:val="00EE37C3"/>
    <w:rsid w:val="00EE433C"/>
    <w:rsid w:val="00EE4494"/>
    <w:rsid w:val="00EE47A9"/>
    <w:rsid w:val="00EE4DC2"/>
    <w:rsid w:val="00EE5100"/>
    <w:rsid w:val="00EE5259"/>
    <w:rsid w:val="00EE5E03"/>
    <w:rsid w:val="00EE60E0"/>
    <w:rsid w:val="00EE7D69"/>
    <w:rsid w:val="00EF0EBC"/>
    <w:rsid w:val="00EF0F35"/>
    <w:rsid w:val="00EF1BEB"/>
    <w:rsid w:val="00EF2C19"/>
    <w:rsid w:val="00EF2D2F"/>
    <w:rsid w:val="00EF3F1B"/>
    <w:rsid w:val="00EF4058"/>
    <w:rsid w:val="00EF4099"/>
    <w:rsid w:val="00EF544F"/>
    <w:rsid w:val="00EF5634"/>
    <w:rsid w:val="00EF5E81"/>
    <w:rsid w:val="00EF6012"/>
    <w:rsid w:val="00EF60A5"/>
    <w:rsid w:val="00EF6BDC"/>
    <w:rsid w:val="00EF6CCE"/>
    <w:rsid w:val="00EF7866"/>
    <w:rsid w:val="00EF7891"/>
    <w:rsid w:val="00F00129"/>
    <w:rsid w:val="00F00757"/>
    <w:rsid w:val="00F012B4"/>
    <w:rsid w:val="00F017EF"/>
    <w:rsid w:val="00F0190F"/>
    <w:rsid w:val="00F019CE"/>
    <w:rsid w:val="00F01A8C"/>
    <w:rsid w:val="00F01C4C"/>
    <w:rsid w:val="00F02069"/>
    <w:rsid w:val="00F02786"/>
    <w:rsid w:val="00F03558"/>
    <w:rsid w:val="00F0434F"/>
    <w:rsid w:val="00F047C3"/>
    <w:rsid w:val="00F04911"/>
    <w:rsid w:val="00F04985"/>
    <w:rsid w:val="00F0548B"/>
    <w:rsid w:val="00F05D0A"/>
    <w:rsid w:val="00F05F44"/>
    <w:rsid w:val="00F0625B"/>
    <w:rsid w:val="00F063E9"/>
    <w:rsid w:val="00F0670F"/>
    <w:rsid w:val="00F0692E"/>
    <w:rsid w:val="00F07BE9"/>
    <w:rsid w:val="00F07C64"/>
    <w:rsid w:val="00F07D9C"/>
    <w:rsid w:val="00F07FA6"/>
    <w:rsid w:val="00F07FF2"/>
    <w:rsid w:val="00F107A7"/>
    <w:rsid w:val="00F10D54"/>
    <w:rsid w:val="00F10DA2"/>
    <w:rsid w:val="00F1148B"/>
    <w:rsid w:val="00F11BB3"/>
    <w:rsid w:val="00F12DA2"/>
    <w:rsid w:val="00F12DFC"/>
    <w:rsid w:val="00F12EA5"/>
    <w:rsid w:val="00F13036"/>
    <w:rsid w:val="00F1321A"/>
    <w:rsid w:val="00F1340F"/>
    <w:rsid w:val="00F13821"/>
    <w:rsid w:val="00F138C2"/>
    <w:rsid w:val="00F13B29"/>
    <w:rsid w:val="00F141A4"/>
    <w:rsid w:val="00F15E45"/>
    <w:rsid w:val="00F16434"/>
    <w:rsid w:val="00F171B6"/>
    <w:rsid w:val="00F1768E"/>
    <w:rsid w:val="00F20226"/>
    <w:rsid w:val="00F2045B"/>
    <w:rsid w:val="00F206C3"/>
    <w:rsid w:val="00F21059"/>
    <w:rsid w:val="00F210C3"/>
    <w:rsid w:val="00F21269"/>
    <w:rsid w:val="00F2127D"/>
    <w:rsid w:val="00F215DE"/>
    <w:rsid w:val="00F2184C"/>
    <w:rsid w:val="00F21D1A"/>
    <w:rsid w:val="00F22865"/>
    <w:rsid w:val="00F23537"/>
    <w:rsid w:val="00F236F3"/>
    <w:rsid w:val="00F23D2E"/>
    <w:rsid w:val="00F24A24"/>
    <w:rsid w:val="00F24D75"/>
    <w:rsid w:val="00F25267"/>
    <w:rsid w:val="00F261E3"/>
    <w:rsid w:val="00F26F16"/>
    <w:rsid w:val="00F272D0"/>
    <w:rsid w:val="00F27507"/>
    <w:rsid w:val="00F30243"/>
    <w:rsid w:val="00F30382"/>
    <w:rsid w:val="00F306D5"/>
    <w:rsid w:val="00F30EA8"/>
    <w:rsid w:val="00F30EB3"/>
    <w:rsid w:val="00F310F2"/>
    <w:rsid w:val="00F31292"/>
    <w:rsid w:val="00F313BB"/>
    <w:rsid w:val="00F315FB"/>
    <w:rsid w:val="00F3221A"/>
    <w:rsid w:val="00F32616"/>
    <w:rsid w:val="00F32DE1"/>
    <w:rsid w:val="00F32E80"/>
    <w:rsid w:val="00F33762"/>
    <w:rsid w:val="00F33C9E"/>
    <w:rsid w:val="00F33D57"/>
    <w:rsid w:val="00F33E16"/>
    <w:rsid w:val="00F34B2F"/>
    <w:rsid w:val="00F34DE5"/>
    <w:rsid w:val="00F34F33"/>
    <w:rsid w:val="00F35FFC"/>
    <w:rsid w:val="00F360C2"/>
    <w:rsid w:val="00F366D8"/>
    <w:rsid w:val="00F369B6"/>
    <w:rsid w:val="00F36D1F"/>
    <w:rsid w:val="00F3733E"/>
    <w:rsid w:val="00F3769E"/>
    <w:rsid w:val="00F37897"/>
    <w:rsid w:val="00F379FD"/>
    <w:rsid w:val="00F40017"/>
    <w:rsid w:val="00F40137"/>
    <w:rsid w:val="00F4053E"/>
    <w:rsid w:val="00F4062C"/>
    <w:rsid w:val="00F40871"/>
    <w:rsid w:val="00F40F06"/>
    <w:rsid w:val="00F41172"/>
    <w:rsid w:val="00F41929"/>
    <w:rsid w:val="00F41FD3"/>
    <w:rsid w:val="00F4262C"/>
    <w:rsid w:val="00F42669"/>
    <w:rsid w:val="00F42A06"/>
    <w:rsid w:val="00F42C0E"/>
    <w:rsid w:val="00F42D65"/>
    <w:rsid w:val="00F4374F"/>
    <w:rsid w:val="00F44A42"/>
    <w:rsid w:val="00F44B8E"/>
    <w:rsid w:val="00F451CA"/>
    <w:rsid w:val="00F453DA"/>
    <w:rsid w:val="00F456F9"/>
    <w:rsid w:val="00F45A59"/>
    <w:rsid w:val="00F45FFD"/>
    <w:rsid w:val="00F46084"/>
    <w:rsid w:val="00F46A6E"/>
    <w:rsid w:val="00F46DAE"/>
    <w:rsid w:val="00F47095"/>
    <w:rsid w:val="00F47128"/>
    <w:rsid w:val="00F4720B"/>
    <w:rsid w:val="00F4749B"/>
    <w:rsid w:val="00F50077"/>
    <w:rsid w:val="00F50598"/>
    <w:rsid w:val="00F50B4B"/>
    <w:rsid w:val="00F514FB"/>
    <w:rsid w:val="00F52858"/>
    <w:rsid w:val="00F52A7B"/>
    <w:rsid w:val="00F52B73"/>
    <w:rsid w:val="00F52B7B"/>
    <w:rsid w:val="00F53695"/>
    <w:rsid w:val="00F53C92"/>
    <w:rsid w:val="00F53CFF"/>
    <w:rsid w:val="00F54832"/>
    <w:rsid w:val="00F56B1B"/>
    <w:rsid w:val="00F56C0C"/>
    <w:rsid w:val="00F56CE9"/>
    <w:rsid w:val="00F56F70"/>
    <w:rsid w:val="00F56FB1"/>
    <w:rsid w:val="00F60F4E"/>
    <w:rsid w:val="00F61151"/>
    <w:rsid w:val="00F619D1"/>
    <w:rsid w:val="00F620A2"/>
    <w:rsid w:val="00F6259A"/>
    <w:rsid w:val="00F628E9"/>
    <w:rsid w:val="00F62E6E"/>
    <w:rsid w:val="00F62FCB"/>
    <w:rsid w:val="00F62FF9"/>
    <w:rsid w:val="00F63723"/>
    <w:rsid w:val="00F63779"/>
    <w:rsid w:val="00F63C3F"/>
    <w:rsid w:val="00F6435A"/>
    <w:rsid w:val="00F64CFA"/>
    <w:rsid w:val="00F64E44"/>
    <w:rsid w:val="00F64ECE"/>
    <w:rsid w:val="00F65200"/>
    <w:rsid w:val="00F652DC"/>
    <w:rsid w:val="00F655A1"/>
    <w:rsid w:val="00F658D3"/>
    <w:rsid w:val="00F65C69"/>
    <w:rsid w:val="00F66891"/>
    <w:rsid w:val="00F66DD9"/>
    <w:rsid w:val="00F670E4"/>
    <w:rsid w:val="00F6719C"/>
    <w:rsid w:val="00F67213"/>
    <w:rsid w:val="00F67501"/>
    <w:rsid w:val="00F67B6E"/>
    <w:rsid w:val="00F67BE1"/>
    <w:rsid w:val="00F701EF"/>
    <w:rsid w:val="00F70B07"/>
    <w:rsid w:val="00F70B8D"/>
    <w:rsid w:val="00F70BBD"/>
    <w:rsid w:val="00F70E48"/>
    <w:rsid w:val="00F7162B"/>
    <w:rsid w:val="00F7174B"/>
    <w:rsid w:val="00F71D1A"/>
    <w:rsid w:val="00F71D42"/>
    <w:rsid w:val="00F721B0"/>
    <w:rsid w:val="00F72953"/>
    <w:rsid w:val="00F72A85"/>
    <w:rsid w:val="00F72B0D"/>
    <w:rsid w:val="00F73B5B"/>
    <w:rsid w:val="00F73BBF"/>
    <w:rsid w:val="00F73BFF"/>
    <w:rsid w:val="00F749AF"/>
    <w:rsid w:val="00F74D3B"/>
    <w:rsid w:val="00F74DAE"/>
    <w:rsid w:val="00F75686"/>
    <w:rsid w:val="00F75EB9"/>
    <w:rsid w:val="00F76A4E"/>
    <w:rsid w:val="00F76E6E"/>
    <w:rsid w:val="00F77765"/>
    <w:rsid w:val="00F77907"/>
    <w:rsid w:val="00F77EC3"/>
    <w:rsid w:val="00F8049C"/>
    <w:rsid w:val="00F80806"/>
    <w:rsid w:val="00F816B4"/>
    <w:rsid w:val="00F81B54"/>
    <w:rsid w:val="00F823C6"/>
    <w:rsid w:val="00F82EB4"/>
    <w:rsid w:val="00F842C0"/>
    <w:rsid w:val="00F84E26"/>
    <w:rsid w:val="00F84E2D"/>
    <w:rsid w:val="00F84FB1"/>
    <w:rsid w:val="00F85141"/>
    <w:rsid w:val="00F853B8"/>
    <w:rsid w:val="00F85BB3"/>
    <w:rsid w:val="00F85E98"/>
    <w:rsid w:val="00F86049"/>
    <w:rsid w:val="00F8623C"/>
    <w:rsid w:val="00F86A35"/>
    <w:rsid w:val="00F86F36"/>
    <w:rsid w:val="00F90D5E"/>
    <w:rsid w:val="00F90F30"/>
    <w:rsid w:val="00F91762"/>
    <w:rsid w:val="00F91913"/>
    <w:rsid w:val="00F91943"/>
    <w:rsid w:val="00F9242E"/>
    <w:rsid w:val="00F92562"/>
    <w:rsid w:val="00F92924"/>
    <w:rsid w:val="00F92A6F"/>
    <w:rsid w:val="00F93086"/>
    <w:rsid w:val="00F930B8"/>
    <w:rsid w:val="00F9388B"/>
    <w:rsid w:val="00F93890"/>
    <w:rsid w:val="00F93A21"/>
    <w:rsid w:val="00F93B9B"/>
    <w:rsid w:val="00F945ED"/>
    <w:rsid w:val="00F94824"/>
    <w:rsid w:val="00F94C4E"/>
    <w:rsid w:val="00F94D42"/>
    <w:rsid w:val="00F94FA2"/>
    <w:rsid w:val="00F951A5"/>
    <w:rsid w:val="00F9596E"/>
    <w:rsid w:val="00F95989"/>
    <w:rsid w:val="00F96798"/>
    <w:rsid w:val="00F96907"/>
    <w:rsid w:val="00F96919"/>
    <w:rsid w:val="00F9715A"/>
    <w:rsid w:val="00F97A96"/>
    <w:rsid w:val="00FA02F7"/>
    <w:rsid w:val="00FA04C7"/>
    <w:rsid w:val="00FA05EB"/>
    <w:rsid w:val="00FA0A7C"/>
    <w:rsid w:val="00FA10F4"/>
    <w:rsid w:val="00FA18D9"/>
    <w:rsid w:val="00FA19EB"/>
    <w:rsid w:val="00FA2F63"/>
    <w:rsid w:val="00FA320A"/>
    <w:rsid w:val="00FA3E66"/>
    <w:rsid w:val="00FA3F05"/>
    <w:rsid w:val="00FA46C9"/>
    <w:rsid w:val="00FA49B5"/>
    <w:rsid w:val="00FA57AA"/>
    <w:rsid w:val="00FA5C88"/>
    <w:rsid w:val="00FA6372"/>
    <w:rsid w:val="00FA6845"/>
    <w:rsid w:val="00FA6C8A"/>
    <w:rsid w:val="00FA7188"/>
    <w:rsid w:val="00FA73E0"/>
    <w:rsid w:val="00FA7554"/>
    <w:rsid w:val="00FA7C8B"/>
    <w:rsid w:val="00FB0249"/>
    <w:rsid w:val="00FB0543"/>
    <w:rsid w:val="00FB0836"/>
    <w:rsid w:val="00FB0AB9"/>
    <w:rsid w:val="00FB1096"/>
    <w:rsid w:val="00FB1257"/>
    <w:rsid w:val="00FB14BD"/>
    <w:rsid w:val="00FB2004"/>
    <w:rsid w:val="00FB21FA"/>
    <w:rsid w:val="00FB2E08"/>
    <w:rsid w:val="00FB32EA"/>
    <w:rsid w:val="00FB35BA"/>
    <w:rsid w:val="00FB3CE5"/>
    <w:rsid w:val="00FB3D61"/>
    <w:rsid w:val="00FB3E16"/>
    <w:rsid w:val="00FB3ED8"/>
    <w:rsid w:val="00FB5337"/>
    <w:rsid w:val="00FB575C"/>
    <w:rsid w:val="00FB6235"/>
    <w:rsid w:val="00FB6425"/>
    <w:rsid w:val="00FB6433"/>
    <w:rsid w:val="00FB6485"/>
    <w:rsid w:val="00FB789B"/>
    <w:rsid w:val="00FB791F"/>
    <w:rsid w:val="00FB793A"/>
    <w:rsid w:val="00FB7CFB"/>
    <w:rsid w:val="00FC01F3"/>
    <w:rsid w:val="00FC0662"/>
    <w:rsid w:val="00FC08E1"/>
    <w:rsid w:val="00FC0B12"/>
    <w:rsid w:val="00FC0E31"/>
    <w:rsid w:val="00FC0EE1"/>
    <w:rsid w:val="00FC139C"/>
    <w:rsid w:val="00FC2215"/>
    <w:rsid w:val="00FC2DFD"/>
    <w:rsid w:val="00FC32C9"/>
    <w:rsid w:val="00FC32F4"/>
    <w:rsid w:val="00FC487E"/>
    <w:rsid w:val="00FC4AD5"/>
    <w:rsid w:val="00FC529E"/>
    <w:rsid w:val="00FC53A6"/>
    <w:rsid w:val="00FC5915"/>
    <w:rsid w:val="00FC5B29"/>
    <w:rsid w:val="00FC5D6D"/>
    <w:rsid w:val="00FC6059"/>
    <w:rsid w:val="00FC6209"/>
    <w:rsid w:val="00FC641E"/>
    <w:rsid w:val="00FC6C0F"/>
    <w:rsid w:val="00FC6D3C"/>
    <w:rsid w:val="00FC7931"/>
    <w:rsid w:val="00FC7A07"/>
    <w:rsid w:val="00FC7A2F"/>
    <w:rsid w:val="00FC7AB2"/>
    <w:rsid w:val="00FC7AC3"/>
    <w:rsid w:val="00FD00F5"/>
    <w:rsid w:val="00FD0544"/>
    <w:rsid w:val="00FD07DD"/>
    <w:rsid w:val="00FD0B0F"/>
    <w:rsid w:val="00FD1ABB"/>
    <w:rsid w:val="00FD2233"/>
    <w:rsid w:val="00FD28E1"/>
    <w:rsid w:val="00FD2BAB"/>
    <w:rsid w:val="00FD391A"/>
    <w:rsid w:val="00FD3D4F"/>
    <w:rsid w:val="00FD42A0"/>
    <w:rsid w:val="00FD4F74"/>
    <w:rsid w:val="00FD55AE"/>
    <w:rsid w:val="00FD57AC"/>
    <w:rsid w:val="00FD6657"/>
    <w:rsid w:val="00FD7187"/>
    <w:rsid w:val="00FD72D8"/>
    <w:rsid w:val="00FD734C"/>
    <w:rsid w:val="00FD76B9"/>
    <w:rsid w:val="00FE015F"/>
    <w:rsid w:val="00FE0276"/>
    <w:rsid w:val="00FE033E"/>
    <w:rsid w:val="00FE0350"/>
    <w:rsid w:val="00FE184E"/>
    <w:rsid w:val="00FE1CDC"/>
    <w:rsid w:val="00FE2559"/>
    <w:rsid w:val="00FE2EDE"/>
    <w:rsid w:val="00FE339F"/>
    <w:rsid w:val="00FE3546"/>
    <w:rsid w:val="00FE3B5F"/>
    <w:rsid w:val="00FE4043"/>
    <w:rsid w:val="00FE46F1"/>
    <w:rsid w:val="00FE4FB6"/>
    <w:rsid w:val="00FE5120"/>
    <w:rsid w:val="00FE5873"/>
    <w:rsid w:val="00FE5CB4"/>
    <w:rsid w:val="00FE61B0"/>
    <w:rsid w:val="00FE6527"/>
    <w:rsid w:val="00FE6824"/>
    <w:rsid w:val="00FE6ADE"/>
    <w:rsid w:val="00FE6DB7"/>
    <w:rsid w:val="00FE6FB1"/>
    <w:rsid w:val="00FE733C"/>
    <w:rsid w:val="00FF02BC"/>
    <w:rsid w:val="00FF0330"/>
    <w:rsid w:val="00FF0351"/>
    <w:rsid w:val="00FF0584"/>
    <w:rsid w:val="00FF0CD1"/>
    <w:rsid w:val="00FF166A"/>
    <w:rsid w:val="00FF1A54"/>
    <w:rsid w:val="00FF1FC4"/>
    <w:rsid w:val="00FF238F"/>
    <w:rsid w:val="00FF2B9A"/>
    <w:rsid w:val="00FF2E95"/>
    <w:rsid w:val="00FF2F20"/>
    <w:rsid w:val="00FF3375"/>
    <w:rsid w:val="00FF357A"/>
    <w:rsid w:val="00FF40EF"/>
    <w:rsid w:val="00FF6396"/>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CAFA-0232-4A35-BA9D-49D41B35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11011</Words>
  <Characters>62765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Reynolds, Doris</cp:lastModifiedBy>
  <cp:revision>5</cp:revision>
  <cp:lastPrinted>2016-08-19T16:24:00Z</cp:lastPrinted>
  <dcterms:created xsi:type="dcterms:W3CDTF">2016-09-20T15:37:00Z</dcterms:created>
  <dcterms:modified xsi:type="dcterms:W3CDTF">2016-09-22T12:14:00Z</dcterms:modified>
</cp:coreProperties>
</file>