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125" w:rsidRPr="00F4675E" w:rsidRDefault="00424125" w:rsidP="009A294C">
      <w:pPr>
        <w:tabs>
          <w:tab w:val="clear" w:pos="1440"/>
          <w:tab w:val="left" w:pos="360"/>
        </w:tabs>
        <w:spacing w:before="0" w:after="0" w:line="240" w:lineRule="auto"/>
        <w:ind w:left="420"/>
        <w:jc w:val="center"/>
        <w:rPr>
          <w:rFonts w:eastAsia="SimSun"/>
          <w:b/>
        </w:rPr>
      </w:pPr>
      <w:r w:rsidRPr="00F4675E">
        <w:rPr>
          <w:rFonts w:eastAsia="SimSun"/>
          <w:b/>
        </w:rPr>
        <w:t>BEFORE THE</w:t>
      </w:r>
    </w:p>
    <w:p w:rsidR="00424125" w:rsidRPr="00F4675E" w:rsidRDefault="00424125" w:rsidP="009A294C">
      <w:pPr>
        <w:tabs>
          <w:tab w:val="clear" w:pos="1440"/>
          <w:tab w:val="left" w:pos="360"/>
        </w:tabs>
        <w:spacing w:before="0" w:after="0" w:line="240" w:lineRule="auto"/>
        <w:jc w:val="center"/>
        <w:rPr>
          <w:rFonts w:eastAsia="SimSun"/>
          <w:b/>
        </w:rPr>
      </w:pPr>
      <w:r w:rsidRPr="00F4675E">
        <w:rPr>
          <w:rFonts w:eastAsia="SimSun"/>
          <w:b/>
        </w:rPr>
        <w:t>PENNSYLVANIA PUBLIC UTILITY COMMISSION</w:t>
      </w:r>
    </w:p>
    <w:p w:rsidR="00424125" w:rsidRPr="00F4675E" w:rsidRDefault="00424125" w:rsidP="009A294C">
      <w:pPr>
        <w:tabs>
          <w:tab w:val="clear" w:pos="1440"/>
          <w:tab w:val="left" w:pos="360"/>
        </w:tabs>
        <w:spacing w:before="0" w:after="0" w:line="240" w:lineRule="auto"/>
        <w:jc w:val="both"/>
        <w:rPr>
          <w:rFonts w:eastAsia="SimSun"/>
          <w:b/>
        </w:rPr>
      </w:pPr>
    </w:p>
    <w:p w:rsidR="00424125" w:rsidRPr="00F4675E" w:rsidRDefault="00424125" w:rsidP="009A294C">
      <w:pPr>
        <w:tabs>
          <w:tab w:val="clear" w:pos="1440"/>
          <w:tab w:val="left" w:pos="360"/>
        </w:tabs>
        <w:spacing w:before="0" w:after="0" w:line="240" w:lineRule="auto"/>
        <w:jc w:val="both"/>
        <w:rPr>
          <w:rFonts w:eastAsia="SimSun"/>
          <w:b/>
        </w:rPr>
      </w:pPr>
    </w:p>
    <w:p w:rsidR="00424125" w:rsidRDefault="00424125" w:rsidP="009A294C">
      <w:pPr>
        <w:tabs>
          <w:tab w:val="clear" w:pos="1440"/>
          <w:tab w:val="left" w:pos="360"/>
        </w:tabs>
        <w:spacing w:before="0" w:after="0" w:line="240" w:lineRule="auto"/>
        <w:jc w:val="both"/>
        <w:rPr>
          <w:rFonts w:eastAsia="SimSun"/>
          <w:b/>
        </w:rPr>
      </w:pPr>
    </w:p>
    <w:p w:rsidR="00424125" w:rsidRDefault="00424125" w:rsidP="009A294C">
      <w:pPr>
        <w:tabs>
          <w:tab w:val="left" w:pos="0"/>
          <w:tab w:val="left" w:pos="5040"/>
        </w:tabs>
        <w:spacing w:before="0" w:after="0" w:line="240" w:lineRule="auto"/>
        <w:jc w:val="both"/>
        <w:rPr>
          <w:b/>
        </w:rPr>
      </w:pPr>
      <w:r>
        <w:t xml:space="preserve">Kenneth McLean  </w:t>
      </w:r>
      <w:r>
        <w:tab/>
        <w:t>:</w:t>
      </w:r>
    </w:p>
    <w:p w:rsidR="00424125" w:rsidRPr="00560DC5" w:rsidRDefault="00424125" w:rsidP="009A294C">
      <w:pPr>
        <w:tabs>
          <w:tab w:val="left" w:pos="0"/>
        </w:tabs>
        <w:spacing w:before="0" w:after="0" w:line="240" w:lineRule="auto"/>
        <w:jc w:val="both"/>
      </w:pPr>
      <w:r>
        <w:rPr>
          <w:b/>
        </w:rPr>
        <w:tab/>
      </w:r>
      <w:r>
        <w:rPr>
          <w:b/>
        </w:rPr>
        <w:tab/>
      </w:r>
      <w:r>
        <w:rPr>
          <w:b/>
        </w:rPr>
        <w:tab/>
      </w:r>
      <w:r>
        <w:rPr>
          <w:b/>
        </w:rPr>
        <w:tab/>
      </w:r>
      <w:r>
        <w:rPr>
          <w:b/>
        </w:rPr>
        <w:tab/>
      </w:r>
      <w:r>
        <w:rPr>
          <w:b/>
        </w:rPr>
        <w:tab/>
      </w:r>
      <w:r w:rsidRPr="00560DC5">
        <w:t>:</w:t>
      </w:r>
    </w:p>
    <w:p w:rsidR="00424125" w:rsidRPr="003B279A" w:rsidRDefault="00424125" w:rsidP="009A294C">
      <w:pPr>
        <w:tabs>
          <w:tab w:val="left" w:pos="0"/>
          <w:tab w:val="left" w:pos="720"/>
        </w:tabs>
        <w:spacing w:before="0" w:after="0" w:line="240" w:lineRule="auto"/>
        <w:jc w:val="both"/>
      </w:pPr>
      <w:r>
        <w:tab/>
        <w:t>v.</w:t>
      </w:r>
      <w:r>
        <w:tab/>
      </w:r>
      <w:r>
        <w:tab/>
      </w:r>
      <w:r>
        <w:tab/>
      </w:r>
      <w:r>
        <w:tab/>
      </w:r>
      <w:r>
        <w:tab/>
      </w:r>
      <w:r>
        <w:tab/>
      </w:r>
      <w:r w:rsidRPr="00560DC5">
        <w:t>:</w:t>
      </w:r>
      <w:r>
        <w:rPr>
          <w:b/>
        </w:rPr>
        <w:tab/>
      </w:r>
      <w:r>
        <w:rPr>
          <w:b/>
        </w:rPr>
        <w:tab/>
      </w:r>
      <w:r>
        <w:t>C-2016-2539492</w:t>
      </w:r>
    </w:p>
    <w:p w:rsidR="00424125" w:rsidRPr="00560DC5" w:rsidRDefault="00424125" w:rsidP="009A294C">
      <w:pPr>
        <w:tabs>
          <w:tab w:val="left" w:pos="0"/>
        </w:tabs>
        <w:spacing w:before="0" w:after="0" w:line="240" w:lineRule="auto"/>
        <w:jc w:val="both"/>
      </w:pPr>
      <w:r>
        <w:tab/>
      </w:r>
      <w:r>
        <w:tab/>
      </w:r>
      <w:r>
        <w:tab/>
      </w:r>
      <w:r>
        <w:tab/>
      </w:r>
      <w:r>
        <w:tab/>
      </w:r>
      <w:r>
        <w:tab/>
      </w:r>
      <w:r w:rsidRPr="00560DC5">
        <w:t>:</w:t>
      </w:r>
    </w:p>
    <w:p w:rsidR="00424125" w:rsidRDefault="00424125" w:rsidP="009A294C">
      <w:pPr>
        <w:tabs>
          <w:tab w:val="left" w:pos="0"/>
        </w:tabs>
        <w:spacing w:before="0" w:after="0" w:line="240" w:lineRule="auto"/>
        <w:jc w:val="both"/>
      </w:pPr>
      <w:r>
        <w:t>Philadelphia Gas Works</w:t>
      </w:r>
      <w:r>
        <w:tab/>
      </w:r>
      <w:r>
        <w:tab/>
      </w:r>
      <w:r>
        <w:tab/>
      </w:r>
      <w:r>
        <w:tab/>
      </w:r>
      <w:r w:rsidRPr="00560DC5">
        <w:t>:</w:t>
      </w:r>
    </w:p>
    <w:p w:rsidR="00424125" w:rsidRDefault="00424125" w:rsidP="009A294C">
      <w:pPr>
        <w:tabs>
          <w:tab w:val="left" w:pos="0"/>
        </w:tabs>
        <w:spacing w:before="0" w:after="0" w:line="240" w:lineRule="auto"/>
        <w:jc w:val="both"/>
      </w:pPr>
      <w:r>
        <w:tab/>
      </w:r>
      <w:r>
        <w:tab/>
      </w:r>
    </w:p>
    <w:p w:rsidR="00424125" w:rsidRDefault="00424125" w:rsidP="009A294C">
      <w:pPr>
        <w:tabs>
          <w:tab w:val="left" w:pos="0"/>
        </w:tabs>
        <w:spacing w:before="0" w:after="0" w:line="240" w:lineRule="auto"/>
        <w:jc w:val="both"/>
        <w:rPr>
          <w:b/>
        </w:rPr>
      </w:pPr>
    </w:p>
    <w:p w:rsidR="00424125" w:rsidRDefault="00424125" w:rsidP="009A294C">
      <w:pPr>
        <w:tabs>
          <w:tab w:val="left" w:pos="0"/>
        </w:tabs>
        <w:spacing w:before="0" w:after="0" w:line="240" w:lineRule="auto"/>
        <w:jc w:val="both"/>
        <w:rPr>
          <w:b/>
        </w:rPr>
      </w:pPr>
    </w:p>
    <w:p w:rsidR="0080594E" w:rsidRPr="00EE6923" w:rsidRDefault="0080594E" w:rsidP="009A294C">
      <w:pPr>
        <w:spacing w:before="0" w:after="0" w:line="240" w:lineRule="auto"/>
        <w:jc w:val="center"/>
        <w:rPr>
          <w:b/>
          <w:u w:val="single"/>
        </w:rPr>
      </w:pPr>
      <w:r w:rsidRPr="00EE6923">
        <w:rPr>
          <w:b/>
          <w:u w:val="single"/>
        </w:rPr>
        <w:t>INITIAL DECISION</w:t>
      </w:r>
    </w:p>
    <w:p w:rsidR="0080594E" w:rsidRDefault="0080594E" w:rsidP="009A294C">
      <w:pPr>
        <w:spacing w:before="0" w:after="0" w:line="240" w:lineRule="auto"/>
        <w:jc w:val="center"/>
      </w:pPr>
    </w:p>
    <w:p w:rsidR="009A294C" w:rsidRDefault="009A294C" w:rsidP="009A294C">
      <w:pPr>
        <w:spacing w:before="0" w:after="0" w:line="240" w:lineRule="auto"/>
        <w:jc w:val="center"/>
      </w:pPr>
    </w:p>
    <w:p w:rsidR="0080594E" w:rsidRDefault="0080594E" w:rsidP="009A294C">
      <w:pPr>
        <w:spacing w:before="0" w:after="0" w:line="240" w:lineRule="auto"/>
        <w:jc w:val="center"/>
      </w:pPr>
      <w:r>
        <w:t>Before</w:t>
      </w:r>
    </w:p>
    <w:p w:rsidR="0080594E" w:rsidRDefault="0080594E" w:rsidP="009A294C">
      <w:pPr>
        <w:spacing w:before="0" w:after="0" w:line="240" w:lineRule="auto"/>
        <w:jc w:val="center"/>
      </w:pPr>
      <w:r>
        <w:t>Mary D. Long</w:t>
      </w:r>
    </w:p>
    <w:p w:rsidR="0080594E" w:rsidRDefault="0080594E" w:rsidP="009A294C">
      <w:pPr>
        <w:spacing w:before="0" w:after="0" w:line="240" w:lineRule="auto"/>
        <w:jc w:val="center"/>
      </w:pPr>
      <w:r>
        <w:t>Administrative Law Judge</w:t>
      </w:r>
    </w:p>
    <w:p w:rsidR="0080594E" w:rsidRDefault="0080594E" w:rsidP="009A294C">
      <w:pPr>
        <w:spacing w:before="0" w:after="0" w:line="240" w:lineRule="auto"/>
      </w:pPr>
    </w:p>
    <w:p w:rsidR="009A294C" w:rsidRDefault="009A294C" w:rsidP="009A294C">
      <w:pPr>
        <w:spacing w:before="0" w:after="0" w:line="240" w:lineRule="auto"/>
        <w:jc w:val="center"/>
        <w:rPr>
          <w:u w:val="single"/>
        </w:rPr>
      </w:pPr>
    </w:p>
    <w:p w:rsidR="0080594E" w:rsidRDefault="0080594E" w:rsidP="009A294C">
      <w:pPr>
        <w:spacing w:before="0" w:after="0" w:line="240" w:lineRule="auto"/>
        <w:jc w:val="center"/>
        <w:rPr>
          <w:u w:val="single"/>
        </w:rPr>
      </w:pPr>
      <w:r w:rsidRPr="00EE6923">
        <w:rPr>
          <w:u w:val="single"/>
        </w:rPr>
        <w:t>INTRODUCTION</w:t>
      </w:r>
    </w:p>
    <w:p w:rsidR="009A294C" w:rsidRPr="00EE6923" w:rsidRDefault="009A294C" w:rsidP="009A294C">
      <w:pPr>
        <w:spacing w:before="0" w:after="0" w:line="240" w:lineRule="auto"/>
        <w:jc w:val="center"/>
        <w:rPr>
          <w:u w:val="single"/>
        </w:rPr>
      </w:pPr>
    </w:p>
    <w:p w:rsidR="0080594E" w:rsidRDefault="0080594E" w:rsidP="009A294C">
      <w:pPr>
        <w:spacing w:before="0" w:after="0"/>
      </w:pPr>
      <w:r>
        <w:tab/>
        <w:t>This decision</w:t>
      </w:r>
      <w:r w:rsidR="00EE29FB">
        <w:t xml:space="preserve"> partially</w:t>
      </w:r>
      <w:r>
        <w:t xml:space="preserve"> sustains </w:t>
      </w:r>
      <w:r w:rsidR="00345A20">
        <w:t>a formal complaint where a</w:t>
      </w:r>
      <w:r>
        <w:t xml:space="preserve"> utility failed to </w:t>
      </w:r>
      <w:r w:rsidR="00EE29FB">
        <w:t>demonstrate</w:t>
      </w:r>
      <w:r>
        <w:t xml:space="preserve"> that the applicant </w:t>
      </w:r>
      <w:r w:rsidR="00EE29FB">
        <w:t xml:space="preserve">resided at the service address and </w:t>
      </w:r>
      <w:r>
        <w:t>was responsible for the outstanding balance of another ratepayer and improperly transferred that balance to the applicant’s account.</w:t>
      </w:r>
      <w:r w:rsidR="00EE29FB">
        <w:t xml:space="preserve">  The applicant is responsible for the portion of the balance which accrued during a period of time that he admits he was living at the service address.</w:t>
      </w:r>
    </w:p>
    <w:p w:rsidR="009A294C" w:rsidRDefault="009A294C" w:rsidP="009A294C">
      <w:pPr>
        <w:spacing w:before="0" w:after="0"/>
      </w:pPr>
    </w:p>
    <w:p w:rsidR="008E0705" w:rsidRDefault="008E0705" w:rsidP="009A294C">
      <w:pPr>
        <w:spacing w:before="0" w:after="0"/>
        <w:jc w:val="center"/>
        <w:rPr>
          <w:u w:val="single"/>
        </w:rPr>
      </w:pPr>
      <w:r w:rsidRPr="00EE6923">
        <w:rPr>
          <w:u w:val="single"/>
        </w:rPr>
        <w:t>HISTORY OF THE PROCEEDING</w:t>
      </w:r>
    </w:p>
    <w:p w:rsidR="009A294C" w:rsidRPr="00EE6923" w:rsidRDefault="009A294C" w:rsidP="009A294C">
      <w:pPr>
        <w:spacing w:before="0" w:after="0"/>
        <w:jc w:val="center"/>
        <w:rPr>
          <w:u w:val="single"/>
        </w:rPr>
      </w:pPr>
    </w:p>
    <w:p w:rsidR="008E0705" w:rsidRDefault="008E0705" w:rsidP="009A294C">
      <w:pPr>
        <w:spacing w:before="0" w:after="0"/>
      </w:pPr>
      <w:r>
        <w:tab/>
        <w:t>On March 29, 2016, Kenneth McLean (Complainant) filed a formal complaint against Philadelphia Gas Works (PGW), alleging that PGW had improperly transferred a balance to his account because he did not live at the service address during the time period when the balance accrued.  PGW filed an answer on May 2, 2016, denying that there were incorrect charges on the Complainant’s bill.</w:t>
      </w:r>
    </w:p>
    <w:p w:rsidR="009A294C" w:rsidRDefault="009A294C" w:rsidP="009A294C">
      <w:pPr>
        <w:spacing w:before="0" w:after="0"/>
      </w:pPr>
    </w:p>
    <w:p w:rsidR="008E0705" w:rsidRDefault="008E0705" w:rsidP="009A294C">
      <w:pPr>
        <w:spacing w:before="0" w:after="0"/>
      </w:pPr>
      <w:r>
        <w:lastRenderedPageBreak/>
        <w:tab/>
        <w:t>By hearing notice dated May 17, 2016, a telephonic hearing was scheduled for June 15, 2016, and the complaint was assigned to me for disposition.  A prehearing order was issued on May 20, 2016.</w:t>
      </w:r>
    </w:p>
    <w:p w:rsidR="009A294C" w:rsidRDefault="009A294C" w:rsidP="009A294C">
      <w:pPr>
        <w:spacing w:before="0" w:after="0"/>
      </w:pPr>
    </w:p>
    <w:p w:rsidR="008E0705" w:rsidRDefault="008E0705" w:rsidP="009A294C">
      <w:pPr>
        <w:spacing w:before="0" w:after="0"/>
      </w:pPr>
      <w:r>
        <w:tab/>
        <w:t>The hearing convened as scheduled.  Kenneth McLean appeared and testified on his own behalf.  Laureto Farina</w:t>
      </w:r>
      <w:r w:rsidR="007A24F0">
        <w:t>s</w:t>
      </w:r>
      <w:r>
        <w:t>, Esquire appeared and represented PGW.  He offered the testimony of one witness, Adrian Crawford.  Five exhibits were admitted into the record on behalf of PGW.</w:t>
      </w:r>
      <w:r w:rsidR="002219E2">
        <w:t xml:space="preserve">  The hearing generated a transcript of </w:t>
      </w:r>
      <w:r w:rsidR="00E93E17">
        <w:t>107 pages.  Following the receipt of the transcript the record was closed by order dated July 25, 2016.</w:t>
      </w:r>
    </w:p>
    <w:p w:rsidR="009A294C" w:rsidRDefault="009A294C" w:rsidP="009A294C">
      <w:pPr>
        <w:spacing w:before="0" w:after="0"/>
      </w:pPr>
    </w:p>
    <w:p w:rsidR="00ED08E9" w:rsidRDefault="00ED08E9" w:rsidP="009A294C">
      <w:pPr>
        <w:spacing w:before="0" w:after="0"/>
        <w:jc w:val="center"/>
        <w:rPr>
          <w:u w:val="single"/>
        </w:rPr>
      </w:pPr>
      <w:r w:rsidRPr="00EE6923">
        <w:rPr>
          <w:u w:val="single"/>
        </w:rPr>
        <w:t>FINDINGS OF FACT</w:t>
      </w:r>
    </w:p>
    <w:p w:rsidR="009A294C" w:rsidRPr="00EE6923" w:rsidRDefault="009A294C" w:rsidP="009A294C">
      <w:pPr>
        <w:spacing w:before="0" w:after="0"/>
        <w:jc w:val="center"/>
        <w:rPr>
          <w:u w:val="single"/>
        </w:rPr>
      </w:pPr>
    </w:p>
    <w:p w:rsidR="00ED08E9" w:rsidRDefault="00ED08E9" w:rsidP="009A294C">
      <w:pPr>
        <w:pStyle w:val="ListParagraph"/>
        <w:spacing w:before="0" w:after="0"/>
        <w:ind w:firstLine="1440"/>
      </w:pPr>
      <w:r>
        <w:t>The Complainant, Kenneth McLean, resides at 1509 West 65</w:t>
      </w:r>
      <w:r w:rsidRPr="00ED08E9">
        <w:rPr>
          <w:vertAlign w:val="superscript"/>
        </w:rPr>
        <w:t>th</w:t>
      </w:r>
      <w:r>
        <w:t xml:space="preserve"> Avenue, Philadelphia, Pennsylvania </w:t>
      </w:r>
      <w:r w:rsidR="007A24F0">
        <w:t xml:space="preserve">(service address) </w:t>
      </w:r>
      <w:r>
        <w:t>and receives gas service from PGW at that address.  (N.T. 9)</w:t>
      </w:r>
    </w:p>
    <w:p w:rsidR="00ED08E9" w:rsidRDefault="00ED08E9" w:rsidP="009A294C">
      <w:pPr>
        <w:pStyle w:val="ListParagraph"/>
        <w:spacing w:before="0" w:after="0"/>
        <w:ind w:firstLine="1440"/>
      </w:pPr>
      <w:r>
        <w:t>PGW is a jurisdictional public utility.</w:t>
      </w:r>
    </w:p>
    <w:p w:rsidR="009A294C" w:rsidRDefault="009A294C" w:rsidP="009A294C">
      <w:pPr>
        <w:spacing w:before="0" w:after="0"/>
      </w:pPr>
    </w:p>
    <w:p w:rsidR="007E3B1A" w:rsidRDefault="007E3B1A" w:rsidP="009A294C">
      <w:pPr>
        <w:pStyle w:val="ListParagraph"/>
        <w:spacing w:before="0" w:after="0"/>
        <w:ind w:firstLine="1440"/>
      </w:pPr>
      <w:r>
        <w:t>The Complainant began to occupy the service address in December 2014</w:t>
      </w:r>
      <w:r w:rsidR="00333EE3">
        <w:t xml:space="preserve"> or January 2015</w:t>
      </w:r>
      <w:r>
        <w:t>.  (N.T. 20)</w:t>
      </w:r>
    </w:p>
    <w:p w:rsidR="009A294C" w:rsidRDefault="009A294C" w:rsidP="009A294C">
      <w:pPr>
        <w:spacing w:before="0" w:after="0"/>
      </w:pPr>
    </w:p>
    <w:p w:rsidR="006A312D" w:rsidRDefault="006A312D" w:rsidP="009A294C">
      <w:pPr>
        <w:pStyle w:val="ListParagraph"/>
        <w:spacing w:before="0" w:after="0"/>
        <w:ind w:firstLine="1440"/>
      </w:pPr>
      <w:r>
        <w:t>The Complainant was born at the service address and grew up there, but never lived or stayed there from 2011 until he moved in around December 2014.  (N.T. 33, 35-36)</w:t>
      </w:r>
    </w:p>
    <w:p w:rsidR="009A294C" w:rsidRDefault="009A294C" w:rsidP="009A294C">
      <w:pPr>
        <w:spacing w:before="0" w:after="0"/>
      </w:pPr>
    </w:p>
    <w:p w:rsidR="00ED08E9" w:rsidRDefault="00ED08E9" w:rsidP="009A294C">
      <w:pPr>
        <w:pStyle w:val="ListParagraph"/>
        <w:spacing w:before="0" w:after="0"/>
        <w:ind w:firstLine="1440"/>
      </w:pPr>
      <w:r>
        <w:t xml:space="preserve">The Complainant contacted PGW on February 20, </w:t>
      </w:r>
      <w:r w:rsidRPr="008E690A">
        <w:t>201</w:t>
      </w:r>
      <w:r w:rsidR="008E690A" w:rsidRPr="008E690A">
        <w:t>5</w:t>
      </w:r>
      <w:r w:rsidRPr="008E690A">
        <w:t>,</w:t>
      </w:r>
      <w:r>
        <w:t xml:space="preserve"> to establish service in his name.  (N.T. 10</w:t>
      </w:r>
      <w:r w:rsidR="00BC549D">
        <w:t>; 44; PGW Ex. 1</w:t>
      </w:r>
      <w:r>
        <w:t>)</w:t>
      </w:r>
    </w:p>
    <w:p w:rsidR="009A294C" w:rsidRDefault="009A294C" w:rsidP="009A294C">
      <w:pPr>
        <w:spacing w:before="0" w:after="0"/>
      </w:pPr>
    </w:p>
    <w:p w:rsidR="00ED08E9" w:rsidRDefault="00ED08E9" w:rsidP="009A294C">
      <w:pPr>
        <w:pStyle w:val="ListParagraph"/>
        <w:spacing w:before="0" w:after="0"/>
        <w:ind w:firstLine="1440"/>
      </w:pPr>
      <w:r>
        <w:t xml:space="preserve">PGW assigned account number xxxxxx3582 to the Complainant.  </w:t>
      </w:r>
      <w:r w:rsidR="004B24A7">
        <w:t xml:space="preserve">      </w:t>
      </w:r>
      <w:r>
        <w:t>(N.T. 10)</w:t>
      </w:r>
    </w:p>
    <w:p w:rsidR="00ED08E9" w:rsidRDefault="00ED08E9" w:rsidP="009A294C">
      <w:pPr>
        <w:pStyle w:val="ListParagraph"/>
        <w:spacing w:before="0" w:after="0"/>
        <w:ind w:firstLine="1440"/>
      </w:pPr>
      <w:r>
        <w:lastRenderedPageBreak/>
        <w:t>The PGW customer service representative informed the Complainant that an account in the name of Thomas McLean, number xxxxxx6948</w:t>
      </w:r>
      <w:r w:rsidR="008C70A7">
        <w:t>,</w:t>
      </w:r>
      <w:r>
        <w:t xml:space="preserve"> was associated with the service address.  (N.T. 15</w:t>
      </w:r>
      <w:r w:rsidR="00BC549D">
        <w:t>; PGW Ex. 1</w:t>
      </w:r>
      <w:r>
        <w:t>)</w:t>
      </w:r>
    </w:p>
    <w:p w:rsidR="009A294C" w:rsidRDefault="009A294C" w:rsidP="009A294C">
      <w:pPr>
        <w:spacing w:before="0" w:after="0"/>
      </w:pPr>
    </w:p>
    <w:p w:rsidR="000E1A2E" w:rsidRDefault="000E1A2E" w:rsidP="009A294C">
      <w:pPr>
        <w:pStyle w:val="ListParagraph"/>
        <w:spacing w:before="0" w:after="0"/>
        <w:ind w:firstLine="1440"/>
      </w:pPr>
      <w:r>
        <w:t>Thomas McLean</w:t>
      </w:r>
      <w:r w:rsidR="00374789">
        <w:t xml:space="preserve">, the Complainant’s father, </w:t>
      </w:r>
      <w:r>
        <w:t>died in 2009.  (N.T. 17-18</w:t>
      </w:r>
      <w:r w:rsidR="00374789">
        <w:t>; 32</w:t>
      </w:r>
      <w:r>
        <w:t>)</w:t>
      </w:r>
    </w:p>
    <w:p w:rsidR="009A294C" w:rsidRDefault="009A294C" w:rsidP="009A294C">
      <w:pPr>
        <w:spacing w:before="0" w:after="0"/>
      </w:pPr>
    </w:p>
    <w:p w:rsidR="00B17030" w:rsidRDefault="00B17030" w:rsidP="009A294C">
      <w:pPr>
        <w:pStyle w:val="ListParagraph"/>
        <w:spacing w:before="0" w:after="0"/>
        <w:ind w:firstLine="1440"/>
      </w:pPr>
      <w:r>
        <w:t>PGW transferred the outstanding balance on Thomas McLean’s account to the Complainant’s account</w:t>
      </w:r>
      <w:r w:rsidR="00BC549D">
        <w:t xml:space="preserve"> in the amount of $1,541</w:t>
      </w:r>
      <w:r w:rsidR="004B24A7">
        <w:t>.</w:t>
      </w:r>
      <w:r w:rsidR="00BC549D">
        <w:t>49</w:t>
      </w:r>
      <w:r>
        <w:t>.</w:t>
      </w:r>
      <w:r w:rsidR="00BC549D">
        <w:t xml:space="preserve">  (</w:t>
      </w:r>
      <w:r w:rsidR="00E878D4">
        <w:t>N.T. 48</w:t>
      </w:r>
      <w:r w:rsidR="00134B35">
        <w:t>-49</w:t>
      </w:r>
      <w:r w:rsidR="00E878D4">
        <w:t xml:space="preserve">; </w:t>
      </w:r>
      <w:r w:rsidR="00BC549D">
        <w:t>PGW Ex. 2)</w:t>
      </w:r>
    </w:p>
    <w:p w:rsidR="009A294C" w:rsidRDefault="009A294C" w:rsidP="009A294C">
      <w:pPr>
        <w:spacing w:before="0" w:after="0"/>
      </w:pPr>
    </w:p>
    <w:p w:rsidR="0082173D" w:rsidRDefault="0082173D" w:rsidP="009A294C">
      <w:pPr>
        <w:pStyle w:val="ListParagraph"/>
        <w:spacing w:before="0" w:after="0"/>
        <w:ind w:firstLine="1440"/>
      </w:pPr>
      <w:r>
        <w:t xml:space="preserve">The balance </w:t>
      </w:r>
      <w:r w:rsidR="009775C8">
        <w:t>of $1,541.49 accrued from January 18, 2012 until February 23, 2015.  (N.T. 63)</w:t>
      </w:r>
    </w:p>
    <w:p w:rsidR="009A294C" w:rsidRDefault="009A294C" w:rsidP="009A294C">
      <w:pPr>
        <w:spacing w:before="0" w:after="0"/>
      </w:pPr>
    </w:p>
    <w:p w:rsidR="007A24F0" w:rsidRDefault="00A83F79" w:rsidP="009A294C">
      <w:pPr>
        <w:pStyle w:val="ListParagraph"/>
        <w:spacing w:before="0" w:after="0"/>
        <w:ind w:firstLine="1440"/>
      </w:pPr>
      <w:r>
        <w:t>PGW informed the Complainant that based on the outcome of a credit check, PGW determined that the Complainant resided at the address and was responsible for the past-due balance on account xxxxxx6948.  (N.T. 27</w:t>
      </w:r>
      <w:r w:rsidR="00E878D4">
        <w:t>; see N.T. 46</w:t>
      </w:r>
      <w:r w:rsidR="007A24F0" w:rsidRPr="007A24F0">
        <w:t xml:space="preserve"> </w:t>
      </w:r>
      <w:r w:rsidR="007A24F0">
        <w:t>)</w:t>
      </w:r>
    </w:p>
    <w:p w:rsidR="009A294C" w:rsidRDefault="009A294C" w:rsidP="009A294C">
      <w:pPr>
        <w:spacing w:before="0" w:after="0"/>
      </w:pPr>
    </w:p>
    <w:p w:rsidR="00A83F79" w:rsidRDefault="007A24F0" w:rsidP="009A294C">
      <w:pPr>
        <w:pStyle w:val="ListParagraph"/>
        <w:spacing w:before="0" w:after="0"/>
        <w:ind w:firstLine="1440"/>
      </w:pPr>
      <w:r>
        <w:t>The Complainant inherited the service address from Evelyn McLean, who died in 2014.  (N.T. 9, 14, 33)</w:t>
      </w:r>
    </w:p>
    <w:p w:rsidR="009A294C" w:rsidRDefault="009A294C" w:rsidP="009A294C">
      <w:pPr>
        <w:spacing w:before="0" w:after="0"/>
      </w:pPr>
    </w:p>
    <w:p w:rsidR="00B17030" w:rsidRDefault="00B17030" w:rsidP="009A294C">
      <w:pPr>
        <w:pStyle w:val="ListParagraph"/>
        <w:spacing w:before="0" w:after="0"/>
        <w:ind w:firstLine="1440"/>
      </w:pPr>
      <w:r>
        <w:t>The Complainant has not worked since 2007.  (N.T. 26</w:t>
      </w:r>
      <w:r w:rsidR="00EC719F">
        <w:t>, 28</w:t>
      </w:r>
      <w:r>
        <w:t>)</w:t>
      </w:r>
    </w:p>
    <w:p w:rsidR="009A294C" w:rsidRDefault="009A294C" w:rsidP="009A294C">
      <w:pPr>
        <w:spacing w:before="0" w:after="0"/>
      </w:pPr>
    </w:p>
    <w:p w:rsidR="00B17030" w:rsidRDefault="00B17030" w:rsidP="009A294C">
      <w:pPr>
        <w:pStyle w:val="ListParagraph"/>
        <w:spacing w:before="0" w:after="0"/>
        <w:ind w:firstLine="1440"/>
      </w:pPr>
      <w:r>
        <w:t>Before December 2014, the Complainant did not have a permanent address</w:t>
      </w:r>
      <w:r w:rsidR="00C65C90">
        <w:t xml:space="preserve"> because he was homeless</w:t>
      </w:r>
      <w:r>
        <w:t>.</w:t>
      </w:r>
      <w:r w:rsidR="00F450DC">
        <w:t xml:space="preserve"> </w:t>
      </w:r>
      <w:r w:rsidR="004B24A7">
        <w:t xml:space="preserve"> </w:t>
      </w:r>
      <w:r w:rsidR="00F450DC">
        <w:t>(N.T. 18</w:t>
      </w:r>
      <w:r w:rsidR="009947AA">
        <w:t>, 34</w:t>
      </w:r>
      <w:r w:rsidR="00F450DC">
        <w:t>)</w:t>
      </w:r>
    </w:p>
    <w:p w:rsidR="009A294C" w:rsidRDefault="009A294C" w:rsidP="009A294C">
      <w:pPr>
        <w:spacing w:before="0" w:after="0"/>
      </w:pPr>
    </w:p>
    <w:p w:rsidR="00B15EBC" w:rsidRDefault="008C70A7" w:rsidP="009A294C">
      <w:pPr>
        <w:pStyle w:val="ListParagraph"/>
        <w:spacing w:before="0" w:after="0"/>
        <w:ind w:firstLine="1440"/>
      </w:pPr>
      <w:r>
        <w:t>PGW conducts credit searches using an applicant’s</w:t>
      </w:r>
      <w:r w:rsidR="00B15EBC">
        <w:t xml:space="preserve"> name and social security number.  (N.T. 64)</w:t>
      </w:r>
    </w:p>
    <w:p w:rsidR="009A294C" w:rsidRDefault="009A294C" w:rsidP="009A294C">
      <w:pPr>
        <w:spacing w:before="0" w:after="0"/>
      </w:pPr>
    </w:p>
    <w:p w:rsidR="00C65C90" w:rsidRDefault="00C65C90" w:rsidP="009A294C">
      <w:pPr>
        <w:pStyle w:val="ListParagraph"/>
        <w:spacing w:before="0" w:after="0"/>
        <w:ind w:firstLine="1440"/>
      </w:pPr>
      <w:r>
        <w:t>The credit background check indicated that the Complainant’s last known address was in 1986 at the service address.  (N.T. 71)</w:t>
      </w:r>
    </w:p>
    <w:p w:rsidR="00F15034" w:rsidRDefault="00CA22C6" w:rsidP="009A294C">
      <w:pPr>
        <w:pStyle w:val="ListParagraph"/>
        <w:spacing w:before="0" w:after="0"/>
        <w:ind w:firstLine="1440"/>
      </w:pPr>
      <w:r>
        <w:lastRenderedPageBreak/>
        <w:t>According to PGW, t</w:t>
      </w:r>
      <w:r w:rsidR="00F15034">
        <w:t xml:space="preserve">he credit background check did not indicate any other </w:t>
      </w:r>
      <w:proofErr w:type="gramStart"/>
      <w:r w:rsidR="00F15034">
        <w:t>address</w:t>
      </w:r>
      <w:r w:rsidR="00841583">
        <w:t>,</w:t>
      </w:r>
      <w:proofErr w:type="gramEnd"/>
      <w:r w:rsidR="00F15034">
        <w:t xml:space="preserve"> therefore PGW concluded that the Complainant resided at the prope</w:t>
      </w:r>
      <w:r w:rsidR="00787E6B">
        <w:t>rty after 2011.  (N.T. 83-84)</w:t>
      </w:r>
    </w:p>
    <w:p w:rsidR="009A294C" w:rsidRDefault="009A294C" w:rsidP="009A294C">
      <w:pPr>
        <w:spacing w:before="0" w:after="0"/>
      </w:pPr>
    </w:p>
    <w:p w:rsidR="00841583" w:rsidRDefault="00841583" w:rsidP="009A294C">
      <w:pPr>
        <w:pStyle w:val="ListParagraph"/>
        <w:spacing w:before="0" w:after="0"/>
        <w:ind w:firstLine="1440"/>
      </w:pPr>
      <w:r>
        <w:t>The Complainant’s testimony was credible.</w:t>
      </w:r>
    </w:p>
    <w:p w:rsidR="009A294C" w:rsidRDefault="009A294C" w:rsidP="009A294C">
      <w:pPr>
        <w:spacing w:before="0" w:after="0"/>
        <w:jc w:val="center"/>
        <w:rPr>
          <w:u w:val="single"/>
        </w:rPr>
      </w:pPr>
    </w:p>
    <w:p w:rsidR="004F4C01" w:rsidRDefault="004F4C01" w:rsidP="009A294C">
      <w:pPr>
        <w:spacing w:before="0" w:after="0"/>
        <w:jc w:val="center"/>
        <w:rPr>
          <w:u w:val="single"/>
        </w:rPr>
      </w:pPr>
      <w:r w:rsidRPr="007154DD">
        <w:rPr>
          <w:u w:val="single"/>
        </w:rPr>
        <w:t>DISCUSSION</w:t>
      </w:r>
    </w:p>
    <w:p w:rsidR="009A294C" w:rsidRDefault="009A294C" w:rsidP="009A294C">
      <w:pPr>
        <w:spacing w:before="0" w:after="0"/>
        <w:jc w:val="center"/>
        <w:rPr>
          <w:u w:val="single"/>
        </w:rPr>
      </w:pPr>
    </w:p>
    <w:p w:rsidR="004F4C01" w:rsidRPr="00035CC2" w:rsidRDefault="004F4C01" w:rsidP="009A294C">
      <w:pPr>
        <w:spacing w:before="0" w:after="0"/>
        <w:ind w:firstLine="1440"/>
        <w:rPr>
          <w:szCs w:val="24"/>
        </w:rPr>
      </w:pPr>
      <w:r w:rsidRPr="00035CC2">
        <w:rPr>
          <w:szCs w:val="24"/>
        </w:rPr>
        <w:t>Section 701 of the Public Utility Code (Code), provides that any person may complain, in writing, about any act or thing done or omitted to be done by a public utility in violation, or claimed violation, of any law which the Commission has the jurisdiction to administer, or of any regulation or order of the Commission.</w:t>
      </w:r>
      <w:r w:rsidRPr="00035CC2">
        <w:rPr>
          <w:rStyle w:val="FootnoteReference"/>
          <w:szCs w:val="24"/>
        </w:rPr>
        <w:footnoteReference w:id="1"/>
      </w:r>
      <w:r w:rsidRPr="00035CC2">
        <w:rPr>
          <w:szCs w:val="24"/>
        </w:rPr>
        <w:t xml:space="preserve">  A person seeking affirmative relief from the Commission has the burden of proof.</w:t>
      </w:r>
      <w:r w:rsidRPr="00035CC2">
        <w:rPr>
          <w:rStyle w:val="FootnoteReference"/>
          <w:szCs w:val="24"/>
        </w:rPr>
        <w:footnoteReference w:id="2"/>
      </w:r>
    </w:p>
    <w:p w:rsidR="009A294C" w:rsidRDefault="009A294C" w:rsidP="009A294C">
      <w:pPr>
        <w:spacing w:before="0" w:after="0"/>
        <w:ind w:firstLine="1440"/>
        <w:rPr>
          <w:szCs w:val="24"/>
        </w:rPr>
      </w:pPr>
    </w:p>
    <w:p w:rsidR="004F4C01" w:rsidRDefault="004F4C01" w:rsidP="009A294C">
      <w:pPr>
        <w:spacing w:before="0" w:after="0"/>
        <w:ind w:firstLine="1440"/>
        <w:rPr>
          <w:szCs w:val="24"/>
        </w:rPr>
      </w:pPr>
      <w:r w:rsidRPr="00035CC2">
        <w:rPr>
          <w:szCs w:val="24"/>
        </w:rPr>
        <w:t xml:space="preserve">In this matter, the Complainant is the party seeking affirmative relief from the Commission; therefore, he has the burden of proof.  This means that he has the duty to establish a fact by a preponderance of the evidence, and must show that </w:t>
      </w:r>
      <w:r>
        <w:rPr>
          <w:szCs w:val="24"/>
        </w:rPr>
        <w:t xml:space="preserve">the Company </w:t>
      </w:r>
      <w:r w:rsidRPr="00035CC2">
        <w:rPr>
          <w:szCs w:val="24"/>
        </w:rPr>
        <w:t>has violated the Public Utility Code or Commission regulations.</w:t>
      </w:r>
      <w:r w:rsidRPr="00035CC2">
        <w:rPr>
          <w:rStyle w:val="FootnoteReference"/>
          <w:szCs w:val="24"/>
        </w:rPr>
        <w:footnoteReference w:id="3"/>
      </w:r>
      <w:r w:rsidRPr="00035CC2">
        <w:rPr>
          <w:szCs w:val="24"/>
        </w:rPr>
        <w:t xml:space="preserve"> </w:t>
      </w:r>
    </w:p>
    <w:p w:rsidR="009A294C" w:rsidRDefault="004F4C01" w:rsidP="009A294C">
      <w:pPr>
        <w:spacing w:before="0" w:after="0"/>
      </w:pPr>
      <w:r>
        <w:tab/>
      </w:r>
    </w:p>
    <w:p w:rsidR="004F4C01" w:rsidRDefault="004F4C01" w:rsidP="009A294C">
      <w:pPr>
        <w:spacing w:before="0" w:after="0"/>
        <w:ind w:firstLine="1440"/>
      </w:pPr>
      <w:r>
        <w:t xml:space="preserve">The Complainant contends that he is not responsible for the balance which was accrued </w:t>
      </w:r>
      <w:r w:rsidR="00694868">
        <w:t>on the account</w:t>
      </w:r>
      <w:r>
        <w:t xml:space="preserve"> from January 18, 2012 until February 23, 2015.  He states that, until he inherited the property and moved there in December 2014 or January 2015, he did not live at the property.  He was homeless </w:t>
      </w:r>
      <w:r w:rsidR="00BD79ED">
        <w:t>in 2012</w:t>
      </w:r>
      <w:r>
        <w:t xml:space="preserve"> until he moved to the service address</w:t>
      </w:r>
      <w:r w:rsidR="00BD79ED">
        <w:t xml:space="preserve"> in 2014</w:t>
      </w:r>
      <w:r>
        <w:t>.  He did not have a permanent address or a job during that period of time.</w:t>
      </w:r>
    </w:p>
    <w:p w:rsidR="009A294C" w:rsidRDefault="004F4C01" w:rsidP="009A294C">
      <w:pPr>
        <w:spacing w:before="0" w:after="0"/>
      </w:pPr>
      <w:r>
        <w:tab/>
      </w:r>
    </w:p>
    <w:p w:rsidR="004F4C01" w:rsidRDefault="004F4C01" w:rsidP="009A294C">
      <w:pPr>
        <w:spacing w:before="0" w:after="0"/>
        <w:ind w:firstLine="1440"/>
      </w:pPr>
      <w:r>
        <w:t>PGW takes the position that a credit report based on the Complainant’s social security number does not indicate any other address for the Complainant after 1986</w:t>
      </w:r>
      <w:r w:rsidR="00BD79ED">
        <w:t xml:space="preserve">.  Therefore, </w:t>
      </w:r>
      <w:r w:rsidR="00BD79ED">
        <w:lastRenderedPageBreak/>
        <w:t>according to PGW</w:t>
      </w:r>
      <w:r>
        <w:t>,</w:t>
      </w:r>
      <w:r w:rsidR="00BD79ED">
        <w:t xml:space="preserve"> because he cannot prove that he lived elsewhere,</w:t>
      </w:r>
      <w:r>
        <w:t xml:space="preserve"> he is responsible for the bill pursuant to Section 56.35 of the Public Utility Code.</w:t>
      </w:r>
      <w:r w:rsidR="00BD79ED">
        <w:rPr>
          <w:rStyle w:val="FootnoteReference"/>
        </w:rPr>
        <w:footnoteReference w:id="4"/>
      </w:r>
    </w:p>
    <w:p w:rsidR="001D1362" w:rsidRDefault="001D1362" w:rsidP="009A294C">
      <w:pPr>
        <w:spacing w:before="0" w:after="0"/>
        <w:ind w:firstLine="1440"/>
      </w:pPr>
    </w:p>
    <w:p w:rsidR="004F4C01" w:rsidRDefault="004F4C01" w:rsidP="009A294C">
      <w:pPr>
        <w:spacing w:before="0" w:after="0"/>
      </w:pPr>
      <w:r>
        <w:tab/>
      </w:r>
      <w:r w:rsidR="00E872C3">
        <w:t xml:space="preserve">When a person applies to have service in their same, </w:t>
      </w:r>
      <w:r>
        <w:t xml:space="preserve">Section 56.35 of the Public Utility Code provides that a utility </w:t>
      </w:r>
      <w:r w:rsidR="00BD79ED">
        <w:t xml:space="preserve">can require a person to pay an outstanding </w:t>
      </w:r>
      <w:r>
        <w:t>account balance if they resided at the service address</w:t>
      </w:r>
      <w:r w:rsidR="00E872C3">
        <w:t xml:space="preserve"> when the account was in the name of another person</w:t>
      </w:r>
      <w:r>
        <w:t>:</w:t>
      </w:r>
    </w:p>
    <w:p w:rsidR="004F4C01" w:rsidRDefault="004F4C01" w:rsidP="004F4C01">
      <w:pPr>
        <w:spacing w:line="240" w:lineRule="auto"/>
        <w:ind w:left="1440" w:right="1440"/>
      </w:pPr>
      <w:r>
        <w:t xml:space="preserve">(a)  A public utility may require, as a condition of the furnishing of residential service to an applicant, the payment of any outstanding residential account with the public utility which accrued within the past 4 years for which the applicant is legally responsible and for which the applicant was billed properly. </w:t>
      </w:r>
    </w:p>
    <w:p w:rsidR="004F4C01" w:rsidRDefault="004F4C01" w:rsidP="001D1362">
      <w:pPr>
        <w:spacing w:before="0" w:after="0" w:line="240" w:lineRule="auto"/>
        <w:ind w:left="1440" w:right="1440"/>
      </w:pPr>
    </w:p>
    <w:p w:rsidR="004F4C01" w:rsidRDefault="004F4C01" w:rsidP="004F4C01">
      <w:pPr>
        <w:spacing w:line="240" w:lineRule="auto"/>
        <w:ind w:left="1440" w:right="1440"/>
      </w:pPr>
      <w:r>
        <w:t xml:space="preserve"> (b)  A public utility may not require, as a condition of the furnishing of residential service, payment for residential service previously furnished under an account in the name of a person other than the applicant, except as provided for in paragraphs (1) and (2). </w:t>
      </w:r>
    </w:p>
    <w:p w:rsidR="004F4C01" w:rsidRDefault="004F4C01" w:rsidP="004F4C01">
      <w:pPr>
        <w:spacing w:line="240" w:lineRule="auto"/>
        <w:ind w:left="1440" w:right="1440"/>
      </w:pPr>
    </w:p>
    <w:p w:rsidR="004F4C01" w:rsidRDefault="004F4C01" w:rsidP="004F4C01">
      <w:pPr>
        <w:tabs>
          <w:tab w:val="clear" w:pos="1440"/>
          <w:tab w:val="left" w:pos="2160"/>
        </w:tabs>
        <w:spacing w:line="240" w:lineRule="auto"/>
        <w:ind w:left="2160" w:right="1440"/>
      </w:pPr>
      <w:r>
        <w:t xml:space="preserve">   (1)  A public utility may require the payment of an outstanding balance or portion of an outstanding balance if the applicant resided at the property for which service is requested during the time the outstanding balance accrued and for the time the applicant resided there, not exceeding 4 years from the date of the service request. The 4-year limit does not apply if the balance includes amounts that the utility was not aware of because of fraud or theft on the part of the applicant. </w:t>
      </w:r>
    </w:p>
    <w:p w:rsidR="004F4C01" w:rsidRDefault="004F4C01" w:rsidP="004F4C01">
      <w:pPr>
        <w:tabs>
          <w:tab w:val="clear" w:pos="1440"/>
          <w:tab w:val="left" w:pos="2160"/>
        </w:tabs>
        <w:spacing w:line="240" w:lineRule="auto"/>
        <w:ind w:left="2160" w:right="1440"/>
      </w:pPr>
    </w:p>
    <w:p w:rsidR="004F4C01" w:rsidRDefault="004F4C01" w:rsidP="004F4C01">
      <w:pPr>
        <w:tabs>
          <w:tab w:val="clear" w:pos="1440"/>
          <w:tab w:val="left" w:pos="2160"/>
        </w:tabs>
        <w:spacing w:line="240" w:lineRule="auto"/>
        <w:ind w:left="2160" w:right="1440"/>
      </w:pPr>
      <w:r>
        <w:t xml:space="preserve">   (2)  A public utility may establish that an applicant previously resided at a property for which residential service is requested through the use of mortgage, deed or lease information, a commercially available consumer credit reporting service or other methods approved as valid by the Commission. </w:t>
      </w:r>
      <w:r w:rsidR="00F5755D">
        <w:t xml:space="preserve"> </w:t>
      </w:r>
      <w:r>
        <w:t xml:space="preserve">Public utilities shall include in their tariffs filed with the Commission the methods, other than those specifically mentioned in this paragraph, used to determine the applicant’s liability for any outstanding balance. </w:t>
      </w:r>
    </w:p>
    <w:p w:rsidR="004F4C01" w:rsidRDefault="004F4C01" w:rsidP="004F4C01">
      <w:pPr>
        <w:tabs>
          <w:tab w:val="clear" w:pos="1440"/>
          <w:tab w:val="left" w:pos="2160"/>
        </w:tabs>
        <w:spacing w:line="240" w:lineRule="auto"/>
        <w:ind w:left="2160" w:right="1440"/>
      </w:pPr>
      <w:r>
        <w:lastRenderedPageBreak/>
        <w:t xml:space="preserve">   (3)  Any outstanding residential account with the public utility may be amortized in accordance with § 56.191 (relating to payment and timing). </w:t>
      </w:r>
    </w:p>
    <w:p w:rsidR="009A294C" w:rsidRDefault="009A294C" w:rsidP="004F4C01">
      <w:pPr>
        <w:tabs>
          <w:tab w:val="clear" w:pos="1440"/>
          <w:tab w:val="left" w:pos="2160"/>
        </w:tabs>
        <w:spacing w:line="240" w:lineRule="auto"/>
        <w:ind w:left="2160" w:right="1440"/>
      </w:pPr>
    </w:p>
    <w:p w:rsidR="004F4C01" w:rsidRDefault="004F4C01" w:rsidP="004F4C01">
      <w:pPr>
        <w:spacing w:line="240" w:lineRule="auto"/>
        <w:ind w:left="1440" w:right="1440"/>
      </w:pPr>
      <w:r>
        <w:t xml:space="preserve"> (c)  This section does not affect the creditor rights and remedies of a public utility otherwise permitted by law.</w:t>
      </w:r>
      <w:r w:rsidR="009F53A5">
        <w:rPr>
          <w:rStyle w:val="FootnoteReference"/>
        </w:rPr>
        <w:footnoteReference w:id="5"/>
      </w:r>
    </w:p>
    <w:p w:rsidR="009A294C" w:rsidRDefault="009A294C" w:rsidP="004F4C01">
      <w:pPr>
        <w:spacing w:line="240" w:lineRule="auto"/>
        <w:ind w:left="1440" w:right="1440"/>
      </w:pPr>
    </w:p>
    <w:p w:rsidR="00ED08E9" w:rsidRDefault="00EB0399" w:rsidP="009A294C">
      <w:pPr>
        <w:spacing w:before="0" w:after="0"/>
      </w:pPr>
      <w:r>
        <w:t>This regulation places the burden of proving that a person resided at a service address on the utility</w:t>
      </w:r>
      <w:r w:rsidR="002004B7">
        <w:t xml:space="preserve"> by requiring the utility to establish residency with the use of a “mortgage, deed or lease information, a commercially available consumer credit reporting service</w:t>
      </w:r>
      <w:r>
        <w:t>.</w:t>
      </w:r>
      <w:r w:rsidR="002004B7">
        <w:t>”</w:t>
      </w:r>
      <w:r w:rsidR="002004B7">
        <w:rPr>
          <w:rStyle w:val="FootnoteReference"/>
        </w:rPr>
        <w:footnoteReference w:id="6"/>
      </w:r>
      <w:r w:rsidR="00ED08E9">
        <w:tab/>
      </w:r>
    </w:p>
    <w:p w:rsidR="001D1362" w:rsidRDefault="00200B8D" w:rsidP="009A294C">
      <w:pPr>
        <w:spacing w:before="0" w:after="0"/>
      </w:pPr>
      <w:r>
        <w:tab/>
      </w:r>
    </w:p>
    <w:p w:rsidR="00200B8D" w:rsidRDefault="00687482" w:rsidP="001D1362">
      <w:pPr>
        <w:spacing w:before="0" w:after="0"/>
        <w:ind w:firstLine="1440"/>
      </w:pPr>
      <w:r>
        <w:t>PGW relies solely</w:t>
      </w:r>
      <w:r w:rsidR="00331C3A">
        <w:t xml:space="preserve"> </w:t>
      </w:r>
      <w:r w:rsidR="00BB0693">
        <w:t xml:space="preserve">on </w:t>
      </w:r>
      <w:r w:rsidR="00331C3A">
        <w:t xml:space="preserve">a customer contact record which indicates the result of a credit </w:t>
      </w:r>
      <w:r w:rsidR="00BB0693">
        <w:t xml:space="preserve">report </w:t>
      </w:r>
      <w:r w:rsidR="008324BF">
        <w:t>stating</w:t>
      </w:r>
      <w:r>
        <w:t xml:space="preserve"> that the Complainant’s last known address was </w:t>
      </w:r>
      <w:r w:rsidR="008324BF">
        <w:t>the service address in</w:t>
      </w:r>
      <w:r>
        <w:t xml:space="preserve"> 1986.</w:t>
      </w:r>
      <w:r w:rsidR="0083745A">
        <w:rPr>
          <w:rStyle w:val="FootnoteReference"/>
        </w:rPr>
        <w:footnoteReference w:id="7"/>
      </w:r>
      <w:r w:rsidR="008324BF">
        <w:t xml:space="preserve">  Since the Complainant cannot demonstrate that he lived anywhere else, PGW concludes that he resided at the service address and is responsible for the outstanding balance.</w:t>
      </w:r>
      <w:r>
        <w:t xml:space="preserve">  T</w:t>
      </w:r>
      <w:r w:rsidR="00200B8D">
        <w:t xml:space="preserve">he Complainant admits that he lived at the service address in 1986.  It is the home in which he grew up, and during that period of time he was attending college.  However, he also </w:t>
      </w:r>
      <w:r w:rsidR="008324BF">
        <w:t>testified credibly that during 2012</w:t>
      </w:r>
      <w:r w:rsidR="00200B8D">
        <w:t xml:space="preserve"> until he returned to the property after he inherited the home, he did no</w:t>
      </w:r>
      <w:r w:rsidR="00331C3A">
        <w:t xml:space="preserve">t live there </w:t>
      </w:r>
      <w:r w:rsidR="009662D2">
        <w:t>but</w:t>
      </w:r>
      <w:r w:rsidR="00331C3A">
        <w:t xml:space="preserve"> was homeless. </w:t>
      </w:r>
      <w:r w:rsidR="00F5755D">
        <w:t xml:space="preserve"> </w:t>
      </w:r>
      <w:r w:rsidR="00331C3A">
        <w:t xml:space="preserve">He disputes that he told the customer service representative when he called to establish service in his name, that he had always lived at the property.  </w:t>
      </w:r>
    </w:p>
    <w:p w:rsidR="001D1362" w:rsidRDefault="001D1362" w:rsidP="001D1362">
      <w:pPr>
        <w:spacing w:before="0" w:after="0"/>
        <w:ind w:firstLine="1440"/>
      </w:pPr>
    </w:p>
    <w:p w:rsidR="001D1362" w:rsidRDefault="00331C3A" w:rsidP="009A294C">
      <w:pPr>
        <w:spacing w:before="0" w:after="0"/>
      </w:pPr>
      <w:r>
        <w:tab/>
        <w:t>I find that PGW’s reliance on a credit report which only established the Complainant’s</w:t>
      </w:r>
      <w:r w:rsidR="00E872C3">
        <w:t xml:space="preserve"> last known address in 1986 is i</w:t>
      </w:r>
      <w:r>
        <w:t>nsufficient</w:t>
      </w:r>
      <w:r w:rsidR="005A1DF2">
        <w:t xml:space="preserve"> by itself</w:t>
      </w:r>
      <w:r>
        <w:t xml:space="preserve"> to establish </w:t>
      </w:r>
      <w:r w:rsidR="00E872C3">
        <w:t>that he benefitted from the service before December 2014</w:t>
      </w:r>
      <w:r>
        <w:t>.</w:t>
      </w:r>
      <w:r w:rsidR="005A1DF2">
        <w:t xml:space="preserve"> </w:t>
      </w:r>
      <w:r w:rsidR="00E675AD">
        <w:t xml:space="preserve"> </w:t>
      </w:r>
      <w:r w:rsidR="005A1DF2">
        <w:t>Section 56.35 does not place a burden on an applicant to prove that he did not reside at the service address.</w:t>
      </w:r>
      <w:r>
        <w:t xml:space="preserve">  I find that the Complainant’s testimony that he was homeless is credible and PGW presented no reliable evidence to dispute his </w:t>
      </w:r>
      <w:r w:rsidR="005A1DF2">
        <w:t>testimony</w:t>
      </w:r>
      <w:r>
        <w:t xml:space="preserve">. </w:t>
      </w:r>
    </w:p>
    <w:p w:rsidR="00E860A5" w:rsidRDefault="00331C3A" w:rsidP="009A294C">
      <w:pPr>
        <w:spacing w:before="0" w:after="0"/>
      </w:pPr>
      <w:r>
        <w:t xml:space="preserve"> </w:t>
      </w:r>
    </w:p>
    <w:p w:rsidR="00331C3A" w:rsidRDefault="00E860A5" w:rsidP="009A294C">
      <w:pPr>
        <w:spacing w:before="0" w:after="0"/>
      </w:pPr>
      <w:r>
        <w:lastRenderedPageBreak/>
        <w:tab/>
      </w:r>
      <w:r w:rsidR="0092535E">
        <w:t xml:space="preserve">PGW’s customer contact records include a notation that when he called PGW to establish service in February 2015, that he </w:t>
      </w:r>
      <w:r w:rsidR="000D3093">
        <w:t>“confirmed he has always lived at the property.”</w:t>
      </w:r>
      <w:r w:rsidR="000D3093">
        <w:rPr>
          <w:rStyle w:val="FootnoteReference"/>
        </w:rPr>
        <w:footnoteReference w:id="8"/>
      </w:r>
      <w:r w:rsidR="000D3093">
        <w:t xml:space="preserve"> </w:t>
      </w:r>
      <w:r w:rsidR="00E675AD">
        <w:t xml:space="preserve"> </w:t>
      </w:r>
      <w:r w:rsidR="00331C3A">
        <w:t xml:space="preserve">The Complainant testified that he did not tell the PGW customer service representative that he had always lived at the property.  PGW did not </w:t>
      </w:r>
      <w:r>
        <w:t>present</w:t>
      </w:r>
      <w:r w:rsidR="00331C3A">
        <w:t xml:space="preserve"> the customer service representative</w:t>
      </w:r>
      <w:r w:rsidR="001535DD">
        <w:t xml:space="preserve"> who spoke to the Complainant</w:t>
      </w:r>
      <w:r w:rsidR="00331C3A">
        <w:t xml:space="preserve"> as a witness to dispute the Complainant’s statement</w:t>
      </w:r>
      <w:r w:rsidR="001535DD">
        <w:t xml:space="preserve"> or provide context for the</w:t>
      </w:r>
      <w:r w:rsidR="00CD68B1">
        <w:t xml:space="preserve"> comment.  Instead</w:t>
      </w:r>
      <w:r>
        <w:t xml:space="preserve">, </w:t>
      </w:r>
      <w:r w:rsidR="00CD68B1">
        <w:t>PGW</w:t>
      </w:r>
      <w:r>
        <w:t xml:space="preserve"> relied solely upon the testimony of Ms. Crawford who reviewed the records</w:t>
      </w:r>
      <w:r w:rsidR="00CD68B1">
        <w:t>, but did not have direct personal knowledge</w:t>
      </w:r>
      <w:r w:rsidR="00331C3A">
        <w:t>.</w:t>
      </w:r>
      <w:r w:rsidR="001535DD">
        <w:t xml:space="preserve">  Although the customer contact record was admitted into evidence as a business record, the statement itself is hearsay.</w:t>
      </w:r>
      <w:r w:rsidR="00474F46">
        <w:rPr>
          <w:rStyle w:val="FootnoteReference"/>
        </w:rPr>
        <w:footnoteReference w:id="9"/>
      </w:r>
      <w:r w:rsidR="001535DD">
        <w:t xml:space="preserve">  A</w:t>
      </w:r>
      <w:r w:rsidR="001535DD" w:rsidRPr="001535DD">
        <w:t>dmissions against interest made by a party have long been held to be admissible in civil proceedings as a recognized exception to the hearsay rule.</w:t>
      </w:r>
      <w:r w:rsidR="00474F46">
        <w:rPr>
          <w:rStyle w:val="FootnoteReference"/>
        </w:rPr>
        <w:footnoteReference w:id="10"/>
      </w:r>
      <w:r w:rsidR="001535DD" w:rsidRPr="001535DD">
        <w:t xml:space="preserve"> </w:t>
      </w:r>
      <w:r w:rsidR="00E675AD">
        <w:t xml:space="preserve"> </w:t>
      </w:r>
      <w:r w:rsidR="001535DD">
        <w:t>However, it is only appropriate to apply this exception to the hearsay rule when there is sufficient corroborating evidence or other indicia to support the reliability of the statement.</w:t>
      </w:r>
      <w:r w:rsidR="00224654">
        <w:rPr>
          <w:rStyle w:val="FootnoteReference"/>
        </w:rPr>
        <w:footnoteReference w:id="11"/>
      </w:r>
      <w:r w:rsidR="001535DD">
        <w:t xml:space="preserve"> </w:t>
      </w:r>
      <w:r w:rsidR="00E675AD">
        <w:t xml:space="preserve"> </w:t>
      </w:r>
      <w:r w:rsidR="001535DD">
        <w:t xml:space="preserve">In this record, there is no corroborating evidence in the form of testimony from the customer service representative who made the notation, nor is there other evidence to otherwise support the admission. </w:t>
      </w:r>
      <w:r w:rsidR="00E675AD">
        <w:t xml:space="preserve"> </w:t>
      </w:r>
      <w:r w:rsidR="00E13D82">
        <w:t>Further, I find the Complainant’s testimony credible and consistent with his testimony that he was homeless until December 2014.</w:t>
      </w:r>
    </w:p>
    <w:p w:rsidR="001D1362" w:rsidRDefault="001D1362" w:rsidP="009A294C">
      <w:pPr>
        <w:spacing w:before="0" w:after="0"/>
      </w:pPr>
    </w:p>
    <w:p w:rsidR="00331C3A" w:rsidRDefault="00331C3A" w:rsidP="009A294C">
      <w:pPr>
        <w:spacing w:before="0" w:after="0"/>
      </w:pPr>
      <w:r>
        <w:tab/>
        <w:t xml:space="preserve">However, the Complainant does admit that he moved to the service address in December 2014 or January 2015. </w:t>
      </w:r>
      <w:r w:rsidR="00E13D82">
        <w:t xml:space="preserve"> He benefited from gas service that was provided to the service address at that time. </w:t>
      </w:r>
      <w:r w:rsidR="00E675AD">
        <w:t xml:space="preserve"> </w:t>
      </w:r>
      <w:r>
        <w:t xml:space="preserve">Therefore, I find that he is responsible </w:t>
      </w:r>
      <w:r w:rsidR="007019C3">
        <w:t xml:space="preserve">for payment of the outstanding balance </w:t>
      </w:r>
      <w:r>
        <w:t xml:space="preserve">for any usage which was recorded </w:t>
      </w:r>
      <w:r w:rsidR="00E13D82">
        <w:t>beginning in</w:t>
      </w:r>
      <w:r w:rsidR="00CE07A5">
        <w:t xml:space="preserve"> December 2014.</w:t>
      </w:r>
      <w:r w:rsidR="000F27D9">
        <w:rPr>
          <w:rStyle w:val="FootnoteReference"/>
        </w:rPr>
        <w:footnoteReference w:id="12"/>
      </w:r>
    </w:p>
    <w:p w:rsidR="001D1362" w:rsidRDefault="001D1362" w:rsidP="009A294C">
      <w:pPr>
        <w:spacing w:before="0" w:after="0"/>
      </w:pPr>
    </w:p>
    <w:p w:rsidR="00E13D82" w:rsidRDefault="00E13D82" w:rsidP="009A294C">
      <w:pPr>
        <w:spacing w:before="0" w:after="0"/>
      </w:pPr>
      <w:r>
        <w:tab/>
        <w:t>In s</w:t>
      </w:r>
      <w:r w:rsidR="00FF4BDE">
        <w:t>um</w:t>
      </w:r>
      <w:r>
        <w:t xml:space="preserve">, PGW did not properly transfer the balance of a former ratepayer at the service address which accrued from January 18, 2012 until December 2014.  However, the Complainant admitted that he moved into the service address in December 2014, and is </w:t>
      </w:r>
      <w:r>
        <w:lastRenderedPageBreak/>
        <w:t>responsible for any charges which accrued from December 2014, until he contacted PGW to have service placed in his name on February 20, 2015.</w:t>
      </w:r>
      <w:r w:rsidR="00A72D0A">
        <w:t xml:space="preserve">  PGW shall remove the charges which were improperly placed on the Complainant’s account and recalculate the outstanding balance on his account.</w:t>
      </w:r>
    </w:p>
    <w:p w:rsidR="001D1362" w:rsidRDefault="001D1362" w:rsidP="009A294C">
      <w:pPr>
        <w:spacing w:before="0" w:after="0"/>
      </w:pPr>
    </w:p>
    <w:p w:rsidR="006C0B74" w:rsidRDefault="006C0B74" w:rsidP="009A294C">
      <w:pPr>
        <w:spacing w:before="0" w:after="0"/>
        <w:jc w:val="center"/>
        <w:rPr>
          <w:u w:val="single"/>
        </w:rPr>
      </w:pPr>
      <w:r w:rsidRPr="002A40F6">
        <w:rPr>
          <w:u w:val="single"/>
        </w:rPr>
        <w:t>CONCLUSIONS OF LAW</w:t>
      </w:r>
    </w:p>
    <w:p w:rsidR="001D1362" w:rsidRPr="002A40F6" w:rsidRDefault="001D1362" w:rsidP="009A294C">
      <w:pPr>
        <w:spacing w:before="0" w:after="0"/>
        <w:jc w:val="center"/>
        <w:rPr>
          <w:u w:val="single"/>
        </w:rPr>
      </w:pPr>
    </w:p>
    <w:p w:rsidR="006C0B74" w:rsidRDefault="006C0B74" w:rsidP="001D1362">
      <w:pPr>
        <w:pStyle w:val="ListParagraph"/>
        <w:numPr>
          <w:ilvl w:val="0"/>
          <w:numId w:val="38"/>
        </w:numPr>
        <w:spacing w:before="0" w:after="0"/>
        <w:ind w:left="0" w:firstLine="1440"/>
      </w:pPr>
      <w:r>
        <w:t>The Commission has jurisdiction over the parties and subject matter of this dispute.</w:t>
      </w:r>
      <w:r w:rsidR="00FF4BDE">
        <w:t xml:space="preserve">  </w:t>
      </w:r>
      <w:proofErr w:type="gramStart"/>
      <w:r w:rsidR="00FF4BDE">
        <w:t>66 Pa.C.S.</w:t>
      </w:r>
      <w:proofErr w:type="gramEnd"/>
      <w:r w:rsidR="00FF4BDE">
        <w:t xml:space="preserve"> § 701.</w:t>
      </w:r>
    </w:p>
    <w:p w:rsidR="001D1362" w:rsidRDefault="001D1362" w:rsidP="001D1362">
      <w:pPr>
        <w:spacing w:before="0" w:after="0"/>
        <w:ind w:firstLine="1440"/>
      </w:pPr>
    </w:p>
    <w:p w:rsidR="006C0B74" w:rsidRDefault="006C0B74" w:rsidP="001D1362">
      <w:pPr>
        <w:pStyle w:val="ListParagraph"/>
        <w:numPr>
          <w:ilvl w:val="0"/>
          <w:numId w:val="38"/>
        </w:numPr>
        <w:spacing w:before="0" w:after="0"/>
        <w:ind w:left="0" w:firstLine="1440"/>
      </w:pPr>
      <w:r>
        <w:t>The Complainant bears the burden of proof.</w:t>
      </w:r>
      <w:r w:rsidR="00FF4BDE">
        <w:t xml:space="preserve">  </w:t>
      </w:r>
      <w:proofErr w:type="gramStart"/>
      <w:r w:rsidR="00FF4BDE">
        <w:t>66 Pa.C.S.</w:t>
      </w:r>
      <w:proofErr w:type="gramEnd"/>
      <w:r w:rsidR="00FF4BDE">
        <w:t xml:space="preserve"> § 332</w:t>
      </w:r>
      <w:r w:rsidR="001D1362">
        <w:t>.</w:t>
      </w:r>
    </w:p>
    <w:p w:rsidR="001D1362" w:rsidRDefault="001D1362" w:rsidP="001D1362">
      <w:pPr>
        <w:spacing w:before="0" w:after="0"/>
        <w:ind w:firstLine="1440"/>
      </w:pPr>
    </w:p>
    <w:p w:rsidR="006C0B74" w:rsidRDefault="006C0B74" w:rsidP="001D1362">
      <w:pPr>
        <w:pStyle w:val="ListParagraph"/>
        <w:numPr>
          <w:ilvl w:val="0"/>
          <w:numId w:val="38"/>
        </w:numPr>
        <w:spacing w:before="0" w:after="0"/>
        <w:ind w:left="0" w:firstLine="1440"/>
      </w:pPr>
      <w:r>
        <w:t xml:space="preserve">In order to require the Complainant to pay an outstanding balance from before he requested service, PGW was required to prove that the Complainant resided at the service address through the use of a mortgage, deed, lease or reliable credit reporting information.  52 </w:t>
      </w:r>
      <w:proofErr w:type="spellStart"/>
      <w:r>
        <w:t>Pa.Code</w:t>
      </w:r>
      <w:proofErr w:type="spellEnd"/>
      <w:r>
        <w:t xml:space="preserve"> § 56.35.</w:t>
      </w:r>
    </w:p>
    <w:p w:rsidR="001D1362" w:rsidRDefault="001D1362" w:rsidP="001D1362">
      <w:pPr>
        <w:spacing w:before="0" w:after="0"/>
        <w:ind w:firstLine="1440"/>
      </w:pPr>
    </w:p>
    <w:p w:rsidR="006C0B74" w:rsidRDefault="006C0B74" w:rsidP="001D1362">
      <w:pPr>
        <w:pStyle w:val="ListParagraph"/>
        <w:numPr>
          <w:ilvl w:val="0"/>
          <w:numId w:val="38"/>
        </w:numPr>
        <w:spacing w:before="0" w:after="0"/>
        <w:ind w:left="0" w:firstLine="1440"/>
      </w:pPr>
      <w:r>
        <w:t xml:space="preserve">A credit report which </w:t>
      </w:r>
      <w:r w:rsidR="009D2A2C">
        <w:t>indicates that the Complainant’s address was the service address in 1986</w:t>
      </w:r>
      <w:r w:rsidR="00FF4BDE">
        <w:t>, by itself</w:t>
      </w:r>
      <w:r w:rsidR="009D2A2C">
        <w:t xml:space="preserve"> is not sufficient to </w:t>
      </w:r>
      <w:r w:rsidR="00FF4BDE">
        <w:t>demonstrate</w:t>
      </w:r>
      <w:r w:rsidR="009D2A2C">
        <w:t xml:space="preserve"> that he resided at the service address from 201</w:t>
      </w:r>
      <w:r w:rsidR="00FF4BDE">
        <w:t>2</w:t>
      </w:r>
      <w:r w:rsidR="009D2A2C">
        <w:t xml:space="preserve"> until 2014.  52 </w:t>
      </w:r>
      <w:proofErr w:type="spellStart"/>
      <w:r w:rsidR="009D2A2C">
        <w:t>Pa.Code</w:t>
      </w:r>
      <w:proofErr w:type="spellEnd"/>
      <w:r w:rsidR="009D2A2C">
        <w:t xml:space="preserve"> </w:t>
      </w:r>
      <w:bookmarkStart w:id="0" w:name="_GoBack"/>
      <w:bookmarkEnd w:id="0"/>
      <w:r w:rsidR="009D2A2C">
        <w:t>§ 56.35.</w:t>
      </w:r>
    </w:p>
    <w:p w:rsidR="001D1362" w:rsidRDefault="001D1362" w:rsidP="001D1362">
      <w:pPr>
        <w:spacing w:before="0" w:after="0"/>
        <w:ind w:firstLine="1440"/>
      </w:pPr>
    </w:p>
    <w:p w:rsidR="009D2A2C" w:rsidRDefault="009D2A2C" w:rsidP="001D1362">
      <w:pPr>
        <w:spacing w:before="0" w:after="0"/>
        <w:ind w:firstLine="1440"/>
      </w:pPr>
      <w:r>
        <w:t>5.</w:t>
      </w:r>
      <w:r>
        <w:tab/>
        <w:t xml:space="preserve">When the Complainant admits that he resided at the service address for a period of time before he contacted PGW to have service placed in his name, he is responsible for those charges.  </w:t>
      </w:r>
      <w:proofErr w:type="gramStart"/>
      <w:r>
        <w:t xml:space="preserve">52 </w:t>
      </w:r>
      <w:proofErr w:type="spellStart"/>
      <w:r>
        <w:t>Pa.Code</w:t>
      </w:r>
      <w:proofErr w:type="spellEnd"/>
      <w:r>
        <w:t xml:space="preserve"> § 56.35.</w:t>
      </w:r>
      <w:proofErr w:type="gramEnd"/>
    </w:p>
    <w:p w:rsidR="001D1362" w:rsidRDefault="001D1362" w:rsidP="009A294C">
      <w:pPr>
        <w:spacing w:before="0" w:after="0"/>
      </w:pPr>
    </w:p>
    <w:p w:rsidR="001D1362" w:rsidRDefault="001D1362">
      <w:pPr>
        <w:tabs>
          <w:tab w:val="clear" w:pos="1440"/>
        </w:tabs>
        <w:spacing w:before="0" w:after="200" w:line="276" w:lineRule="auto"/>
        <w:rPr>
          <w:u w:val="single"/>
        </w:rPr>
      </w:pPr>
      <w:r>
        <w:rPr>
          <w:u w:val="single"/>
        </w:rPr>
        <w:br w:type="page"/>
      </w:r>
    </w:p>
    <w:p w:rsidR="009D2A2C" w:rsidRDefault="009D2A2C" w:rsidP="009A294C">
      <w:pPr>
        <w:spacing w:before="0" w:after="0"/>
        <w:jc w:val="center"/>
        <w:rPr>
          <w:u w:val="single"/>
        </w:rPr>
      </w:pPr>
      <w:r w:rsidRPr="00AF2B2B">
        <w:rPr>
          <w:u w:val="single"/>
        </w:rPr>
        <w:lastRenderedPageBreak/>
        <w:t>ORDER</w:t>
      </w:r>
    </w:p>
    <w:p w:rsidR="001D1362" w:rsidRPr="00AF2B2B" w:rsidRDefault="001D1362" w:rsidP="009A294C">
      <w:pPr>
        <w:spacing w:before="0" w:after="0"/>
        <w:jc w:val="center"/>
        <w:rPr>
          <w:u w:val="single"/>
        </w:rPr>
      </w:pPr>
    </w:p>
    <w:p w:rsidR="009D2A2C" w:rsidRDefault="001D1362" w:rsidP="009A294C">
      <w:pPr>
        <w:spacing w:before="0" w:after="0"/>
      </w:pPr>
      <w:r>
        <w:tab/>
      </w:r>
      <w:r w:rsidR="009D2A2C">
        <w:t>THEREFORE,</w:t>
      </w:r>
    </w:p>
    <w:p w:rsidR="001D1362" w:rsidRDefault="001D1362" w:rsidP="009A294C">
      <w:pPr>
        <w:spacing w:before="0" w:after="0"/>
      </w:pPr>
    </w:p>
    <w:p w:rsidR="009D2A2C" w:rsidRDefault="001D1362" w:rsidP="009A294C">
      <w:pPr>
        <w:spacing w:before="0" w:after="0"/>
      </w:pPr>
      <w:r>
        <w:tab/>
      </w:r>
      <w:r w:rsidR="009D2A2C">
        <w:t>IT IS ORDERED:</w:t>
      </w:r>
    </w:p>
    <w:p w:rsidR="001D1362" w:rsidRDefault="001D1362" w:rsidP="009A294C">
      <w:pPr>
        <w:spacing w:before="0" w:after="0"/>
      </w:pPr>
    </w:p>
    <w:p w:rsidR="009D2A2C" w:rsidRDefault="009D2A2C" w:rsidP="009A294C">
      <w:pPr>
        <w:spacing w:before="0" w:after="0"/>
      </w:pPr>
      <w:r>
        <w:tab/>
        <w:t>1.</w:t>
      </w:r>
      <w:r>
        <w:tab/>
        <w:t>That the formal complaint of Kenneth McLean against Philadelphia Gas Works at Docket No. C-2016-</w:t>
      </w:r>
      <w:proofErr w:type="gramStart"/>
      <w:r>
        <w:t>2539492,</w:t>
      </w:r>
      <w:proofErr w:type="gramEnd"/>
      <w:r>
        <w:t xml:space="preserve"> is sustained as to the claim that he is not responsible for charges associated with 1509 65</w:t>
      </w:r>
      <w:r w:rsidRPr="009D2A2C">
        <w:rPr>
          <w:vertAlign w:val="superscript"/>
        </w:rPr>
        <w:t>th</w:t>
      </w:r>
      <w:r>
        <w:t xml:space="preserve"> Avenue from 2011 until December 2014.</w:t>
      </w:r>
    </w:p>
    <w:p w:rsidR="001D1362" w:rsidRDefault="001D1362" w:rsidP="009A294C">
      <w:pPr>
        <w:spacing w:before="0" w:after="0"/>
      </w:pPr>
    </w:p>
    <w:p w:rsidR="00C50A68" w:rsidRDefault="009D2A2C" w:rsidP="009A294C">
      <w:pPr>
        <w:spacing w:before="0" w:after="0"/>
      </w:pPr>
      <w:r>
        <w:tab/>
        <w:t>2.</w:t>
      </w:r>
      <w:r>
        <w:tab/>
        <w:t xml:space="preserve">That PGW shall remove charges accrued from </w:t>
      </w:r>
      <w:r w:rsidR="00C50A68">
        <w:t xml:space="preserve">January 18, 2012 </w:t>
      </w:r>
      <w:r w:rsidR="00BB0693">
        <w:t xml:space="preserve">until </w:t>
      </w:r>
      <w:r>
        <w:t xml:space="preserve">December </w:t>
      </w:r>
      <w:r w:rsidR="00C50A68">
        <w:t xml:space="preserve">1, </w:t>
      </w:r>
      <w:r>
        <w:t>2014, from the Complainant’s account, and within 10 days of the Commission’s final order render a corrected bill to the Complain</w:t>
      </w:r>
      <w:r w:rsidR="00E675AD">
        <w:t>an</w:t>
      </w:r>
      <w:r>
        <w:t>t</w:t>
      </w:r>
      <w:r w:rsidR="00C50A68">
        <w:t xml:space="preserve"> along with an account statement which shows the amount removed from the Complainant</w:t>
      </w:r>
      <w:r w:rsidR="008A488B">
        <w:t>’</w:t>
      </w:r>
      <w:r w:rsidR="00C50A68">
        <w:t>s account</w:t>
      </w:r>
      <w:r>
        <w:t>.</w:t>
      </w:r>
    </w:p>
    <w:p w:rsidR="001D1362" w:rsidRDefault="001D1362" w:rsidP="009A294C">
      <w:pPr>
        <w:spacing w:before="0" w:after="0"/>
      </w:pPr>
    </w:p>
    <w:p w:rsidR="00C50A68" w:rsidRDefault="00C50A68" w:rsidP="009A294C">
      <w:pPr>
        <w:spacing w:before="0" w:after="0"/>
      </w:pPr>
      <w:r>
        <w:tab/>
        <w:t>3.</w:t>
      </w:r>
      <w:r>
        <w:tab/>
        <w:t>That the formal complaint of Kenneth McLean against Philadelphia Gas Works at Docket No. C-2016-</w:t>
      </w:r>
      <w:proofErr w:type="gramStart"/>
      <w:r>
        <w:t>2539492,</w:t>
      </w:r>
      <w:proofErr w:type="gramEnd"/>
      <w:r>
        <w:t xml:space="preserve"> is dismissed in all other respects.</w:t>
      </w:r>
    </w:p>
    <w:p w:rsidR="001D1362" w:rsidRDefault="001D1362" w:rsidP="009A294C">
      <w:pPr>
        <w:spacing w:before="0" w:after="0"/>
      </w:pPr>
    </w:p>
    <w:p w:rsidR="00C50A68" w:rsidRDefault="00C50A68" w:rsidP="009A294C">
      <w:pPr>
        <w:spacing w:before="0" w:after="0"/>
      </w:pPr>
      <w:r>
        <w:tab/>
        <w:t>4.</w:t>
      </w:r>
      <w:r>
        <w:tab/>
        <w:t>That upon notification from PGW that the Complainant’s account has been corrected</w:t>
      </w:r>
      <w:r w:rsidR="004707EB">
        <w:t xml:space="preserve"> in conformance with Ordering Paragraph No. 2</w:t>
      </w:r>
      <w:r>
        <w:t>, the Secretary shall mark the docket closed.</w:t>
      </w:r>
    </w:p>
    <w:p w:rsidR="001D1362" w:rsidRDefault="001D1362" w:rsidP="009A294C">
      <w:pPr>
        <w:spacing w:before="0" w:after="0"/>
      </w:pPr>
    </w:p>
    <w:p w:rsidR="001D1362" w:rsidRDefault="001D1362" w:rsidP="009A294C">
      <w:pPr>
        <w:spacing w:before="0" w:after="0"/>
      </w:pPr>
    </w:p>
    <w:p w:rsidR="001D1362" w:rsidRDefault="001D1362" w:rsidP="001D1362">
      <w:pPr>
        <w:spacing w:before="0" w:after="0" w:line="240" w:lineRule="auto"/>
      </w:pPr>
      <w:r>
        <w:t xml:space="preserve">Date: </w:t>
      </w:r>
      <w:r w:rsidRPr="001D1362">
        <w:rPr>
          <w:u w:val="single"/>
        </w:rPr>
        <w:t>September 12, 2016</w:t>
      </w:r>
      <w:r>
        <w:tab/>
      </w:r>
      <w:r>
        <w:tab/>
      </w:r>
      <w:r>
        <w:tab/>
      </w:r>
      <w:r>
        <w:tab/>
      </w:r>
      <w:r>
        <w:rPr>
          <w:u w:val="single"/>
        </w:rPr>
        <w:tab/>
      </w:r>
      <w:r>
        <w:rPr>
          <w:u w:val="single"/>
        </w:rPr>
        <w:tab/>
        <w:t>/s/</w:t>
      </w:r>
      <w:r>
        <w:rPr>
          <w:u w:val="single"/>
        </w:rPr>
        <w:tab/>
      </w:r>
      <w:r>
        <w:rPr>
          <w:u w:val="single"/>
        </w:rPr>
        <w:tab/>
      </w:r>
      <w:r>
        <w:rPr>
          <w:u w:val="single"/>
        </w:rPr>
        <w:tab/>
      </w:r>
      <w:r>
        <w:rPr>
          <w:u w:val="single"/>
        </w:rPr>
        <w:tab/>
      </w:r>
    </w:p>
    <w:p w:rsidR="001D1362" w:rsidRDefault="001D1362" w:rsidP="001D1362">
      <w:pPr>
        <w:spacing w:before="0" w:after="0" w:line="240" w:lineRule="auto"/>
      </w:pPr>
      <w:r>
        <w:tab/>
      </w:r>
      <w:r>
        <w:tab/>
      </w:r>
      <w:r>
        <w:tab/>
      </w:r>
      <w:r>
        <w:tab/>
      </w:r>
      <w:r>
        <w:tab/>
      </w:r>
      <w:r>
        <w:tab/>
        <w:t>Mary D. Long</w:t>
      </w:r>
    </w:p>
    <w:p w:rsidR="001D1362" w:rsidRDefault="001D1362" w:rsidP="001D1362">
      <w:pPr>
        <w:spacing w:before="0" w:after="0" w:line="240" w:lineRule="auto"/>
      </w:pPr>
      <w:r>
        <w:tab/>
      </w:r>
      <w:r>
        <w:tab/>
      </w:r>
      <w:r>
        <w:tab/>
      </w:r>
      <w:r>
        <w:tab/>
      </w:r>
      <w:r>
        <w:tab/>
      </w:r>
      <w:r>
        <w:tab/>
        <w:t>Administrative Law Judge</w:t>
      </w:r>
    </w:p>
    <w:p w:rsidR="001D1362" w:rsidRDefault="001D1362" w:rsidP="001D1362">
      <w:pPr>
        <w:spacing w:before="0" w:after="0" w:line="240" w:lineRule="auto"/>
      </w:pPr>
    </w:p>
    <w:p w:rsidR="001D1362" w:rsidRDefault="001D1362" w:rsidP="009A294C">
      <w:pPr>
        <w:spacing w:before="0" w:after="0"/>
      </w:pPr>
    </w:p>
    <w:sectPr w:rsidR="001D1362" w:rsidSect="006060BD">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1A4" w:rsidRDefault="00D531A4" w:rsidP="006060BD">
      <w:pPr>
        <w:spacing w:before="0" w:after="0" w:line="240" w:lineRule="auto"/>
      </w:pPr>
      <w:r>
        <w:separator/>
      </w:r>
    </w:p>
  </w:endnote>
  <w:endnote w:type="continuationSeparator" w:id="0">
    <w:p w:rsidR="00D531A4" w:rsidRDefault="00D531A4" w:rsidP="006060B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018245"/>
      <w:docPartObj>
        <w:docPartGallery w:val="Page Numbers (Bottom of Page)"/>
        <w:docPartUnique/>
      </w:docPartObj>
    </w:sdtPr>
    <w:sdtEndPr>
      <w:rPr>
        <w:noProof/>
      </w:rPr>
    </w:sdtEndPr>
    <w:sdtContent>
      <w:p w:rsidR="006060BD" w:rsidRDefault="006060BD">
        <w:pPr>
          <w:pStyle w:val="Footer"/>
          <w:jc w:val="center"/>
        </w:pPr>
        <w:r>
          <w:fldChar w:fldCharType="begin"/>
        </w:r>
        <w:r>
          <w:instrText xml:space="preserve"> PAGE   \* MERGEFORMAT </w:instrText>
        </w:r>
        <w:r>
          <w:fldChar w:fldCharType="separate"/>
        </w:r>
        <w:r w:rsidR="00D44FE1">
          <w:rPr>
            <w:noProof/>
          </w:rPr>
          <w:t>8</w:t>
        </w:r>
        <w:r>
          <w:rPr>
            <w:noProof/>
          </w:rPr>
          <w:fldChar w:fldCharType="end"/>
        </w:r>
      </w:p>
    </w:sdtContent>
  </w:sdt>
  <w:p w:rsidR="006060BD" w:rsidRDefault="006060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1A4" w:rsidRDefault="00D531A4" w:rsidP="006060BD">
      <w:pPr>
        <w:spacing w:before="0" w:after="0" w:line="240" w:lineRule="auto"/>
      </w:pPr>
      <w:r>
        <w:separator/>
      </w:r>
    </w:p>
  </w:footnote>
  <w:footnote w:type="continuationSeparator" w:id="0">
    <w:p w:rsidR="00D531A4" w:rsidRDefault="00D531A4" w:rsidP="006060BD">
      <w:pPr>
        <w:spacing w:before="0" w:after="0" w:line="240" w:lineRule="auto"/>
      </w:pPr>
      <w:r>
        <w:continuationSeparator/>
      </w:r>
    </w:p>
  </w:footnote>
  <w:footnote w:id="1">
    <w:p w:rsidR="004F4C01" w:rsidRDefault="004F4C01" w:rsidP="004F4C01">
      <w:pPr>
        <w:pStyle w:val="FootnoteText"/>
        <w:spacing w:after="0"/>
      </w:pPr>
      <w:r w:rsidRPr="00C81B96">
        <w:rPr>
          <w:rStyle w:val="FootnoteReference"/>
        </w:rPr>
        <w:footnoteRef/>
      </w:r>
      <w:r w:rsidRPr="00C81B96">
        <w:t xml:space="preserve"> </w:t>
      </w:r>
      <w:r>
        <w:tab/>
      </w:r>
      <w:proofErr w:type="gramStart"/>
      <w:r>
        <w:t>66 Pa.</w:t>
      </w:r>
      <w:r w:rsidRPr="00C81B96">
        <w:t>C.S.</w:t>
      </w:r>
      <w:proofErr w:type="gramEnd"/>
      <w:r w:rsidRPr="00C81B96">
        <w:t xml:space="preserve"> §</w:t>
      </w:r>
      <w:r>
        <w:t xml:space="preserve"> </w:t>
      </w:r>
      <w:r w:rsidRPr="00C81B96">
        <w:t>701.</w:t>
      </w:r>
    </w:p>
    <w:p w:rsidR="004F4C01" w:rsidRPr="00C81B96" w:rsidRDefault="004F4C01" w:rsidP="004F4C01">
      <w:pPr>
        <w:pStyle w:val="FootnoteText"/>
        <w:spacing w:after="0"/>
      </w:pPr>
    </w:p>
  </w:footnote>
  <w:footnote w:id="2">
    <w:p w:rsidR="004F4C01" w:rsidRDefault="004F4C01" w:rsidP="004F4C01">
      <w:pPr>
        <w:pStyle w:val="FootnoteText"/>
        <w:spacing w:after="0"/>
      </w:pPr>
      <w:r w:rsidRPr="00C81B96">
        <w:rPr>
          <w:rStyle w:val="FootnoteReference"/>
        </w:rPr>
        <w:footnoteRef/>
      </w:r>
      <w:r w:rsidRPr="00C81B96">
        <w:t xml:space="preserve"> </w:t>
      </w:r>
      <w:r>
        <w:tab/>
      </w:r>
      <w:proofErr w:type="gramStart"/>
      <w:r>
        <w:t>66 Pa.</w:t>
      </w:r>
      <w:r w:rsidRPr="00C81B96">
        <w:t>C.S.</w:t>
      </w:r>
      <w:proofErr w:type="gramEnd"/>
      <w:r w:rsidRPr="00C81B96">
        <w:t xml:space="preserve"> §</w:t>
      </w:r>
      <w:r>
        <w:t xml:space="preserve"> </w:t>
      </w:r>
      <w:r w:rsidRPr="00C81B96">
        <w:t>332(a).</w:t>
      </w:r>
    </w:p>
    <w:p w:rsidR="004F4C01" w:rsidRPr="00C81B96" w:rsidRDefault="004F4C01" w:rsidP="004F4C01">
      <w:pPr>
        <w:pStyle w:val="FootnoteText"/>
        <w:spacing w:after="0"/>
      </w:pPr>
    </w:p>
  </w:footnote>
  <w:footnote w:id="3">
    <w:p w:rsidR="004F4C01" w:rsidRDefault="004F4C01" w:rsidP="004F4C01">
      <w:pPr>
        <w:pStyle w:val="FootnoteText"/>
        <w:spacing w:after="0"/>
      </w:pPr>
      <w:r w:rsidRPr="00C81B96">
        <w:rPr>
          <w:rStyle w:val="FootnoteReference"/>
        </w:rPr>
        <w:footnoteRef/>
      </w:r>
      <w:r w:rsidRPr="00C81B96">
        <w:t xml:space="preserve"> </w:t>
      </w:r>
      <w:r>
        <w:tab/>
      </w:r>
      <w:r w:rsidRPr="000637F9">
        <w:rPr>
          <w:i/>
        </w:rPr>
        <w:t>Se-Ling Hosiery, Inc. v. Margulies</w:t>
      </w:r>
      <w:proofErr w:type="gramStart"/>
      <w:r>
        <w:t xml:space="preserve">, </w:t>
      </w:r>
      <w:r w:rsidRPr="00C81B96">
        <w:t xml:space="preserve"> 70</w:t>
      </w:r>
      <w:proofErr w:type="gramEnd"/>
      <w:r w:rsidRPr="00C81B96">
        <w:t xml:space="preserve"> A.2d 854 (</w:t>
      </w:r>
      <w:r>
        <w:t xml:space="preserve">Pa. </w:t>
      </w:r>
      <w:r w:rsidRPr="00C81B96">
        <w:t xml:space="preserve">1950); </w:t>
      </w:r>
      <w:r w:rsidRPr="000637F9">
        <w:rPr>
          <w:i/>
        </w:rPr>
        <w:t>Feinstein v. Philadelphia Suburban Water Company</w:t>
      </w:r>
      <w:r w:rsidRPr="000213A4">
        <w:t>,</w:t>
      </w:r>
      <w:r>
        <w:t xml:space="preserve"> 50 Pa.</w:t>
      </w:r>
      <w:r w:rsidRPr="00C81B96">
        <w:t xml:space="preserve"> PUC 300 (1976).</w:t>
      </w:r>
    </w:p>
    <w:p w:rsidR="004F4C01" w:rsidRPr="00C81B96" w:rsidRDefault="004F4C01" w:rsidP="004F4C01">
      <w:pPr>
        <w:pStyle w:val="FootnoteText"/>
        <w:spacing w:after="0"/>
      </w:pPr>
    </w:p>
  </w:footnote>
  <w:footnote w:id="4">
    <w:p w:rsidR="00BD79ED" w:rsidRDefault="00BD79ED">
      <w:pPr>
        <w:pStyle w:val="FootnoteText"/>
      </w:pPr>
      <w:r>
        <w:rPr>
          <w:rStyle w:val="FootnoteReference"/>
        </w:rPr>
        <w:footnoteRef/>
      </w:r>
      <w:r>
        <w:t xml:space="preserve">  </w:t>
      </w:r>
      <w:r>
        <w:tab/>
      </w:r>
      <w:proofErr w:type="gramStart"/>
      <w:r>
        <w:t>52 Pa.Code § 56.35.</w:t>
      </w:r>
      <w:proofErr w:type="gramEnd"/>
    </w:p>
  </w:footnote>
  <w:footnote w:id="5">
    <w:p w:rsidR="009F53A5" w:rsidRDefault="009F53A5">
      <w:pPr>
        <w:pStyle w:val="FootnoteText"/>
      </w:pPr>
      <w:r>
        <w:rPr>
          <w:rStyle w:val="FootnoteReference"/>
        </w:rPr>
        <w:footnoteRef/>
      </w:r>
      <w:r>
        <w:t xml:space="preserve"> </w:t>
      </w:r>
      <w:r>
        <w:tab/>
      </w:r>
      <w:proofErr w:type="gramStart"/>
      <w:r>
        <w:t>52 Pa.Code § 56.35.</w:t>
      </w:r>
      <w:proofErr w:type="gramEnd"/>
    </w:p>
  </w:footnote>
  <w:footnote w:id="6">
    <w:p w:rsidR="002004B7" w:rsidRDefault="002004B7">
      <w:pPr>
        <w:pStyle w:val="FootnoteText"/>
      </w:pPr>
      <w:r>
        <w:rPr>
          <w:rStyle w:val="FootnoteReference"/>
        </w:rPr>
        <w:footnoteRef/>
      </w:r>
      <w:r>
        <w:t xml:space="preserve">  </w:t>
      </w:r>
      <w:r>
        <w:tab/>
        <w:t>52 Pa.Code § 56.35(b</w:t>
      </w:r>
      <w:proofErr w:type="gramStart"/>
      <w:r>
        <w:t>)(</w:t>
      </w:r>
      <w:proofErr w:type="gramEnd"/>
      <w:r>
        <w:t>2).</w:t>
      </w:r>
    </w:p>
  </w:footnote>
  <w:footnote w:id="7">
    <w:p w:rsidR="0083745A" w:rsidRDefault="0083745A">
      <w:pPr>
        <w:pStyle w:val="FootnoteText"/>
      </w:pPr>
      <w:r>
        <w:rPr>
          <w:rStyle w:val="FootnoteReference"/>
        </w:rPr>
        <w:footnoteRef/>
      </w:r>
      <w:r>
        <w:t xml:space="preserve">  </w:t>
      </w:r>
      <w:r>
        <w:tab/>
        <w:t>Documentation of the report itself was not presented by PGW as a hearing exhibit.</w:t>
      </w:r>
    </w:p>
  </w:footnote>
  <w:footnote w:id="8">
    <w:p w:rsidR="000D3093" w:rsidRDefault="000D3093">
      <w:pPr>
        <w:pStyle w:val="FootnoteText"/>
      </w:pPr>
      <w:r>
        <w:rPr>
          <w:rStyle w:val="FootnoteReference"/>
        </w:rPr>
        <w:footnoteRef/>
      </w:r>
      <w:r>
        <w:t xml:space="preserve">  </w:t>
      </w:r>
      <w:r>
        <w:tab/>
        <w:t>PGW Ex. 1 at page 5/5.</w:t>
      </w:r>
    </w:p>
  </w:footnote>
  <w:footnote w:id="9">
    <w:p w:rsidR="00474F46" w:rsidRDefault="00474F46">
      <w:pPr>
        <w:pStyle w:val="FootnoteText"/>
      </w:pPr>
      <w:r>
        <w:rPr>
          <w:rStyle w:val="FootnoteReference"/>
        </w:rPr>
        <w:footnoteRef/>
      </w:r>
      <w:r>
        <w:t xml:space="preserve"> </w:t>
      </w:r>
      <w:r w:rsidR="00BC1B9B">
        <w:tab/>
      </w:r>
      <w:proofErr w:type="gramStart"/>
      <w:r w:rsidR="00BC1B9B">
        <w:t>P.R.E. 801.</w:t>
      </w:r>
      <w:proofErr w:type="gramEnd"/>
    </w:p>
  </w:footnote>
  <w:footnote w:id="10">
    <w:p w:rsidR="00474F46" w:rsidRPr="00474F46" w:rsidRDefault="00474F46">
      <w:pPr>
        <w:pStyle w:val="FootnoteText"/>
        <w:rPr>
          <w:i/>
        </w:rPr>
      </w:pPr>
      <w:r>
        <w:rPr>
          <w:rStyle w:val="FootnoteReference"/>
        </w:rPr>
        <w:footnoteRef/>
      </w:r>
      <w:r>
        <w:t xml:space="preserve">  </w:t>
      </w:r>
      <w:r>
        <w:tab/>
      </w:r>
      <w:r w:rsidRPr="007B2E82">
        <w:rPr>
          <w:i/>
          <w:szCs w:val="24"/>
        </w:rPr>
        <w:t>C.S. Warthman Funeral Home, et al. v. GTE North, Incorporated</w:t>
      </w:r>
      <w:r w:rsidRPr="007B2E82">
        <w:rPr>
          <w:szCs w:val="24"/>
        </w:rPr>
        <w:t xml:space="preserve">, </w:t>
      </w:r>
      <w:r>
        <w:rPr>
          <w:szCs w:val="24"/>
        </w:rPr>
        <w:t>Docket No. C</w:t>
      </w:r>
      <w:r>
        <w:rPr>
          <w:szCs w:val="24"/>
        </w:rPr>
        <w:noBreakHyphen/>
      </w:r>
      <w:r w:rsidRPr="007B2E82">
        <w:rPr>
          <w:szCs w:val="24"/>
        </w:rPr>
        <w:t>00924416 (Order entered June 4, 1993</w:t>
      </w:r>
      <w:proofErr w:type="gramStart"/>
      <w:r>
        <w:rPr>
          <w:szCs w:val="24"/>
        </w:rPr>
        <w:t>)(</w:t>
      </w:r>
      <w:proofErr w:type="gramEnd"/>
      <w:r>
        <w:rPr>
          <w:i/>
          <w:szCs w:val="24"/>
        </w:rPr>
        <w:t>citing,</w:t>
      </w:r>
      <w:r>
        <w:rPr>
          <w:i/>
        </w:rPr>
        <w:t xml:space="preserve"> </w:t>
      </w:r>
      <w:r w:rsidRPr="007B2E82">
        <w:rPr>
          <w:i/>
          <w:szCs w:val="24"/>
        </w:rPr>
        <w:t>Geiger v. Schneyer</w:t>
      </w:r>
      <w:r w:rsidRPr="007B2E82">
        <w:rPr>
          <w:szCs w:val="24"/>
        </w:rPr>
        <w:t xml:space="preserve">, 398 Pa. 69, 157 A.2d 56 (1959); </w:t>
      </w:r>
      <w:r w:rsidRPr="007B2E82">
        <w:rPr>
          <w:i/>
          <w:szCs w:val="24"/>
        </w:rPr>
        <w:t>Gougher v. Hansler</w:t>
      </w:r>
      <w:r w:rsidRPr="007B2E82">
        <w:rPr>
          <w:szCs w:val="24"/>
        </w:rPr>
        <w:t xml:space="preserve">, 388 Pa. 160, 130 A.2d 150 (1957); </w:t>
      </w:r>
      <w:r w:rsidRPr="007B2E82">
        <w:rPr>
          <w:i/>
          <w:szCs w:val="24"/>
        </w:rPr>
        <w:t>Unemployment Compensation Board of Review v. Houp</w:t>
      </w:r>
      <w:r w:rsidRPr="007B2E82">
        <w:rPr>
          <w:szCs w:val="24"/>
        </w:rPr>
        <w:t>, 20 Pa. Commonwealth Ct. 111, 340 A.2d 588 (1975)</w:t>
      </w:r>
      <w:r>
        <w:rPr>
          <w:szCs w:val="24"/>
        </w:rPr>
        <w:t>).</w:t>
      </w:r>
    </w:p>
  </w:footnote>
  <w:footnote w:id="11">
    <w:p w:rsidR="00224654" w:rsidRPr="00224654" w:rsidRDefault="00224654">
      <w:pPr>
        <w:pStyle w:val="FootnoteText"/>
      </w:pPr>
      <w:r>
        <w:rPr>
          <w:rStyle w:val="FootnoteReference"/>
        </w:rPr>
        <w:footnoteRef/>
      </w:r>
      <w:r>
        <w:t xml:space="preserve">  </w:t>
      </w:r>
      <w:r>
        <w:tab/>
      </w:r>
      <w:r>
        <w:rPr>
          <w:i/>
        </w:rPr>
        <w:t>London v. Viridian Energy PA, LLC</w:t>
      </w:r>
      <w:r>
        <w:t>, Docket C-2011-2244309 (Final Order March 29, 2012).</w:t>
      </w:r>
    </w:p>
  </w:footnote>
  <w:footnote w:id="12">
    <w:p w:rsidR="000F27D9" w:rsidRDefault="000F27D9">
      <w:pPr>
        <w:pStyle w:val="FootnoteText"/>
      </w:pPr>
      <w:r>
        <w:rPr>
          <w:rStyle w:val="FootnoteReference"/>
        </w:rPr>
        <w:footnoteRef/>
      </w:r>
      <w:r>
        <w:t xml:space="preserve">  </w:t>
      </w:r>
      <w:r>
        <w:tab/>
      </w:r>
      <w:r w:rsidRPr="00541C3D">
        <w:rPr>
          <w:i/>
        </w:rPr>
        <w:t>Monahan v. Columbia Gas of Pennsylvania, Inc</w:t>
      </w:r>
      <w:r w:rsidR="006C0B74">
        <w:t>.</w:t>
      </w:r>
      <w:proofErr w:type="gramStart"/>
      <w:r w:rsidR="006C0B74">
        <w:t xml:space="preserve">,  </w:t>
      </w:r>
      <w:r>
        <w:t>Docket</w:t>
      </w:r>
      <w:proofErr w:type="gramEnd"/>
      <w:r>
        <w:t xml:space="preserve"> No. C-2009-2111417 (Opinion and Order entered June 2, 2010); </w:t>
      </w:r>
      <w:r>
        <w:rPr>
          <w:i/>
        </w:rPr>
        <w:t xml:space="preserve">see also </w:t>
      </w:r>
      <w:r>
        <w:t xml:space="preserve">66 Pa.C.S. </w:t>
      </w:r>
      <w:proofErr w:type="gramStart"/>
      <w:r>
        <w:t>§ 1407(d).</w:t>
      </w:r>
      <w:proofErr w:type="gramEnd"/>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88A571E"/>
    <w:lvl w:ilvl="0">
      <w:start w:val="1"/>
      <w:numFmt w:val="decimal"/>
      <w:lvlText w:val="%1."/>
      <w:lvlJc w:val="left"/>
      <w:pPr>
        <w:tabs>
          <w:tab w:val="num" w:pos="1800"/>
        </w:tabs>
        <w:ind w:left="1800" w:hanging="360"/>
      </w:pPr>
    </w:lvl>
  </w:abstractNum>
  <w:abstractNum w:abstractNumId="1">
    <w:nsid w:val="FFFFFF7D"/>
    <w:multiLevelType w:val="singleLevel"/>
    <w:tmpl w:val="1096BEF0"/>
    <w:lvl w:ilvl="0">
      <w:start w:val="1"/>
      <w:numFmt w:val="decimal"/>
      <w:lvlText w:val="%1."/>
      <w:lvlJc w:val="left"/>
      <w:pPr>
        <w:tabs>
          <w:tab w:val="num" w:pos="1440"/>
        </w:tabs>
        <w:ind w:left="1440" w:hanging="360"/>
      </w:pPr>
    </w:lvl>
  </w:abstractNum>
  <w:abstractNum w:abstractNumId="2">
    <w:nsid w:val="FFFFFF7E"/>
    <w:multiLevelType w:val="singleLevel"/>
    <w:tmpl w:val="7D104762"/>
    <w:lvl w:ilvl="0">
      <w:start w:val="1"/>
      <w:numFmt w:val="decimal"/>
      <w:lvlText w:val="%1."/>
      <w:lvlJc w:val="left"/>
      <w:pPr>
        <w:tabs>
          <w:tab w:val="num" w:pos="1080"/>
        </w:tabs>
        <w:ind w:left="1080" w:hanging="360"/>
      </w:pPr>
    </w:lvl>
  </w:abstractNum>
  <w:abstractNum w:abstractNumId="3">
    <w:nsid w:val="FFFFFF7F"/>
    <w:multiLevelType w:val="singleLevel"/>
    <w:tmpl w:val="C2DE6866"/>
    <w:lvl w:ilvl="0">
      <w:start w:val="1"/>
      <w:numFmt w:val="decimal"/>
      <w:lvlText w:val="%1."/>
      <w:lvlJc w:val="left"/>
      <w:pPr>
        <w:tabs>
          <w:tab w:val="num" w:pos="720"/>
        </w:tabs>
        <w:ind w:left="720" w:hanging="360"/>
      </w:pPr>
    </w:lvl>
  </w:abstractNum>
  <w:abstractNum w:abstractNumId="4">
    <w:nsid w:val="FFFFFF80"/>
    <w:multiLevelType w:val="singleLevel"/>
    <w:tmpl w:val="CBF868A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A103F2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BE8B24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DACA11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F52B740"/>
    <w:lvl w:ilvl="0">
      <w:start w:val="1"/>
      <w:numFmt w:val="decimal"/>
      <w:lvlText w:val="%1."/>
      <w:lvlJc w:val="left"/>
      <w:pPr>
        <w:tabs>
          <w:tab w:val="num" w:pos="360"/>
        </w:tabs>
        <w:ind w:left="360" w:hanging="360"/>
      </w:pPr>
    </w:lvl>
  </w:abstractNum>
  <w:abstractNum w:abstractNumId="9">
    <w:nsid w:val="FFFFFF89"/>
    <w:multiLevelType w:val="singleLevel"/>
    <w:tmpl w:val="E0C6BB60"/>
    <w:lvl w:ilvl="0">
      <w:start w:val="1"/>
      <w:numFmt w:val="bullet"/>
      <w:lvlText w:val=""/>
      <w:lvlJc w:val="left"/>
      <w:pPr>
        <w:tabs>
          <w:tab w:val="num" w:pos="360"/>
        </w:tabs>
        <w:ind w:left="360" w:hanging="360"/>
      </w:pPr>
      <w:rPr>
        <w:rFonts w:ascii="Symbol" w:hAnsi="Symbol" w:hint="default"/>
      </w:rPr>
    </w:lvl>
  </w:abstractNum>
  <w:abstractNum w:abstractNumId="1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CD70D78"/>
    <w:multiLevelType w:val="hybridMultilevel"/>
    <w:tmpl w:val="6936B44A"/>
    <w:lvl w:ilvl="0" w:tplc="85488B0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35FF2DEC"/>
    <w:multiLevelType w:val="hybridMultilevel"/>
    <w:tmpl w:val="6DD6199C"/>
    <w:lvl w:ilvl="0" w:tplc="D2E06034">
      <w:start w:val="1"/>
      <w:numFmt w:val="decimal"/>
      <w:pStyle w:val="ListParagraph"/>
      <w:lvlText w:val="%1."/>
      <w:lvlJc w:val="left"/>
      <w:pPr>
        <w:ind w:left="11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2"/>
  </w:num>
  <w:num w:numId="2">
    <w:abstractNumId w:val="25"/>
  </w:num>
  <w:num w:numId="3">
    <w:abstractNumId w:val="30"/>
  </w:num>
  <w:num w:numId="4">
    <w:abstractNumId w:val="34"/>
  </w:num>
  <w:num w:numId="5">
    <w:abstractNumId w:val="19"/>
  </w:num>
  <w:num w:numId="6">
    <w:abstractNumId w:val="17"/>
  </w:num>
  <w:num w:numId="7">
    <w:abstractNumId w:val="14"/>
  </w:num>
  <w:num w:numId="8">
    <w:abstractNumId w:val="33"/>
  </w:num>
  <w:num w:numId="9">
    <w:abstractNumId w:val="12"/>
  </w:num>
  <w:num w:numId="10">
    <w:abstractNumId w:val="27"/>
  </w:num>
  <w:num w:numId="11">
    <w:abstractNumId w:val="29"/>
  </w:num>
  <w:num w:numId="12">
    <w:abstractNumId w:val="23"/>
  </w:num>
  <w:num w:numId="13">
    <w:abstractNumId w:val="28"/>
  </w:num>
  <w:num w:numId="14">
    <w:abstractNumId w:val="31"/>
  </w:num>
  <w:num w:numId="15">
    <w:abstractNumId w:val="10"/>
  </w:num>
  <w:num w:numId="16">
    <w:abstractNumId w:val="26"/>
  </w:num>
  <w:num w:numId="17">
    <w:abstractNumId w:val="26"/>
  </w:num>
  <w:num w:numId="18">
    <w:abstractNumId w:val="18"/>
  </w:num>
  <w:num w:numId="19">
    <w:abstractNumId w:val="24"/>
  </w:num>
  <w:num w:numId="20">
    <w:abstractNumId w:val="35"/>
  </w:num>
  <w:num w:numId="21">
    <w:abstractNumId w:val="21"/>
  </w:num>
  <w:num w:numId="22">
    <w:abstractNumId w:val="13"/>
  </w:num>
  <w:num w:numId="23">
    <w:abstractNumId w:val="22"/>
  </w:num>
  <w:num w:numId="24">
    <w:abstractNumId w:val="36"/>
  </w:num>
  <w:num w:numId="25">
    <w:abstractNumId w:val="11"/>
  </w:num>
  <w:num w:numId="26">
    <w:abstractNumId w:val="16"/>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F5B"/>
    <w:rsid w:val="00004C37"/>
    <w:rsid w:val="000834FC"/>
    <w:rsid w:val="000D3093"/>
    <w:rsid w:val="000E1A2E"/>
    <w:rsid w:val="000E3EDE"/>
    <w:rsid w:val="000F27D9"/>
    <w:rsid w:val="00134B35"/>
    <w:rsid w:val="001535DD"/>
    <w:rsid w:val="001A21B6"/>
    <w:rsid w:val="001B1CBA"/>
    <w:rsid w:val="001D1362"/>
    <w:rsid w:val="001D2AF7"/>
    <w:rsid w:val="002004B7"/>
    <w:rsid w:val="00200B8D"/>
    <w:rsid w:val="00207743"/>
    <w:rsid w:val="00213167"/>
    <w:rsid w:val="002219E2"/>
    <w:rsid w:val="00224654"/>
    <w:rsid w:val="002316BA"/>
    <w:rsid w:val="002343F0"/>
    <w:rsid w:val="002512F9"/>
    <w:rsid w:val="002A2EEE"/>
    <w:rsid w:val="002A40F6"/>
    <w:rsid w:val="003145FA"/>
    <w:rsid w:val="00331C3A"/>
    <w:rsid w:val="00333EE3"/>
    <w:rsid w:val="00345A20"/>
    <w:rsid w:val="00367A41"/>
    <w:rsid w:val="00374789"/>
    <w:rsid w:val="00393C92"/>
    <w:rsid w:val="00424125"/>
    <w:rsid w:val="004707EB"/>
    <w:rsid w:val="00474F46"/>
    <w:rsid w:val="004A387E"/>
    <w:rsid w:val="004B24A7"/>
    <w:rsid w:val="004D523C"/>
    <w:rsid w:val="004F4C01"/>
    <w:rsid w:val="005A1C17"/>
    <w:rsid w:val="005A1DF2"/>
    <w:rsid w:val="005A2423"/>
    <w:rsid w:val="005A2ABA"/>
    <w:rsid w:val="005D180A"/>
    <w:rsid w:val="005E7B69"/>
    <w:rsid w:val="006060BD"/>
    <w:rsid w:val="00613736"/>
    <w:rsid w:val="0061775F"/>
    <w:rsid w:val="00687482"/>
    <w:rsid w:val="00694868"/>
    <w:rsid w:val="00696C0D"/>
    <w:rsid w:val="006A312D"/>
    <w:rsid w:val="006C0B74"/>
    <w:rsid w:val="006F0329"/>
    <w:rsid w:val="00700807"/>
    <w:rsid w:val="007019C3"/>
    <w:rsid w:val="007078DA"/>
    <w:rsid w:val="00712E58"/>
    <w:rsid w:val="007154DD"/>
    <w:rsid w:val="007521B5"/>
    <w:rsid w:val="007876D7"/>
    <w:rsid w:val="00787E6B"/>
    <w:rsid w:val="00792796"/>
    <w:rsid w:val="007A24F0"/>
    <w:rsid w:val="007E1701"/>
    <w:rsid w:val="007E3B1A"/>
    <w:rsid w:val="007E6779"/>
    <w:rsid w:val="0080594E"/>
    <w:rsid w:val="00820B4C"/>
    <w:rsid w:val="0082173D"/>
    <w:rsid w:val="008324BF"/>
    <w:rsid w:val="0083745A"/>
    <w:rsid w:val="00841583"/>
    <w:rsid w:val="008529D2"/>
    <w:rsid w:val="008A488B"/>
    <w:rsid w:val="008C70A7"/>
    <w:rsid w:val="008E0705"/>
    <w:rsid w:val="008E690A"/>
    <w:rsid w:val="00917DCA"/>
    <w:rsid w:val="0092535E"/>
    <w:rsid w:val="009662D2"/>
    <w:rsid w:val="009775C8"/>
    <w:rsid w:val="009947AA"/>
    <w:rsid w:val="009A294C"/>
    <w:rsid w:val="009D2A2C"/>
    <w:rsid w:val="009F53A5"/>
    <w:rsid w:val="00A47096"/>
    <w:rsid w:val="00A72D0A"/>
    <w:rsid w:val="00A83F79"/>
    <w:rsid w:val="00AA2EC5"/>
    <w:rsid w:val="00AB4C73"/>
    <w:rsid w:val="00AE6F47"/>
    <w:rsid w:val="00AF2B2B"/>
    <w:rsid w:val="00B15EBC"/>
    <w:rsid w:val="00B17030"/>
    <w:rsid w:val="00B77537"/>
    <w:rsid w:val="00B91E47"/>
    <w:rsid w:val="00BB0693"/>
    <w:rsid w:val="00BC1B9B"/>
    <w:rsid w:val="00BC4A16"/>
    <w:rsid w:val="00BC549D"/>
    <w:rsid w:val="00BC6B21"/>
    <w:rsid w:val="00BD6F8E"/>
    <w:rsid w:val="00BD79ED"/>
    <w:rsid w:val="00C50A68"/>
    <w:rsid w:val="00C65C90"/>
    <w:rsid w:val="00C87E57"/>
    <w:rsid w:val="00CA22C6"/>
    <w:rsid w:val="00CD68B1"/>
    <w:rsid w:val="00CE07A5"/>
    <w:rsid w:val="00D44FE1"/>
    <w:rsid w:val="00D531A4"/>
    <w:rsid w:val="00DD5C37"/>
    <w:rsid w:val="00E13D82"/>
    <w:rsid w:val="00E4239A"/>
    <w:rsid w:val="00E675AD"/>
    <w:rsid w:val="00E860A5"/>
    <w:rsid w:val="00E872C3"/>
    <w:rsid w:val="00E878D4"/>
    <w:rsid w:val="00E93E17"/>
    <w:rsid w:val="00EB0399"/>
    <w:rsid w:val="00EC1CBA"/>
    <w:rsid w:val="00EC719F"/>
    <w:rsid w:val="00ED08E9"/>
    <w:rsid w:val="00EE29FB"/>
    <w:rsid w:val="00EE6923"/>
    <w:rsid w:val="00EE7801"/>
    <w:rsid w:val="00F15034"/>
    <w:rsid w:val="00F16554"/>
    <w:rsid w:val="00F450DC"/>
    <w:rsid w:val="00F544E1"/>
    <w:rsid w:val="00F5755D"/>
    <w:rsid w:val="00F616B4"/>
    <w:rsid w:val="00FD4131"/>
    <w:rsid w:val="00FD5C10"/>
    <w:rsid w:val="00FF4BDE"/>
    <w:rsid w:val="00FF7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E47"/>
    <w:pPr>
      <w:tabs>
        <w:tab w:val="left" w:pos="1440"/>
      </w:tabs>
      <w:spacing w:before="120"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ED08E9"/>
    <w:pPr>
      <w:numPr>
        <w:numId w:val="27"/>
      </w:numPr>
      <w:ind w:left="0" w:firstLine="720"/>
    </w:pPr>
  </w:style>
  <w:style w:type="paragraph" w:styleId="FootnoteText">
    <w:name w:val="footnote text"/>
    <w:aliases w:val="Car"/>
    <w:link w:val="FootnoteTextChar"/>
    <w:autoRedefine/>
    <w:uiPriority w:val="99"/>
    <w:unhideWhenUsed/>
    <w:qFormat/>
    <w:rsid w:val="002A40F6"/>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uiPriority w:val="99"/>
    <w:rsid w:val="002A40F6"/>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paragraph" w:styleId="Header">
    <w:name w:val="header"/>
    <w:basedOn w:val="Normal"/>
    <w:link w:val="HeaderChar"/>
    <w:uiPriority w:val="99"/>
    <w:unhideWhenUsed/>
    <w:rsid w:val="006060BD"/>
    <w:pPr>
      <w:tabs>
        <w:tab w:val="clear" w:pos="1440"/>
        <w:tab w:val="center" w:pos="4680"/>
        <w:tab w:val="right" w:pos="9360"/>
      </w:tabs>
      <w:spacing w:before="0" w:after="0" w:line="240" w:lineRule="auto"/>
    </w:pPr>
  </w:style>
  <w:style w:type="character" w:customStyle="1" w:styleId="HeaderChar">
    <w:name w:val="Header Char"/>
    <w:basedOn w:val="DefaultParagraphFont"/>
    <w:link w:val="Header"/>
    <w:uiPriority w:val="99"/>
    <w:rsid w:val="006060BD"/>
    <w:rPr>
      <w:rFonts w:ascii="Times New Roman" w:hAnsi="Times New Roman" w:cs="Times New Roman"/>
      <w:sz w:val="24"/>
      <w:szCs w:val="20"/>
    </w:rPr>
  </w:style>
  <w:style w:type="paragraph" w:styleId="Footer">
    <w:name w:val="footer"/>
    <w:basedOn w:val="Normal"/>
    <w:link w:val="FooterChar"/>
    <w:uiPriority w:val="99"/>
    <w:unhideWhenUsed/>
    <w:rsid w:val="006060BD"/>
    <w:pPr>
      <w:tabs>
        <w:tab w:val="clear" w:pos="1440"/>
        <w:tab w:val="center" w:pos="4680"/>
        <w:tab w:val="right" w:pos="9360"/>
      </w:tabs>
      <w:spacing w:before="0" w:after="0" w:line="240" w:lineRule="auto"/>
    </w:pPr>
  </w:style>
  <w:style w:type="character" w:customStyle="1" w:styleId="FooterChar">
    <w:name w:val="Footer Char"/>
    <w:basedOn w:val="DefaultParagraphFont"/>
    <w:link w:val="Footer"/>
    <w:uiPriority w:val="99"/>
    <w:rsid w:val="006060BD"/>
    <w:rPr>
      <w:rFonts w:ascii="Times New Roman" w:hAnsi="Times New Roman" w:cs="Times New Roman"/>
      <w:sz w:val="24"/>
      <w:szCs w:val="20"/>
    </w:rPr>
  </w:style>
  <w:style w:type="character" w:styleId="FootnoteReference">
    <w:name w:val="footnote reference"/>
    <w:basedOn w:val="DefaultParagraphFont"/>
    <w:uiPriority w:val="99"/>
    <w:unhideWhenUsed/>
    <w:rsid w:val="004F4C01"/>
    <w:rPr>
      <w:rFonts w:ascii="Times New Roman" w:hAnsi="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E47"/>
    <w:pPr>
      <w:tabs>
        <w:tab w:val="left" w:pos="1440"/>
      </w:tabs>
      <w:spacing w:before="120"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ED08E9"/>
    <w:pPr>
      <w:numPr>
        <w:numId w:val="27"/>
      </w:numPr>
      <w:ind w:left="0" w:firstLine="720"/>
    </w:pPr>
  </w:style>
  <w:style w:type="paragraph" w:styleId="FootnoteText">
    <w:name w:val="footnote text"/>
    <w:aliases w:val="Car"/>
    <w:link w:val="FootnoteTextChar"/>
    <w:autoRedefine/>
    <w:uiPriority w:val="99"/>
    <w:unhideWhenUsed/>
    <w:qFormat/>
    <w:rsid w:val="002A40F6"/>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uiPriority w:val="99"/>
    <w:rsid w:val="002A40F6"/>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paragraph" w:styleId="Header">
    <w:name w:val="header"/>
    <w:basedOn w:val="Normal"/>
    <w:link w:val="HeaderChar"/>
    <w:uiPriority w:val="99"/>
    <w:unhideWhenUsed/>
    <w:rsid w:val="006060BD"/>
    <w:pPr>
      <w:tabs>
        <w:tab w:val="clear" w:pos="1440"/>
        <w:tab w:val="center" w:pos="4680"/>
        <w:tab w:val="right" w:pos="9360"/>
      </w:tabs>
      <w:spacing w:before="0" w:after="0" w:line="240" w:lineRule="auto"/>
    </w:pPr>
  </w:style>
  <w:style w:type="character" w:customStyle="1" w:styleId="HeaderChar">
    <w:name w:val="Header Char"/>
    <w:basedOn w:val="DefaultParagraphFont"/>
    <w:link w:val="Header"/>
    <w:uiPriority w:val="99"/>
    <w:rsid w:val="006060BD"/>
    <w:rPr>
      <w:rFonts w:ascii="Times New Roman" w:hAnsi="Times New Roman" w:cs="Times New Roman"/>
      <w:sz w:val="24"/>
      <w:szCs w:val="20"/>
    </w:rPr>
  </w:style>
  <w:style w:type="paragraph" w:styleId="Footer">
    <w:name w:val="footer"/>
    <w:basedOn w:val="Normal"/>
    <w:link w:val="FooterChar"/>
    <w:uiPriority w:val="99"/>
    <w:unhideWhenUsed/>
    <w:rsid w:val="006060BD"/>
    <w:pPr>
      <w:tabs>
        <w:tab w:val="clear" w:pos="1440"/>
        <w:tab w:val="center" w:pos="4680"/>
        <w:tab w:val="right" w:pos="9360"/>
      </w:tabs>
      <w:spacing w:before="0" w:after="0" w:line="240" w:lineRule="auto"/>
    </w:pPr>
  </w:style>
  <w:style w:type="character" w:customStyle="1" w:styleId="FooterChar">
    <w:name w:val="Footer Char"/>
    <w:basedOn w:val="DefaultParagraphFont"/>
    <w:link w:val="Footer"/>
    <w:uiPriority w:val="99"/>
    <w:rsid w:val="006060BD"/>
    <w:rPr>
      <w:rFonts w:ascii="Times New Roman" w:hAnsi="Times New Roman" w:cs="Times New Roman"/>
      <w:sz w:val="24"/>
      <w:szCs w:val="20"/>
    </w:rPr>
  </w:style>
  <w:style w:type="character" w:styleId="FootnoteReference">
    <w:name w:val="footnote reference"/>
    <w:basedOn w:val="DefaultParagraphFont"/>
    <w:uiPriority w:val="99"/>
    <w:unhideWhenUsed/>
    <w:rsid w:val="004F4C01"/>
    <w:rPr>
      <w:rFonts w:ascii="Times New Roman" w:hAnsi="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9</Pages>
  <Words>1972</Words>
  <Characters>11242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Eubanks, Arlene</cp:lastModifiedBy>
  <cp:revision>4</cp:revision>
  <cp:lastPrinted>2016-09-09T16:30:00Z</cp:lastPrinted>
  <dcterms:created xsi:type="dcterms:W3CDTF">2016-09-09T16:12:00Z</dcterms:created>
  <dcterms:modified xsi:type="dcterms:W3CDTF">2016-09-22T12:23:00Z</dcterms:modified>
</cp:coreProperties>
</file>