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33" w:rsidRPr="00A03D6F" w:rsidRDefault="007A3633" w:rsidP="0078148C">
      <w:pPr>
        <w:pStyle w:val="Title"/>
        <w:tabs>
          <w:tab w:val="clear" w:pos="360"/>
          <w:tab w:val="left" w:pos="0"/>
        </w:tabs>
        <w:spacing w:line="240" w:lineRule="auto"/>
      </w:pPr>
      <w:bookmarkStart w:id="0" w:name="_GoBack"/>
      <w:bookmarkEnd w:id="0"/>
      <w:r w:rsidRPr="00A03D6F">
        <w:t>BEFORE THE</w:t>
      </w:r>
    </w:p>
    <w:p w:rsidR="007A3633" w:rsidRPr="00A03D6F" w:rsidRDefault="004E0DCA" w:rsidP="0078148C">
      <w:pPr>
        <w:tabs>
          <w:tab w:val="left" w:pos="0"/>
        </w:tabs>
        <w:spacing w:before="0" w:after="0" w:line="240" w:lineRule="auto"/>
        <w:jc w:val="center"/>
        <w:rPr>
          <w:b/>
        </w:rPr>
      </w:pPr>
      <w:r>
        <w:rPr>
          <w:b/>
        </w:rPr>
        <w:t>P</w:t>
      </w:r>
      <w:r w:rsidR="007A3633" w:rsidRPr="00A03D6F">
        <w:rPr>
          <w:b/>
        </w:rPr>
        <w:t>ENNSYLVANIA PUBLIC UTILITY COMMISSION</w:t>
      </w:r>
    </w:p>
    <w:p w:rsidR="007A3633" w:rsidRPr="00A03D6F" w:rsidRDefault="007A3633" w:rsidP="0078148C">
      <w:pPr>
        <w:tabs>
          <w:tab w:val="left" w:pos="0"/>
        </w:tabs>
        <w:spacing w:before="0" w:after="0" w:line="240" w:lineRule="auto"/>
        <w:jc w:val="both"/>
        <w:rPr>
          <w:b/>
        </w:rPr>
      </w:pPr>
    </w:p>
    <w:p w:rsidR="0078148C" w:rsidRDefault="0078148C" w:rsidP="0078148C">
      <w:pPr>
        <w:tabs>
          <w:tab w:val="clear" w:pos="1440"/>
          <w:tab w:val="left" w:pos="0"/>
        </w:tabs>
        <w:spacing w:before="0" w:after="0" w:line="240" w:lineRule="auto"/>
        <w:jc w:val="both"/>
        <w:rPr>
          <w:rFonts w:eastAsia="SimSun"/>
        </w:rPr>
      </w:pPr>
    </w:p>
    <w:p w:rsidR="0078148C" w:rsidRDefault="0078148C" w:rsidP="0078148C">
      <w:pPr>
        <w:tabs>
          <w:tab w:val="clear" w:pos="1440"/>
          <w:tab w:val="left" w:pos="0"/>
        </w:tabs>
        <w:spacing w:before="0" w:after="0" w:line="240" w:lineRule="auto"/>
        <w:jc w:val="both"/>
        <w:rPr>
          <w:rFonts w:eastAsia="SimSun"/>
        </w:rPr>
      </w:pPr>
    </w:p>
    <w:p w:rsidR="007A3633" w:rsidRPr="007A3633" w:rsidRDefault="007A3633" w:rsidP="0078148C">
      <w:pPr>
        <w:tabs>
          <w:tab w:val="clear" w:pos="1440"/>
          <w:tab w:val="left" w:pos="0"/>
        </w:tabs>
        <w:spacing w:before="0" w:after="0" w:line="240" w:lineRule="auto"/>
        <w:jc w:val="both"/>
        <w:rPr>
          <w:rFonts w:eastAsia="SimSun"/>
          <w:b/>
        </w:rPr>
      </w:pPr>
      <w:r w:rsidRPr="007A3633">
        <w:rPr>
          <w:rFonts w:eastAsia="SimSun"/>
        </w:rPr>
        <w:t>Linda Anderson</w:t>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p>
    <w:p w:rsidR="007A3633" w:rsidRPr="007A3633" w:rsidRDefault="007A3633" w:rsidP="0078148C">
      <w:pPr>
        <w:tabs>
          <w:tab w:val="clear" w:pos="1440"/>
          <w:tab w:val="left" w:pos="0"/>
        </w:tabs>
        <w:spacing w:before="0" w:after="0" w:line="240" w:lineRule="auto"/>
        <w:jc w:val="both"/>
        <w:rPr>
          <w:rFonts w:eastAsia="SimSun"/>
        </w:rPr>
      </w:pP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r>
      <w:r w:rsidRPr="007A3633">
        <w:rPr>
          <w:rFonts w:eastAsia="SimSun"/>
          <w:b/>
        </w:rPr>
        <w:tab/>
        <w:t>:</w:t>
      </w:r>
    </w:p>
    <w:p w:rsidR="007A3633" w:rsidRPr="007A3633" w:rsidRDefault="007A3633" w:rsidP="0078148C">
      <w:pPr>
        <w:tabs>
          <w:tab w:val="clear" w:pos="1440"/>
          <w:tab w:val="left" w:pos="0"/>
        </w:tabs>
        <w:spacing w:before="0" w:after="0" w:line="240" w:lineRule="auto"/>
        <w:jc w:val="both"/>
        <w:rPr>
          <w:rFonts w:eastAsia="SimSun"/>
        </w:rPr>
      </w:pPr>
      <w:r w:rsidRPr="007A3633">
        <w:rPr>
          <w:rFonts w:eastAsia="SimSun"/>
        </w:rPr>
        <w:tab/>
        <w:t>v.</w:t>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r w:rsidRPr="007A3633">
        <w:rPr>
          <w:rFonts w:eastAsia="SimSun"/>
        </w:rPr>
        <w:tab/>
      </w:r>
      <w:r w:rsidRPr="007A3633">
        <w:rPr>
          <w:rFonts w:eastAsia="SimSun"/>
        </w:rPr>
        <w:tab/>
        <w:t>C-2015-2513850</w:t>
      </w:r>
    </w:p>
    <w:p w:rsidR="007A3633" w:rsidRPr="007A3633" w:rsidRDefault="007A3633" w:rsidP="0078148C">
      <w:pPr>
        <w:tabs>
          <w:tab w:val="clear" w:pos="1440"/>
          <w:tab w:val="left" w:pos="0"/>
        </w:tabs>
        <w:spacing w:before="0" w:after="0" w:line="240" w:lineRule="auto"/>
        <w:jc w:val="both"/>
        <w:rPr>
          <w:rFonts w:eastAsia="SimSun"/>
        </w:rPr>
      </w:pP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rPr>
        <w:tab/>
      </w:r>
      <w:r w:rsidRPr="007A3633">
        <w:rPr>
          <w:rFonts w:eastAsia="SimSun"/>
          <w:b/>
        </w:rPr>
        <w:t>:</w:t>
      </w:r>
    </w:p>
    <w:p w:rsidR="007A3633" w:rsidRPr="007A3633" w:rsidRDefault="007A3633" w:rsidP="0078148C">
      <w:pPr>
        <w:tabs>
          <w:tab w:val="clear" w:pos="1440"/>
          <w:tab w:val="left" w:pos="0"/>
        </w:tabs>
        <w:spacing w:before="0" w:after="0" w:line="240" w:lineRule="auto"/>
        <w:jc w:val="both"/>
        <w:rPr>
          <w:rFonts w:eastAsia="SimSun"/>
          <w:b/>
        </w:rPr>
      </w:pPr>
      <w:proofErr w:type="gramStart"/>
      <w:r w:rsidRPr="007A3633">
        <w:rPr>
          <w:rFonts w:eastAsia="SimSun"/>
        </w:rPr>
        <w:t>Columbia Gas of Pennsylvania, Inc.</w:t>
      </w:r>
      <w:proofErr w:type="gramEnd"/>
      <w:r w:rsidRPr="007A3633">
        <w:rPr>
          <w:rFonts w:eastAsia="SimSun"/>
        </w:rPr>
        <w:tab/>
      </w:r>
      <w:r w:rsidRPr="007A3633">
        <w:rPr>
          <w:rFonts w:eastAsia="SimSun"/>
        </w:rPr>
        <w:tab/>
      </w:r>
      <w:r w:rsidRPr="007A3633">
        <w:rPr>
          <w:rFonts w:eastAsia="SimSun"/>
        </w:rPr>
        <w:tab/>
      </w:r>
      <w:r w:rsidRPr="007A3633">
        <w:rPr>
          <w:rFonts w:eastAsia="SimSun"/>
          <w:b/>
        </w:rPr>
        <w:t>:</w:t>
      </w:r>
    </w:p>
    <w:p w:rsidR="007A3633" w:rsidRPr="007A3633" w:rsidRDefault="007A3633" w:rsidP="0078148C">
      <w:pPr>
        <w:tabs>
          <w:tab w:val="clear" w:pos="1440"/>
          <w:tab w:val="left" w:pos="0"/>
        </w:tabs>
        <w:spacing w:before="0" w:after="0" w:line="240" w:lineRule="auto"/>
        <w:jc w:val="both"/>
        <w:rPr>
          <w:rFonts w:eastAsia="SimSun"/>
          <w:b/>
        </w:rPr>
      </w:pPr>
    </w:p>
    <w:p w:rsidR="007A3633" w:rsidRPr="007A3633" w:rsidRDefault="007A3633" w:rsidP="0078148C">
      <w:pPr>
        <w:tabs>
          <w:tab w:val="clear" w:pos="1440"/>
          <w:tab w:val="left" w:pos="0"/>
        </w:tabs>
        <w:spacing w:before="0" w:after="0" w:line="240" w:lineRule="auto"/>
        <w:jc w:val="both"/>
        <w:rPr>
          <w:rFonts w:eastAsia="SimSun"/>
          <w:b/>
        </w:rPr>
      </w:pPr>
    </w:p>
    <w:p w:rsidR="007A3633" w:rsidRPr="007A3633" w:rsidRDefault="007A3633" w:rsidP="0078148C">
      <w:pPr>
        <w:tabs>
          <w:tab w:val="clear" w:pos="1440"/>
          <w:tab w:val="left" w:pos="0"/>
        </w:tabs>
        <w:spacing w:before="0" w:after="0" w:line="240" w:lineRule="auto"/>
        <w:jc w:val="both"/>
        <w:rPr>
          <w:rFonts w:eastAsia="SimSun"/>
          <w:b/>
        </w:rPr>
      </w:pPr>
    </w:p>
    <w:p w:rsidR="007A3633" w:rsidRPr="006F7E13" w:rsidRDefault="007A3633" w:rsidP="0078148C">
      <w:pPr>
        <w:spacing w:before="0" w:after="0" w:line="240" w:lineRule="auto"/>
        <w:jc w:val="center"/>
        <w:rPr>
          <w:b/>
        </w:rPr>
      </w:pPr>
      <w:r w:rsidRPr="006F7E13">
        <w:rPr>
          <w:b/>
        </w:rPr>
        <w:t>INTERIM ORDER</w:t>
      </w:r>
    </w:p>
    <w:p w:rsidR="007A3633" w:rsidRDefault="007A3633" w:rsidP="0078148C">
      <w:pPr>
        <w:spacing w:before="0" w:after="0" w:line="240" w:lineRule="auto"/>
        <w:jc w:val="center"/>
        <w:rPr>
          <w:b/>
          <w:u w:val="single"/>
        </w:rPr>
      </w:pPr>
      <w:r w:rsidRPr="006F7E13">
        <w:rPr>
          <w:b/>
          <w:u w:val="single"/>
        </w:rPr>
        <w:t>SETTING LITIGATION SCHEDULE</w:t>
      </w:r>
    </w:p>
    <w:p w:rsidR="0078148C" w:rsidRDefault="0078148C" w:rsidP="0078148C">
      <w:pPr>
        <w:spacing w:before="0" w:after="0" w:line="240" w:lineRule="auto"/>
        <w:jc w:val="center"/>
        <w:rPr>
          <w:b/>
          <w:u w:val="single"/>
        </w:rPr>
      </w:pPr>
    </w:p>
    <w:p w:rsidR="0078148C" w:rsidRPr="006F7E13" w:rsidRDefault="0078148C" w:rsidP="0078148C">
      <w:pPr>
        <w:spacing w:before="0" w:after="0" w:line="240" w:lineRule="auto"/>
        <w:jc w:val="center"/>
        <w:rPr>
          <w:b/>
          <w:u w:val="single"/>
        </w:rPr>
      </w:pPr>
    </w:p>
    <w:p w:rsidR="009063B5" w:rsidRDefault="007A3633" w:rsidP="001E330C">
      <w:pPr>
        <w:spacing w:before="0" w:after="0"/>
      </w:pPr>
      <w:r>
        <w:tab/>
        <w:t>On November 18, 2015, Linda Anderson (Complainant</w:t>
      </w:r>
      <w:proofErr w:type="gramStart"/>
      <w:r>
        <w:t>),</w:t>
      </w:r>
      <w:proofErr w:type="gramEnd"/>
      <w:r>
        <w:t xml:space="preserve"> filed a formal complaint against Columbia Gas of Pennsylvania, Inc. alleging, Columbia had turned off her service, she would like a payment agreement, and that she is having a reliability, safety or quality problem related to her meter.  Specifically, she alleged that she </w:t>
      </w:r>
      <w:r w:rsidR="009063B5">
        <w:t xml:space="preserve">has a neurologic condition and </w:t>
      </w:r>
      <w:proofErr w:type="spellStart"/>
      <w:r w:rsidR="009063B5">
        <w:t>can not</w:t>
      </w:r>
      <w:proofErr w:type="spellEnd"/>
      <w:r w:rsidR="009063B5">
        <w:t xml:space="preserve"> tolerate </w:t>
      </w:r>
      <w:proofErr w:type="spellStart"/>
      <w:r w:rsidR="009063B5">
        <w:t>WiFi</w:t>
      </w:r>
      <w:proofErr w:type="spellEnd"/>
      <w:r w:rsidR="009063B5">
        <w:t xml:space="preserve"> or other radio frequencies.  Columbia filed an answer on November 25, 2015, denying the material allegations of the complaint.</w:t>
      </w:r>
    </w:p>
    <w:p w:rsidR="001E330C" w:rsidRDefault="001E330C" w:rsidP="001E330C">
      <w:pPr>
        <w:spacing w:before="0" w:after="0"/>
      </w:pPr>
    </w:p>
    <w:p w:rsidR="009063B5" w:rsidRDefault="009063B5" w:rsidP="001E330C">
      <w:pPr>
        <w:spacing w:before="0" w:after="0"/>
      </w:pPr>
      <w:r>
        <w:tab/>
        <w:t>By notice dated December 4, 2015, the matter was assigned to me and scheduled for a telephonic hearing on January 28, 2016.  By letter dated January 19, 2016, Attorney Ed Lanza requested a continuance of the hearing as he had been recently retained by the Complainant.  The request was granted.  Thereafter the parties undertook extensive settlement discussions to resolve the complaint, which were ultimately unsuccessful.  Settlement conferences were held on August 8, 2016 and September 22, 2016.  Although progress was made toward the resolution of some issues, the bulk of the Complainant’s claims remain unresolved.  Accordingly, the parties agreed to a litigation schedule which is set forth below.</w:t>
      </w:r>
    </w:p>
    <w:p w:rsidR="001E330C" w:rsidRDefault="001E330C" w:rsidP="001E330C">
      <w:pPr>
        <w:spacing w:before="0" w:after="0"/>
      </w:pPr>
    </w:p>
    <w:p w:rsidR="009063B5" w:rsidRDefault="0078148C" w:rsidP="001E330C">
      <w:pPr>
        <w:spacing w:before="0" w:after="0"/>
      </w:pPr>
      <w:r>
        <w:tab/>
      </w:r>
      <w:r w:rsidR="009063B5">
        <w:t>THEREFORE</w:t>
      </w:r>
    </w:p>
    <w:p w:rsidR="001E330C" w:rsidRDefault="001E330C" w:rsidP="001E330C">
      <w:pPr>
        <w:spacing w:before="0" w:after="0"/>
      </w:pPr>
    </w:p>
    <w:p w:rsidR="009063B5" w:rsidRDefault="0078148C" w:rsidP="001E330C">
      <w:pPr>
        <w:spacing w:before="0" w:after="0"/>
      </w:pPr>
      <w:r>
        <w:tab/>
      </w:r>
      <w:r w:rsidR="009063B5">
        <w:t>IT IS ORDERED:</w:t>
      </w:r>
    </w:p>
    <w:p w:rsidR="001E330C" w:rsidRDefault="001E330C" w:rsidP="001E330C">
      <w:pPr>
        <w:spacing w:before="0" w:after="0"/>
      </w:pPr>
    </w:p>
    <w:p w:rsidR="009063B5" w:rsidRDefault="009063B5" w:rsidP="001E330C">
      <w:pPr>
        <w:spacing w:before="0" w:after="0"/>
      </w:pPr>
      <w:r>
        <w:lastRenderedPageBreak/>
        <w:tab/>
        <w:t>1.</w:t>
      </w:r>
      <w:r>
        <w:tab/>
        <w:t xml:space="preserve">That on or before </w:t>
      </w:r>
      <w:r w:rsidRPr="00777840">
        <w:rPr>
          <w:b/>
        </w:rPr>
        <w:t>November 21, 2016</w:t>
      </w:r>
      <w:r>
        <w:t>, the parties shall exchange witness lists.</w:t>
      </w:r>
    </w:p>
    <w:p w:rsidR="001E330C" w:rsidRDefault="009063B5" w:rsidP="001E330C">
      <w:pPr>
        <w:spacing w:before="0" w:after="0"/>
      </w:pPr>
      <w:r>
        <w:tab/>
      </w:r>
    </w:p>
    <w:p w:rsidR="009E2D1D" w:rsidRDefault="001E330C" w:rsidP="001E330C">
      <w:pPr>
        <w:spacing w:before="0" w:after="0"/>
      </w:pPr>
      <w:r>
        <w:tab/>
      </w:r>
      <w:r w:rsidR="009063B5">
        <w:t>2.</w:t>
      </w:r>
      <w:r w:rsidR="009063B5">
        <w:tab/>
        <w:t xml:space="preserve">That on or before </w:t>
      </w:r>
      <w:r w:rsidR="009063B5" w:rsidRPr="00777840">
        <w:rPr>
          <w:b/>
        </w:rPr>
        <w:t>December 6,</w:t>
      </w:r>
      <w:r w:rsidR="009E2D1D" w:rsidRPr="00777840">
        <w:rPr>
          <w:b/>
        </w:rPr>
        <w:t xml:space="preserve"> 2016</w:t>
      </w:r>
      <w:r w:rsidR="009E2D1D">
        <w:t xml:space="preserve">, the Complainant shall serve written direct expert testimony on Columbia.  Written testimony is limited to expert witnesses on the issue of health effects from wireless meter facilities.  </w:t>
      </w:r>
    </w:p>
    <w:p w:rsidR="001E330C" w:rsidRDefault="001E330C" w:rsidP="001E330C">
      <w:pPr>
        <w:spacing w:before="0" w:after="0"/>
      </w:pPr>
    </w:p>
    <w:p w:rsidR="009E2D1D" w:rsidRDefault="009E2D1D" w:rsidP="001E330C">
      <w:pPr>
        <w:spacing w:before="0" w:after="0"/>
      </w:pPr>
      <w:r>
        <w:tab/>
        <w:t>3.</w:t>
      </w:r>
      <w:r>
        <w:tab/>
        <w:t xml:space="preserve">That on or before </w:t>
      </w:r>
      <w:r w:rsidRPr="00777840">
        <w:rPr>
          <w:b/>
        </w:rPr>
        <w:t>January 6, 2017</w:t>
      </w:r>
      <w:r>
        <w:t xml:space="preserve">, Columbia shall serve written rebuttal expert testimony.  </w:t>
      </w:r>
    </w:p>
    <w:p w:rsidR="001E330C" w:rsidRDefault="001E330C" w:rsidP="001E330C">
      <w:pPr>
        <w:spacing w:before="0" w:after="0"/>
      </w:pPr>
    </w:p>
    <w:p w:rsidR="009E2D1D" w:rsidRDefault="009E2D1D" w:rsidP="001E330C">
      <w:pPr>
        <w:spacing w:before="0" w:after="0"/>
      </w:pPr>
      <w:r>
        <w:tab/>
        <w:t>4.</w:t>
      </w:r>
      <w:r>
        <w:tab/>
        <w:t xml:space="preserve">That on or before </w:t>
      </w:r>
      <w:r w:rsidRPr="00777840">
        <w:rPr>
          <w:b/>
        </w:rPr>
        <w:t>February 1, 2017</w:t>
      </w:r>
      <w:r>
        <w:t xml:space="preserve">, the Complainant may serve written </w:t>
      </w:r>
      <w:proofErr w:type="spellStart"/>
      <w:r>
        <w:t>surrebuttal</w:t>
      </w:r>
      <w:proofErr w:type="spellEnd"/>
      <w:r>
        <w:t xml:space="preserve"> expert testimony.</w:t>
      </w:r>
    </w:p>
    <w:p w:rsidR="001E330C" w:rsidRDefault="001E330C" w:rsidP="001E330C">
      <w:pPr>
        <w:spacing w:before="0" w:after="0"/>
      </w:pPr>
    </w:p>
    <w:p w:rsidR="009E2D1D" w:rsidRDefault="009E2D1D" w:rsidP="001E330C">
      <w:pPr>
        <w:spacing w:before="0" w:after="0"/>
      </w:pPr>
      <w:r>
        <w:tab/>
        <w:t>5.</w:t>
      </w:r>
      <w:r>
        <w:tab/>
        <w:t>That three copies of all written testimony shall also be served on the prehearing officer on the dates set forth in paragraphs 2-4.</w:t>
      </w:r>
    </w:p>
    <w:p w:rsidR="001E330C" w:rsidRDefault="001E330C" w:rsidP="001E330C">
      <w:pPr>
        <w:spacing w:before="0" w:after="0"/>
      </w:pPr>
    </w:p>
    <w:p w:rsidR="007A3633" w:rsidRDefault="009E2D1D" w:rsidP="001E330C">
      <w:pPr>
        <w:spacing w:before="0" w:after="0"/>
      </w:pPr>
      <w:r>
        <w:tab/>
        <w:t>6.</w:t>
      </w:r>
      <w:r>
        <w:tab/>
        <w:t xml:space="preserve">That on or before </w:t>
      </w:r>
      <w:r w:rsidRPr="00777840">
        <w:rPr>
          <w:b/>
        </w:rPr>
        <w:t>February</w:t>
      </w:r>
      <w:r w:rsidR="00777840">
        <w:rPr>
          <w:b/>
        </w:rPr>
        <w:t xml:space="preserve"> 16, 2017</w:t>
      </w:r>
      <w:r>
        <w:t>, the parties shall exchange proposed exhibits.  Three copies shall also be served on the presiding officer.</w:t>
      </w:r>
      <w:r w:rsidR="007A3633">
        <w:tab/>
      </w:r>
    </w:p>
    <w:p w:rsidR="001E330C" w:rsidRDefault="001E330C" w:rsidP="001E330C">
      <w:pPr>
        <w:spacing w:before="0" w:after="0"/>
      </w:pPr>
    </w:p>
    <w:p w:rsidR="009E2D1D" w:rsidRDefault="009E2D1D" w:rsidP="001E330C">
      <w:pPr>
        <w:spacing w:before="0" w:after="0"/>
      </w:pPr>
      <w:r>
        <w:tab/>
        <w:t>7.</w:t>
      </w:r>
      <w:r>
        <w:tab/>
        <w:t xml:space="preserve">That evidentiary hearings shall be held by telephone on </w:t>
      </w:r>
      <w:r w:rsidRPr="00CA293C">
        <w:rPr>
          <w:b/>
        </w:rPr>
        <w:t>February 21-22, 2017</w:t>
      </w:r>
      <w:r>
        <w:t>.</w:t>
      </w:r>
    </w:p>
    <w:p w:rsidR="0078148C" w:rsidRDefault="0078148C" w:rsidP="0078148C">
      <w:pPr>
        <w:spacing w:before="0" w:after="0"/>
      </w:pPr>
    </w:p>
    <w:p w:rsidR="0078148C" w:rsidRDefault="0078148C" w:rsidP="0078148C">
      <w:pPr>
        <w:spacing w:before="0" w:after="0" w:line="240" w:lineRule="auto"/>
      </w:pPr>
    </w:p>
    <w:p w:rsidR="0078148C" w:rsidRDefault="0078148C" w:rsidP="0078148C">
      <w:pPr>
        <w:spacing w:before="0" w:after="0" w:line="240" w:lineRule="auto"/>
      </w:pPr>
      <w:r>
        <w:t xml:space="preserve">Date:  </w:t>
      </w:r>
      <w:r w:rsidRPr="0078148C">
        <w:rPr>
          <w:u w:val="single"/>
        </w:rPr>
        <w:t>October 3, 2016</w:t>
      </w:r>
      <w:r>
        <w:tab/>
      </w:r>
      <w:r>
        <w:tab/>
      </w:r>
      <w:r>
        <w:tab/>
      </w:r>
      <w:r>
        <w:tab/>
      </w:r>
      <w:r w:rsidR="001E330C">
        <w:softHyphen/>
      </w:r>
      <w:r w:rsidR="001E330C">
        <w:softHyphen/>
      </w:r>
      <w:r w:rsidR="001E330C">
        <w:softHyphen/>
      </w:r>
      <w:r w:rsidR="001E330C">
        <w:softHyphen/>
      </w:r>
      <w:r w:rsidR="001E330C">
        <w:softHyphen/>
      </w:r>
      <w:r w:rsidR="001E330C">
        <w:softHyphen/>
      </w:r>
      <w:r w:rsidR="001E330C">
        <w:softHyphen/>
      </w:r>
      <w:r w:rsidR="001E330C">
        <w:softHyphen/>
      </w:r>
      <w:r w:rsidR="001E330C">
        <w:softHyphen/>
      </w:r>
      <w:r w:rsidR="001E330C">
        <w:softHyphen/>
      </w:r>
      <w:r w:rsidR="001E330C">
        <w:softHyphen/>
      </w:r>
      <w:r w:rsidR="001E330C">
        <w:softHyphen/>
      </w:r>
      <w:r w:rsidR="001E330C">
        <w:softHyphen/>
        <w:t>____________________________________</w:t>
      </w:r>
    </w:p>
    <w:p w:rsidR="0078148C" w:rsidRDefault="0078148C" w:rsidP="0078148C">
      <w:pPr>
        <w:spacing w:before="0" w:after="0" w:line="240" w:lineRule="auto"/>
      </w:pPr>
      <w:r>
        <w:tab/>
      </w:r>
      <w:r>
        <w:tab/>
      </w:r>
      <w:r>
        <w:tab/>
      </w:r>
      <w:r>
        <w:tab/>
      </w:r>
      <w:r>
        <w:tab/>
      </w:r>
      <w:r>
        <w:tab/>
        <w:t>Mary D. Long</w:t>
      </w:r>
    </w:p>
    <w:p w:rsidR="0078148C" w:rsidRDefault="0078148C" w:rsidP="0078148C">
      <w:pPr>
        <w:spacing w:before="0" w:after="0" w:line="240" w:lineRule="auto"/>
      </w:pPr>
      <w:r>
        <w:tab/>
      </w:r>
      <w:r>
        <w:tab/>
      </w:r>
      <w:r>
        <w:tab/>
      </w:r>
      <w:r>
        <w:tab/>
      </w:r>
      <w:r>
        <w:tab/>
      </w:r>
      <w:r>
        <w:tab/>
        <w:t>Administrative Law Judge</w:t>
      </w:r>
    </w:p>
    <w:p w:rsidR="001E330C" w:rsidRDefault="001E330C">
      <w:pPr>
        <w:tabs>
          <w:tab w:val="clear" w:pos="1440"/>
        </w:tabs>
        <w:spacing w:before="0" w:after="200" w:line="276" w:lineRule="auto"/>
      </w:pPr>
      <w:r>
        <w:br w:type="page"/>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b/>
          <w:szCs w:val="22"/>
          <w:u w:val="single"/>
        </w:rPr>
        <w:lastRenderedPageBreak/>
        <w:t xml:space="preserve">C-2015-2513850 </w:t>
      </w:r>
      <w:r w:rsidRPr="001E330C">
        <w:rPr>
          <w:rFonts w:ascii="Microsoft Sans Serif" w:eastAsiaTheme="minorEastAsia" w:hAnsiTheme="minorHAnsi" w:cstheme="minorBidi"/>
          <w:b/>
          <w:szCs w:val="22"/>
          <w:u w:val="single"/>
        </w:rPr>
        <w:t>–</w:t>
      </w:r>
      <w:r w:rsidRPr="001E330C">
        <w:rPr>
          <w:rFonts w:ascii="Microsoft Sans Serif" w:eastAsiaTheme="minorEastAsia" w:hAnsiTheme="minorHAnsi" w:cstheme="minorBidi"/>
          <w:b/>
          <w:szCs w:val="22"/>
          <w:u w:val="single"/>
        </w:rPr>
        <w:t xml:space="preserve"> </w:t>
      </w:r>
      <w:proofErr w:type="gramStart"/>
      <w:r w:rsidRPr="001E330C">
        <w:rPr>
          <w:rFonts w:ascii="Microsoft Sans Serif" w:eastAsiaTheme="minorEastAsia" w:hAnsiTheme="minorHAnsi" w:cstheme="minorBidi"/>
          <w:b/>
          <w:szCs w:val="22"/>
          <w:u w:val="single"/>
        </w:rPr>
        <w:t>LINDA  ANDERSON</w:t>
      </w:r>
      <w:proofErr w:type="gramEnd"/>
      <w:r w:rsidRPr="001E330C">
        <w:rPr>
          <w:rFonts w:ascii="Microsoft Sans Serif" w:eastAsiaTheme="minorEastAsia" w:hAnsiTheme="minorHAnsi" w:cstheme="minorBidi"/>
          <w:b/>
          <w:szCs w:val="22"/>
          <w:u w:val="single"/>
        </w:rPr>
        <w:t xml:space="preserve"> v. COLUMBIA GAS OF PENNSYLVANIA INC</w:t>
      </w:r>
      <w:r w:rsidRPr="001E330C">
        <w:rPr>
          <w:rFonts w:ascii="Microsoft Sans Serif" w:eastAsiaTheme="minorEastAsia" w:hAnsiTheme="minorHAnsi" w:cstheme="minorBidi"/>
          <w:b/>
          <w:szCs w:val="22"/>
          <w:u w:val="single"/>
        </w:rPr>
        <w:cr/>
      </w:r>
      <w:r w:rsidRPr="001E330C">
        <w:rPr>
          <w:rFonts w:ascii="Microsoft Sans Serif" w:eastAsiaTheme="minorEastAsia" w:hAnsiTheme="minorHAnsi" w:cstheme="minorBidi"/>
          <w:b/>
          <w:szCs w:val="22"/>
          <w:u w:val="single"/>
        </w:rPr>
        <w:cr/>
      </w:r>
      <w:r w:rsidRPr="001E330C">
        <w:rPr>
          <w:rFonts w:ascii="Microsoft Sans Serif" w:eastAsiaTheme="minorEastAsia" w:hAnsiTheme="minorHAnsi" w:cstheme="minorBidi"/>
          <w:szCs w:val="22"/>
        </w:rPr>
        <w:t xml:space="preserve"> </w:t>
      </w:r>
      <w:r w:rsidRPr="001E330C">
        <w:rPr>
          <w:rFonts w:ascii="Microsoft Sans Serif" w:eastAsiaTheme="minorEastAsia" w:hAnsiTheme="minorHAnsi" w:cstheme="minorBidi"/>
          <w:szCs w:val="22"/>
        </w:rPr>
        <w:cr/>
        <w:t>LINDA ANDERSON</w:t>
      </w:r>
      <w:r w:rsidRPr="001E330C">
        <w:rPr>
          <w:rFonts w:ascii="Microsoft Sans Serif" w:eastAsiaTheme="minorEastAsia" w:hAnsiTheme="minorHAnsi" w:cstheme="minorBidi"/>
          <w:szCs w:val="22"/>
        </w:rPr>
        <w:cr/>
        <w:t>804 BAUMAN AVE</w:t>
      </w:r>
      <w:r w:rsidRPr="001E330C">
        <w:rPr>
          <w:rFonts w:ascii="Microsoft Sans Serif" w:eastAsiaTheme="minorEastAsia" w:hAnsiTheme="minorHAnsi" w:cstheme="minorBidi"/>
          <w:szCs w:val="22"/>
        </w:rPr>
        <w:cr/>
        <w:t>BADEN PA  15005</w:t>
      </w:r>
      <w:r w:rsidRPr="001E330C">
        <w:rPr>
          <w:rFonts w:ascii="Microsoft Sans Serif" w:eastAsiaTheme="minorEastAsia" w:hAnsiTheme="minorHAnsi" w:cstheme="minorBidi"/>
          <w:szCs w:val="22"/>
        </w:rPr>
        <w:cr/>
        <w:t>724.869.9463</w:t>
      </w:r>
      <w:r w:rsidRPr="001E330C">
        <w:rPr>
          <w:rFonts w:ascii="Microsoft Sans Serif" w:eastAsiaTheme="minorEastAsia" w:hAnsiTheme="minorHAnsi" w:cstheme="minorBidi"/>
          <w:szCs w:val="22"/>
        </w:rPr>
        <w:cr/>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szCs w:val="22"/>
        </w:rPr>
        <w:t>EDWARD G. LANZA ESQUIRE</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szCs w:val="22"/>
        </w:rPr>
        <w:t>THE LANZA FIRM, LLC</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szCs w:val="22"/>
        </w:rPr>
        <w:t>PO BOX 61336</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szCs w:val="22"/>
        </w:rPr>
        <w:t>HARRISBURG PA 17106-1336</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szCs w:val="22"/>
        </w:rPr>
        <w:t>717.576.2696</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r w:rsidRPr="001E330C">
        <w:rPr>
          <w:rFonts w:ascii="Microsoft Sans Serif" w:eastAsiaTheme="minorEastAsia" w:hAnsiTheme="minorHAnsi" w:cstheme="minorBidi"/>
          <w:b/>
          <w:i/>
          <w:szCs w:val="22"/>
          <w:u w:val="single"/>
        </w:rPr>
        <w:t>-ACCEPTS ELECTRONIC SERVICE-</w:t>
      </w:r>
    </w:p>
    <w:p w:rsidR="001E330C" w:rsidRPr="001E330C" w:rsidRDefault="001E330C" w:rsidP="001E330C">
      <w:pPr>
        <w:tabs>
          <w:tab w:val="clear" w:pos="1440"/>
        </w:tabs>
        <w:spacing w:before="0" w:after="0" w:line="240" w:lineRule="auto"/>
        <w:contextualSpacing/>
        <w:rPr>
          <w:rFonts w:ascii="Microsoft Sans Serif" w:eastAsiaTheme="minorEastAsia" w:hAnsiTheme="minorHAnsi" w:cstheme="minorBidi"/>
          <w:szCs w:val="22"/>
        </w:rPr>
      </w:pPr>
    </w:p>
    <w:p w:rsidR="001E330C" w:rsidRPr="001E330C" w:rsidRDefault="001E330C" w:rsidP="001E330C">
      <w:pPr>
        <w:tabs>
          <w:tab w:val="clear" w:pos="1440"/>
        </w:tabs>
        <w:spacing w:before="0" w:after="0" w:line="240" w:lineRule="auto"/>
        <w:contextualSpacing/>
        <w:rPr>
          <w:rFonts w:asciiTheme="minorHAnsi" w:eastAsiaTheme="minorEastAsia" w:hAnsiTheme="minorHAnsi" w:cstheme="minorBidi"/>
          <w:sz w:val="22"/>
          <w:szCs w:val="22"/>
        </w:rPr>
      </w:pPr>
    </w:p>
    <w:p w:rsidR="001E330C" w:rsidRPr="001E330C" w:rsidRDefault="001E330C" w:rsidP="001E330C">
      <w:pPr>
        <w:tabs>
          <w:tab w:val="clear" w:pos="1440"/>
        </w:tabs>
        <w:spacing w:before="0" w:after="0" w:line="240" w:lineRule="auto"/>
        <w:contextualSpacing/>
        <w:rPr>
          <w:rFonts w:asciiTheme="minorHAnsi" w:eastAsiaTheme="minorEastAsia" w:hAnsiTheme="minorHAnsi" w:cstheme="minorBidi"/>
          <w:b/>
          <w:i/>
          <w:sz w:val="22"/>
          <w:szCs w:val="22"/>
          <w:u w:val="single"/>
        </w:rPr>
      </w:pPr>
      <w:r w:rsidRPr="001E330C">
        <w:rPr>
          <w:rFonts w:ascii="Microsoft Sans Serif" w:eastAsiaTheme="minorEastAsia" w:hAnsiTheme="minorHAnsi" w:cstheme="minorBidi"/>
          <w:szCs w:val="22"/>
        </w:rPr>
        <w:t>LARRY R CRAYNE ESQUIRE</w:t>
      </w:r>
      <w:r w:rsidRPr="001E330C">
        <w:rPr>
          <w:rFonts w:ascii="Microsoft Sans Serif" w:eastAsiaTheme="minorEastAsia" w:hAnsiTheme="minorHAnsi" w:cstheme="minorBidi"/>
          <w:szCs w:val="22"/>
        </w:rPr>
        <w:cr/>
        <w:t>238 JOHNSTON ROAD</w:t>
      </w:r>
      <w:r w:rsidRPr="001E330C">
        <w:rPr>
          <w:rFonts w:ascii="Microsoft Sans Serif" w:eastAsiaTheme="minorEastAsia" w:hAnsiTheme="minorHAnsi" w:cstheme="minorBidi"/>
          <w:szCs w:val="22"/>
        </w:rPr>
        <w:cr/>
        <w:t>PITTSBURGH PA  15241-2556</w:t>
      </w:r>
      <w:r w:rsidRPr="001E330C">
        <w:rPr>
          <w:rFonts w:ascii="Microsoft Sans Serif" w:eastAsiaTheme="minorEastAsia" w:hAnsiTheme="minorHAnsi" w:cstheme="minorBidi"/>
          <w:szCs w:val="22"/>
        </w:rPr>
        <w:cr/>
        <w:t>412.831.5462</w:t>
      </w:r>
      <w:r w:rsidRPr="001E330C">
        <w:rPr>
          <w:rFonts w:ascii="Microsoft Sans Serif" w:eastAsiaTheme="minorEastAsia" w:hAnsiTheme="minorHAnsi" w:cstheme="minorBidi"/>
          <w:szCs w:val="22"/>
        </w:rPr>
        <w:cr/>
      </w:r>
      <w:r w:rsidRPr="001E330C">
        <w:rPr>
          <w:rFonts w:ascii="Microsoft Sans Serif" w:eastAsiaTheme="minorEastAsia" w:hAnsiTheme="minorHAnsi" w:cstheme="minorBidi"/>
          <w:b/>
          <w:i/>
          <w:szCs w:val="22"/>
          <w:u w:val="single"/>
        </w:rPr>
        <w:t>-ACCEPTS ELECTRONIC SERVICE-</w:t>
      </w:r>
    </w:p>
    <w:p w:rsidR="0078148C" w:rsidRDefault="0078148C"/>
    <w:sectPr w:rsidR="00781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433C0"/>
    <w:multiLevelType w:val="hybridMultilevel"/>
    <w:tmpl w:val="45EE0DC0"/>
    <w:lvl w:ilvl="0" w:tplc="D1F075C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13"/>
  </w:num>
  <w:num w:numId="3">
    <w:abstractNumId w:val="19"/>
  </w:num>
  <w:num w:numId="4">
    <w:abstractNumId w:val="23"/>
  </w:num>
  <w:num w:numId="5">
    <w:abstractNumId w:val="8"/>
  </w:num>
  <w:num w:numId="6">
    <w:abstractNumId w:val="6"/>
  </w:num>
  <w:num w:numId="7">
    <w:abstractNumId w:val="4"/>
  </w:num>
  <w:num w:numId="8">
    <w:abstractNumId w:val="22"/>
  </w:num>
  <w:num w:numId="9">
    <w:abstractNumId w:val="2"/>
  </w:num>
  <w:num w:numId="10">
    <w:abstractNumId w:val="15"/>
  </w:num>
  <w:num w:numId="11">
    <w:abstractNumId w:val="18"/>
  </w:num>
  <w:num w:numId="12">
    <w:abstractNumId w:val="11"/>
  </w:num>
  <w:num w:numId="13">
    <w:abstractNumId w:val="16"/>
  </w:num>
  <w:num w:numId="14">
    <w:abstractNumId w:val="20"/>
  </w:num>
  <w:num w:numId="15">
    <w:abstractNumId w:val="0"/>
  </w:num>
  <w:num w:numId="16">
    <w:abstractNumId w:val="14"/>
  </w:num>
  <w:num w:numId="17">
    <w:abstractNumId w:val="14"/>
  </w:num>
  <w:num w:numId="18">
    <w:abstractNumId w:val="7"/>
  </w:num>
  <w:num w:numId="19">
    <w:abstractNumId w:val="12"/>
  </w:num>
  <w:num w:numId="20">
    <w:abstractNumId w:val="24"/>
  </w:num>
  <w:num w:numId="21">
    <w:abstractNumId w:val="9"/>
  </w:num>
  <w:num w:numId="22">
    <w:abstractNumId w:val="3"/>
  </w:num>
  <w:num w:numId="23">
    <w:abstractNumId w:val="10"/>
  </w:num>
  <w:num w:numId="24">
    <w:abstractNumId w:val="25"/>
  </w:num>
  <w:num w:numId="25">
    <w:abstractNumId w:val="1"/>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33"/>
    <w:rsid w:val="00004C37"/>
    <w:rsid w:val="000E3EDE"/>
    <w:rsid w:val="001A21B6"/>
    <w:rsid w:val="001B1CBA"/>
    <w:rsid w:val="001D2AF7"/>
    <w:rsid w:val="001E330C"/>
    <w:rsid w:val="00207743"/>
    <w:rsid w:val="00213167"/>
    <w:rsid w:val="002512F9"/>
    <w:rsid w:val="003145FA"/>
    <w:rsid w:val="00367A41"/>
    <w:rsid w:val="00393C92"/>
    <w:rsid w:val="004D523C"/>
    <w:rsid w:val="004E0DCA"/>
    <w:rsid w:val="005A1C17"/>
    <w:rsid w:val="005A2ABA"/>
    <w:rsid w:val="005B0AA6"/>
    <w:rsid w:val="005D180A"/>
    <w:rsid w:val="005E7B69"/>
    <w:rsid w:val="0061775F"/>
    <w:rsid w:val="00696C0D"/>
    <w:rsid w:val="006F0329"/>
    <w:rsid w:val="006F7E13"/>
    <w:rsid w:val="00700807"/>
    <w:rsid w:val="00712E58"/>
    <w:rsid w:val="00777840"/>
    <w:rsid w:val="0078148C"/>
    <w:rsid w:val="00792796"/>
    <w:rsid w:val="007A3633"/>
    <w:rsid w:val="007E6779"/>
    <w:rsid w:val="00820B4C"/>
    <w:rsid w:val="0083239D"/>
    <w:rsid w:val="008529D2"/>
    <w:rsid w:val="009063B5"/>
    <w:rsid w:val="00917DCA"/>
    <w:rsid w:val="009E2D1D"/>
    <w:rsid w:val="00A47096"/>
    <w:rsid w:val="00AA2EC5"/>
    <w:rsid w:val="00AB4C73"/>
    <w:rsid w:val="00AE6F47"/>
    <w:rsid w:val="00B91E47"/>
    <w:rsid w:val="00BC6B21"/>
    <w:rsid w:val="00C87E57"/>
    <w:rsid w:val="00CA293C"/>
    <w:rsid w:val="00DD5C37"/>
    <w:rsid w:val="00E4239A"/>
    <w:rsid w:val="00EC1CBA"/>
    <w:rsid w:val="00EE7801"/>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13"/>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3239D"/>
    <w:pPr>
      <w:numPr>
        <w:numId w:val="27"/>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7A3633"/>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7A3633"/>
    <w:rPr>
      <w:rFonts w:ascii="Times New Roman" w:eastAsia="SimSu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13"/>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3239D"/>
    <w:pPr>
      <w:numPr>
        <w:numId w:val="27"/>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Title">
    <w:name w:val="Title"/>
    <w:basedOn w:val="Normal"/>
    <w:link w:val="TitleChar"/>
    <w:qFormat/>
    <w:rsid w:val="007A3633"/>
    <w:pPr>
      <w:tabs>
        <w:tab w:val="clear" w:pos="1440"/>
        <w:tab w:val="left" w:pos="360"/>
      </w:tabs>
      <w:spacing w:before="0" w:after="0" w:line="233" w:lineRule="auto"/>
      <w:jc w:val="center"/>
    </w:pPr>
    <w:rPr>
      <w:rFonts w:eastAsia="SimSun"/>
      <w:b/>
    </w:rPr>
  </w:style>
  <w:style w:type="character" w:customStyle="1" w:styleId="TitleChar">
    <w:name w:val="Title Char"/>
    <w:basedOn w:val="DefaultParagraphFont"/>
    <w:link w:val="Title"/>
    <w:rsid w:val="007A3633"/>
    <w:rPr>
      <w:rFonts w:ascii="Times New Roman" w:eastAsia="SimSu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B12F-C482-4C8F-B5E9-1EE76A93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Eubanks, Arlene</cp:lastModifiedBy>
  <cp:revision>2</cp:revision>
  <dcterms:created xsi:type="dcterms:W3CDTF">2016-10-03T13:38:00Z</dcterms:created>
  <dcterms:modified xsi:type="dcterms:W3CDTF">2016-10-03T13:38:00Z</dcterms:modified>
</cp:coreProperties>
</file>