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101496" w:rsidRDefault="005E1066" w:rsidP="00600548">
      <w:pPr>
        <w:jc w:val="center"/>
        <w:rPr>
          <w:b/>
        </w:rPr>
      </w:pPr>
      <w:r w:rsidRPr="00101496">
        <w:rPr>
          <w:b/>
        </w:rPr>
        <w:t>BEFORE THE</w:t>
      </w:r>
    </w:p>
    <w:p w:rsidR="005E1066" w:rsidRPr="00101496" w:rsidRDefault="005E1066" w:rsidP="00600548">
      <w:pPr>
        <w:jc w:val="center"/>
        <w:rPr>
          <w:b/>
        </w:rPr>
      </w:pPr>
      <w:r w:rsidRPr="00101496">
        <w:rPr>
          <w:b/>
        </w:rPr>
        <w:t>PENNSYLVANIA PUBLIC UTILITY COMMISSION</w:t>
      </w:r>
    </w:p>
    <w:p w:rsidR="005E1066" w:rsidRPr="00101496" w:rsidRDefault="005E1066" w:rsidP="00600548">
      <w:pPr>
        <w:jc w:val="center"/>
        <w:rPr>
          <w:b/>
        </w:rPr>
      </w:pPr>
    </w:p>
    <w:p w:rsidR="005E1066" w:rsidRPr="00101496" w:rsidRDefault="005E1066" w:rsidP="00600548">
      <w:pPr>
        <w:jc w:val="center"/>
        <w:rPr>
          <w:b/>
        </w:rPr>
      </w:pPr>
    </w:p>
    <w:p w:rsidR="005E1066" w:rsidRPr="00101496" w:rsidRDefault="005E1066" w:rsidP="00600548">
      <w:pPr>
        <w:jc w:val="center"/>
        <w:rPr>
          <w:b/>
        </w:rPr>
      </w:pPr>
    </w:p>
    <w:p w:rsidR="005E1066" w:rsidRPr="00101496" w:rsidRDefault="00021030" w:rsidP="00600548">
      <w:r>
        <w:t>Alan Serge</w:t>
      </w:r>
      <w:r>
        <w:tab/>
      </w:r>
      <w:r w:rsidR="00BD624C" w:rsidRPr="00101496">
        <w:tab/>
      </w:r>
      <w:r w:rsidR="00AB18F3" w:rsidRPr="00101496">
        <w:tab/>
      </w:r>
      <w:r w:rsidR="00AB18F3" w:rsidRPr="00101496">
        <w:tab/>
      </w:r>
      <w:r w:rsidR="00350408">
        <w:tab/>
      </w:r>
      <w:r w:rsidR="00AB18F3" w:rsidRPr="00101496">
        <w:tab/>
      </w:r>
      <w:r w:rsidR="005E1066" w:rsidRPr="00101496">
        <w:t>:</w:t>
      </w:r>
    </w:p>
    <w:p w:rsidR="005E1066" w:rsidRPr="00101496" w:rsidRDefault="005E1066" w:rsidP="00600548">
      <w:r w:rsidRPr="00101496">
        <w:tab/>
      </w:r>
      <w:r w:rsidRPr="00101496">
        <w:tab/>
      </w:r>
      <w:r w:rsidRPr="00101496">
        <w:tab/>
      </w:r>
      <w:r w:rsidRPr="00101496">
        <w:tab/>
      </w:r>
      <w:r w:rsidRPr="00101496">
        <w:tab/>
      </w:r>
      <w:r w:rsidRPr="00101496">
        <w:tab/>
      </w:r>
      <w:r w:rsidRPr="00101496">
        <w:tab/>
        <w:t>:</w:t>
      </w:r>
    </w:p>
    <w:p w:rsidR="005E1066" w:rsidRPr="00101496" w:rsidRDefault="005E1066" w:rsidP="00600548">
      <w:r w:rsidRPr="00101496">
        <w:tab/>
        <w:t>v.</w:t>
      </w:r>
      <w:r w:rsidRPr="00101496">
        <w:tab/>
      </w:r>
      <w:r w:rsidRPr="00101496">
        <w:tab/>
      </w:r>
      <w:r w:rsidRPr="00101496">
        <w:tab/>
      </w:r>
      <w:r w:rsidRPr="00101496">
        <w:tab/>
      </w:r>
      <w:r w:rsidRPr="00101496">
        <w:tab/>
      </w:r>
      <w:r w:rsidRPr="00101496">
        <w:tab/>
        <w:t>:</w:t>
      </w:r>
      <w:r w:rsidRPr="00101496">
        <w:tab/>
      </w:r>
      <w:r w:rsidRPr="00101496">
        <w:tab/>
      </w:r>
      <w:r w:rsidR="00021030">
        <w:t>F-2016-2554243</w:t>
      </w:r>
    </w:p>
    <w:p w:rsidR="005E1066" w:rsidRPr="00101496" w:rsidRDefault="005E1066" w:rsidP="00600548">
      <w:r w:rsidRPr="00101496">
        <w:tab/>
      </w:r>
      <w:r w:rsidRPr="00101496">
        <w:tab/>
      </w:r>
      <w:r w:rsidRPr="00101496">
        <w:tab/>
      </w:r>
      <w:r w:rsidRPr="00101496">
        <w:tab/>
      </w:r>
      <w:r w:rsidRPr="00101496">
        <w:tab/>
      </w:r>
      <w:r w:rsidRPr="00101496">
        <w:tab/>
      </w:r>
      <w:r w:rsidRPr="00101496">
        <w:tab/>
        <w:t>:</w:t>
      </w:r>
    </w:p>
    <w:p w:rsidR="005E1066" w:rsidRPr="00101496" w:rsidRDefault="00021030" w:rsidP="00600548">
      <w:r>
        <w:t>Philadelphia Gas Works</w:t>
      </w:r>
      <w:r>
        <w:tab/>
      </w:r>
      <w:r>
        <w:tab/>
      </w:r>
      <w:r w:rsidR="00350408">
        <w:tab/>
      </w:r>
      <w:r w:rsidR="00350408">
        <w:tab/>
        <w:t>:</w:t>
      </w:r>
    </w:p>
    <w:p w:rsidR="005E1066" w:rsidRPr="00101496" w:rsidRDefault="005E1066" w:rsidP="00600548"/>
    <w:p w:rsidR="005E1066" w:rsidRDefault="005E1066" w:rsidP="00600548">
      <w:pPr>
        <w:tabs>
          <w:tab w:val="left" w:pos="1076"/>
        </w:tabs>
      </w:pPr>
    </w:p>
    <w:p w:rsidR="00CA379D" w:rsidRPr="00101496" w:rsidRDefault="00CA379D" w:rsidP="00600548">
      <w:pPr>
        <w:tabs>
          <w:tab w:val="left" w:pos="1076"/>
        </w:tabs>
      </w:pPr>
    </w:p>
    <w:p w:rsidR="00EA5CEA" w:rsidRDefault="00D91BCF" w:rsidP="00451017">
      <w:pPr>
        <w:jc w:val="center"/>
        <w:rPr>
          <w:b/>
          <w:u w:val="single"/>
        </w:rPr>
      </w:pPr>
      <w:r>
        <w:rPr>
          <w:b/>
          <w:u w:val="single"/>
        </w:rPr>
        <w:t xml:space="preserve">CORRECTED </w:t>
      </w:r>
      <w:r w:rsidR="00EA5CEA" w:rsidRPr="00101496">
        <w:rPr>
          <w:b/>
          <w:u w:val="single"/>
        </w:rPr>
        <w:t xml:space="preserve">INTERIM </w:t>
      </w:r>
      <w:r w:rsidR="008D798E" w:rsidRPr="00101496">
        <w:rPr>
          <w:b/>
          <w:u w:val="single"/>
        </w:rPr>
        <w:t xml:space="preserve">ORDER </w:t>
      </w:r>
    </w:p>
    <w:p w:rsidR="000E2207" w:rsidRPr="00101496" w:rsidRDefault="000E2207" w:rsidP="000E2207">
      <w:pPr>
        <w:jc w:val="center"/>
        <w:rPr>
          <w:b/>
          <w:u w:val="single"/>
        </w:rPr>
      </w:pPr>
      <w:r w:rsidRPr="00101496">
        <w:rPr>
          <w:b/>
          <w:u w:val="single"/>
        </w:rPr>
        <w:t xml:space="preserve">GRANTING RESPONDENT’S REQUEST FOR </w:t>
      </w:r>
    </w:p>
    <w:p w:rsidR="000E2207" w:rsidRPr="00101496" w:rsidRDefault="000E2207" w:rsidP="000E2207">
      <w:pPr>
        <w:jc w:val="center"/>
        <w:rPr>
          <w:b/>
          <w:u w:val="single"/>
        </w:rPr>
      </w:pPr>
      <w:r w:rsidRPr="00101496">
        <w:rPr>
          <w:b/>
          <w:u w:val="single"/>
        </w:rPr>
        <w:t>CONTINUANCE OF HEARING</w:t>
      </w:r>
    </w:p>
    <w:p w:rsidR="000E2207" w:rsidRPr="00101496" w:rsidRDefault="000E2207" w:rsidP="00451017">
      <w:pPr>
        <w:jc w:val="center"/>
        <w:rPr>
          <w:b/>
          <w:u w:val="single"/>
        </w:rPr>
      </w:pPr>
    </w:p>
    <w:p w:rsidR="005E1066" w:rsidRPr="00101496" w:rsidRDefault="005E1066" w:rsidP="00600548">
      <w:pPr>
        <w:jc w:val="center"/>
      </w:pPr>
    </w:p>
    <w:p w:rsidR="005E1066" w:rsidRPr="00101496" w:rsidRDefault="005E1066" w:rsidP="00600548">
      <w:pPr>
        <w:jc w:val="center"/>
      </w:pPr>
      <w:r w:rsidRPr="00101496">
        <w:t>Before</w:t>
      </w:r>
    </w:p>
    <w:p w:rsidR="005E1066" w:rsidRPr="00101496" w:rsidRDefault="005E1066" w:rsidP="00600548">
      <w:pPr>
        <w:jc w:val="center"/>
      </w:pPr>
      <w:r w:rsidRPr="00101496">
        <w:t xml:space="preserve">Tiffany </w:t>
      </w:r>
      <w:r w:rsidR="00350408">
        <w:t>L. Tran</w:t>
      </w:r>
    </w:p>
    <w:p w:rsidR="005E1066" w:rsidRPr="00101496" w:rsidRDefault="005E1066" w:rsidP="00600548">
      <w:pPr>
        <w:jc w:val="center"/>
      </w:pPr>
      <w:r w:rsidRPr="00101496">
        <w:t>Special Agent</w:t>
      </w:r>
    </w:p>
    <w:p w:rsidR="005E1066" w:rsidRDefault="005E1066" w:rsidP="00CA379D">
      <w:pPr>
        <w:jc w:val="center"/>
      </w:pPr>
    </w:p>
    <w:p w:rsidR="00CA379D" w:rsidRPr="00101496" w:rsidRDefault="00CA379D" w:rsidP="00CA379D">
      <w:pPr>
        <w:jc w:val="center"/>
      </w:pPr>
    </w:p>
    <w:p w:rsidR="005E1066" w:rsidRDefault="006D4502" w:rsidP="00CA379D">
      <w:pPr>
        <w:spacing w:line="360" w:lineRule="auto"/>
        <w:jc w:val="center"/>
        <w:rPr>
          <w:u w:val="single"/>
        </w:rPr>
      </w:pPr>
      <w:r>
        <w:rPr>
          <w:u w:val="single"/>
        </w:rPr>
        <w:t>HISTORY OF TH</w:t>
      </w:r>
      <w:r w:rsidR="005E1066" w:rsidRPr="00101496">
        <w:rPr>
          <w:u w:val="single"/>
        </w:rPr>
        <w:t>E PROCEEDING</w:t>
      </w:r>
    </w:p>
    <w:p w:rsidR="005E1066" w:rsidRPr="00713B3F" w:rsidRDefault="005E1066" w:rsidP="00CA379D">
      <w:pPr>
        <w:spacing w:line="360" w:lineRule="auto"/>
        <w:rPr>
          <w:color w:val="000000" w:themeColor="text1"/>
        </w:rPr>
      </w:pPr>
    </w:p>
    <w:p w:rsidR="008D798E" w:rsidRPr="00372489" w:rsidRDefault="008D798E" w:rsidP="00CA379D">
      <w:pPr>
        <w:tabs>
          <w:tab w:val="num" w:pos="2160"/>
        </w:tabs>
        <w:spacing w:line="360" w:lineRule="auto"/>
        <w:ind w:firstLine="1440"/>
        <w:rPr>
          <w:color w:val="000000" w:themeColor="text1"/>
        </w:rPr>
      </w:pPr>
      <w:r w:rsidRPr="00713B3F">
        <w:rPr>
          <w:color w:val="000000" w:themeColor="text1"/>
        </w:rPr>
        <w:t>By</w:t>
      </w:r>
      <w:r w:rsidR="00F72956" w:rsidRPr="00713B3F">
        <w:rPr>
          <w:color w:val="000000" w:themeColor="text1"/>
        </w:rPr>
        <w:t xml:space="preserve"> Telephone Hearing Notice dated </w:t>
      </w:r>
      <w:r w:rsidR="00021030">
        <w:rPr>
          <w:color w:val="000000" w:themeColor="text1"/>
        </w:rPr>
        <w:t>August 8</w:t>
      </w:r>
      <w:r w:rsidR="00713B3F" w:rsidRPr="00713B3F">
        <w:rPr>
          <w:color w:val="000000" w:themeColor="text1"/>
        </w:rPr>
        <w:t>, 2016</w:t>
      </w:r>
      <w:r w:rsidR="00451017" w:rsidRPr="00713B3F">
        <w:rPr>
          <w:color w:val="000000" w:themeColor="text1"/>
        </w:rPr>
        <w:t>, the above-captioned case was assigne</w:t>
      </w:r>
      <w:r w:rsidR="006D57E4" w:rsidRPr="00713B3F">
        <w:rPr>
          <w:color w:val="000000" w:themeColor="text1"/>
        </w:rPr>
        <w:t>d to me and an Initial Telephonic</w:t>
      </w:r>
      <w:r w:rsidR="00451017" w:rsidRPr="00713B3F">
        <w:rPr>
          <w:color w:val="000000" w:themeColor="text1"/>
        </w:rPr>
        <w:t xml:space="preserve"> Hearing was scheduled for </w:t>
      </w:r>
      <w:r w:rsidR="00713B3F" w:rsidRPr="00713B3F">
        <w:rPr>
          <w:color w:val="000000" w:themeColor="text1"/>
        </w:rPr>
        <w:t>T</w:t>
      </w:r>
      <w:r w:rsidR="00021030">
        <w:rPr>
          <w:color w:val="000000" w:themeColor="text1"/>
        </w:rPr>
        <w:t>uesday</w:t>
      </w:r>
      <w:r w:rsidR="00F72956" w:rsidRPr="00713B3F">
        <w:rPr>
          <w:color w:val="000000" w:themeColor="text1"/>
        </w:rPr>
        <w:t xml:space="preserve">, </w:t>
      </w:r>
      <w:r w:rsidR="00021030">
        <w:rPr>
          <w:color w:val="000000" w:themeColor="text1"/>
        </w:rPr>
        <w:t>October 4</w:t>
      </w:r>
      <w:r w:rsidR="00F72956" w:rsidRPr="00713B3F">
        <w:rPr>
          <w:color w:val="000000" w:themeColor="text1"/>
        </w:rPr>
        <w:t>, 2016</w:t>
      </w:r>
      <w:r w:rsidR="008E2A71" w:rsidRPr="00713B3F">
        <w:rPr>
          <w:color w:val="000000" w:themeColor="text1"/>
        </w:rPr>
        <w:t>, at 1</w:t>
      </w:r>
      <w:r w:rsidR="00796D34" w:rsidRPr="00713B3F">
        <w:rPr>
          <w:color w:val="000000" w:themeColor="text1"/>
        </w:rPr>
        <w:t>0:0</w:t>
      </w:r>
      <w:r w:rsidR="008E2A71" w:rsidRPr="00713B3F">
        <w:rPr>
          <w:color w:val="000000" w:themeColor="text1"/>
        </w:rPr>
        <w:t xml:space="preserve">0 </w:t>
      </w:r>
      <w:r w:rsidR="00796D34" w:rsidRPr="00713B3F">
        <w:rPr>
          <w:color w:val="000000" w:themeColor="text1"/>
        </w:rPr>
        <w:t>a</w:t>
      </w:r>
      <w:r w:rsidR="00451017" w:rsidRPr="00713B3F">
        <w:rPr>
          <w:color w:val="000000" w:themeColor="text1"/>
        </w:rPr>
        <w:t>.m.</w:t>
      </w:r>
    </w:p>
    <w:p w:rsidR="00451017" w:rsidRPr="00372489" w:rsidRDefault="00451017" w:rsidP="006D4502">
      <w:pPr>
        <w:tabs>
          <w:tab w:val="num" w:pos="2160"/>
        </w:tabs>
        <w:spacing w:line="360" w:lineRule="auto"/>
        <w:ind w:firstLine="1440"/>
        <w:rPr>
          <w:color w:val="000000" w:themeColor="text1"/>
        </w:rPr>
      </w:pPr>
    </w:p>
    <w:p w:rsidR="00643EB5" w:rsidRDefault="00247F37" w:rsidP="00101496">
      <w:pPr>
        <w:tabs>
          <w:tab w:val="num" w:pos="2160"/>
        </w:tabs>
        <w:spacing w:line="360" w:lineRule="auto"/>
        <w:ind w:firstLine="1440"/>
        <w:rPr>
          <w:color w:val="000000" w:themeColor="text1"/>
        </w:rPr>
      </w:pPr>
      <w:r w:rsidRPr="00372489">
        <w:rPr>
          <w:color w:val="000000" w:themeColor="text1"/>
        </w:rPr>
        <w:t xml:space="preserve">On </w:t>
      </w:r>
      <w:r w:rsidR="00D91BCF">
        <w:rPr>
          <w:color w:val="000000" w:themeColor="text1"/>
        </w:rPr>
        <w:t>September 30</w:t>
      </w:r>
      <w:r w:rsidR="00021030">
        <w:rPr>
          <w:color w:val="000000" w:themeColor="text1"/>
        </w:rPr>
        <w:t>, 2016</w:t>
      </w:r>
      <w:r w:rsidR="00451017" w:rsidRPr="00372489">
        <w:rPr>
          <w:color w:val="000000" w:themeColor="text1"/>
        </w:rPr>
        <w:t xml:space="preserve">, </w:t>
      </w:r>
      <w:r w:rsidR="00904BE4" w:rsidRPr="00372489">
        <w:rPr>
          <w:color w:val="000000" w:themeColor="text1"/>
        </w:rPr>
        <w:t>Respondent</w:t>
      </w:r>
      <w:r w:rsidR="00021030">
        <w:rPr>
          <w:color w:val="000000" w:themeColor="text1"/>
        </w:rPr>
        <w:t xml:space="preserve">’s counsel, Graciela </w:t>
      </w:r>
      <w:proofErr w:type="spellStart"/>
      <w:r w:rsidR="00021030">
        <w:rPr>
          <w:color w:val="000000" w:themeColor="text1"/>
        </w:rPr>
        <w:t>Christlieb</w:t>
      </w:r>
      <w:proofErr w:type="spellEnd"/>
      <w:r w:rsidR="00021030">
        <w:rPr>
          <w:color w:val="000000" w:themeColor="text1"/>
        </w:rPr>
        <w:t>, Esquire,</w:t>
      </w:r>
      <w:r w:rsidR="00796D34" w:rsidRPr="00372489">
        <w:rPr>
          <w:color w:val="000000" w:themeColor="text1"/>
        </w:rPr>
        <w:t xml:space="preserve"> </w:t>
      </w:r>
      <w:r w:rsidR="00021030">
        <w:rPr>
          <w:color w:val="000000" w:themeColor="text1"/>
        </w:rPr>
        <w:t xml:space="preserve">contacted me by telephone and </w:t>
      </w:r>
      <w:r w:rsidR="00E07E31" w:rsidRPr="00372489">
        <w:rPr>
          <w:color w:val="000000" w:themeColor="text1"/>
        </w:rPr>
        <w:t xml:space="preserve">requested </w:t>
      </w:r>
      <w:r w:rsidR="00BB356A" w:rsidRPr="00372489">
        <w:rPr>
          <w:color w:val="000000" w:themeColor="text1"/>
        </w:rPr>
        <w:t>the</w:t>
      </w:r>
      <w:r w:rsidR="00F72956" w:rsidRPr="00372489">
        <w:rPr>
          <w:color w:val="000000" w:themeColor="text1"/>
        </w:rPr>
        <w:t xml:space="preserve"> Initial Telephonic Hearing be</w:t>
      </w:r>
      <w:r w:rsidR="00BB356A" w:rsidRPr="00372489">
        <w:rPr>
          <w:color w:val="000000" w:themeColor="text1"/>
        </w:rPr>
        <w:t xml:space="preserve"> </w:t>
      </w:r>
      <w:r w:rsidR="00372489" w:rsidRPr="00372489">
        <w:rPr>
          <w:color w:val="000000" w:themeColor="text1"/>
        </w:rPr>
        <w:t xml:space="preserve">continued and </w:t>
      </w:r>
      <w:r w:rsidR="00BB356A" w:rsidRPr="00372489">
        <w:rPr>
          <w:color w:val="000000" w:themeColor="text1"/>
        </w:rPr>
        <w:t>rescheduled</w:t>
      </w:r>
      <w:r w:rsidR="00021030">
        <w:rPr>
          <w:color w:val="000000" w:themeColor="text1"/>
        </w:rPr>
        <w:t xml:space="preserve">.  Attorney </w:t>
      </w:r>
      <w:proofErr w:type="spellStart"/>
      <w:r w:rsidR="00021030">
        <w:rPr>
          <w:color w:val="000000" w:themeColor="text1"/>
        </w:rPr>
        <w:t>Christlieb</w:t>
      </w:r>
      <w:proofErr w:type="spellEnd"/>
      <w:r w:rsidR="00021030">
        <w:rPr>
          <w:color w:val="000000" w:themeColor="text1"/>
        </w:rPr>
        <w:t xml:space="preserve"> cited a subpoena</w:t>
      </w:r>
      <w:r w:rsidR="00643EB5">
        <w:rPr>
          <w:color w:val="000000" w:themeColor="text1"/>
        </w:rPr>
        <w:t>, which</w:t>
      </w:r>
      <w:r w:rsidR="00021030">
        <w:rPr>
          <w:color w:val="000000" w:themeColor="text1"/>
        </w:rPr>
        <w:t xml:space="preserve"> she had received on September </w:t>
      </w:r>
      <w:r w:rsidR="00D91BCF">
        <w:rPr>
          <w:color w:val="000000" w:themeColor="text1"/>
        </w:rPr>
        <w:t>29</w:t>
      </w:r>
      <w:r w:rsidR="00021030">
        <w:rPr>
          <w:color w:val="000000" w:themeColor="text1"/>
        </w:rPr>
        <w:t>, 2016, directing her to appear as a witness in a proceeding before the Philadelphia Municipal Court at</w:t>
      </w:r>
      <w:r w:rsidR="006C427F">
        <w:rPr>
          <w:color w:val="000000" w:themeColor="text1"/>
        </w:rPr>
        <w:t xml:space="preserve"> 9:00 a.m. on October 4, 2016, as the reason for her continuance request.</w:t>
      </w:r>
    </w:p>
    <w:p w:rsidR="00643EB5" w:rsidRDefault="00643EB5" w:rsidP="00101496">
      <w:pPr>
        <w:tabs>
          <w:tab w:val="num" w:pos="2160"/>
        </w:tabs>
        <w:spacing w:line="360" w:lineRule="auto"/>
        <w:ind w:firstLine="1440"/>
        <w:rPr>
          <w:color w:val="000000" w:themeColor="text1"/>
        </w:rPr>
      </w:pPr>
    </w:p>
    <w:p w:rsidR="00643EB5" w:rsidRDefault="00021030" w:rsidP="00101496">
      <w:pPr>
        <w:tabs>
          <w:tab w:val="num" w:pos="2160"/>
        </w:tabs>
        <w:spacing w:line="360" w:lineRule="auto"/>
        <w:ind w:firstLine="1440"/>
        <w:rPr>
          <w:color w:val="000000" w:themeColor="text1"/>
        </w:rPr>
      </w:pPr>
      <w:r>
        <w:rPr>
          <w:color w:val="000000" w:themeColor="text1"/>
        </w:rPr>
        <w:t xml:space="preserve">Attorney </w:t>
      </w:r>
      <w:proofErr w:type="spellStart"/>
      <w:r>
        <w:rPr>
          <w:color w:val="000000" w:themeColor="text1"/>
        </w:rPr>
        <w:t>Christlieb</w:t>
      </w:r>
      <w:proofErr w:type="spellEnd"/>
      <w:r>
        <w:rPr>
          <w:color w:val="000000" w:themeColor="text1"/>
        </w:rPr>
        <w:t xml:space="preserve"> </w:t>
      </w:r>
      <w:r w:rsidR="00643EB5">
        <w:rPr>
          <w:color w:val="000000" w:themeColor="text1"/>
        </w:rPr>
        <w:t>represente</w:t>
      </w:r>
      <w:r>
        <w:rPr>
          <w:color w:val="000000" w:themeColor="text1"/>
        </w:rPr>
        <w:t xml:space="preserve">d that she </w:t>
      </w:r>
      <w:r w:rsidR="006C427F">
        <w:rPr>
          <w:color w:val="000000" w:themeColor="text1"/>
        </w:rPr>
        <w:t xml:space="preserve">left a voicemail </w:t>
      </w:r>
      <w:r>
        <w:rPr>
          <w:color w:val="000000" w:themeColor="text1"/>
        </w:rPr>
        <w:t xml:space="preserve">with the Complainant, Alan Serge, on September </w:t>
      </w:r>
      <w:r w:rsidR="00D91BCF">
        <w:rPr>
          <w:color w:val="000000" w:themeColor="text1"/>
        </w:rPr>
        <w:t>29</w:t>
      </w:r>
      <w:r>
        <w:rPr>
          <w:color w:val="000000" w:themeColor="text1"/>
        </w:rPr>
        <w:t>, 2016, informing him of her request for a continuance but had not heard back from him regarding whether he had any objection to the request.</w:t>
      </w:r>
      <w:r w:rsidR="00643EB5">
        <w:rPr>
          <w:color w:val="000000" w:themeColor="text1"/>
        </w:rPr>
        <w:t xml:space="preserve">  Attorney </w:t>
      </w:r>
      <w:proofErr w:type="spellStart"/>
      <w:r w:rsidR="00643EB5">
        <w:rPr>
          <w:color w:val="000000" w:themeColor="text1"/>
        </w:rPr>
        <w:t>Christlieb</w:t>
      </w:r>
      <w:proofErr w:type="spellEnd"/>
      <w:r w:rsidR="00643EB5">
        <w:rPr>
          <w:color w:val="000000" w:themeColor="text1"/>
        </w:rPr>
        <w:t xml:space="preserve"> indicated that she was sending a copy of the continuance request and subpoena to the </w:t>
      </w:r>
      <w:r w:rsidR="00643EB5">
        <w:rPr>
          <w:color w:val="000000" w:themeColor="text1"/>
        </w:rPr>
        <w:lastRenderedPageBreak/>
        <w:t xml:space="preserve">Complainant via overnight express mail, and would likewise provide me with a copy of the request and subpoena, which I received via email on </w:t>
      </w:r>
      <w:r w:rsidR="00D91BCF">
        <w:rPr>
          <w:color w:val="000000" w:themeColor="text1"/>
        </w:rPr>
        <w:t>September 30</w:t>
      </w:r>
      <w:r w:rsidR="00643EB5">
        <w:rPr>
          <w:color w:val="000000" w:themeColor="text1"/>
        </w:rPr>
        <w:t xml:space="preserve">, 2016.  </w:t>
      </w:r>
    </w:p>
    <w:p w:rsidR="00643EB5" w:rsidRDefault="00643EB5" w:rsidP="00101496">
      <w:pPr>
        <w:tabs>
          <w:tab w:val="num" w:pos="2160"/>
        </w:tabs>
        <w:spacing w:line="360" w:lineRule="auto"/>
        <w:ind w:firstLine="1440"/>
        <w:rPr>
          <w:color w:val="000000" w:themeColor="text1"/>
        </w:rPr>
      </w:pPr>
    </w:p>
    <w:p w:rsidR="00F63800" w:rsidRPr="00372489" w:rsidRDefault="006C427F" w:rsidP="00101496">
      <w:pPr>
        <w:tabs>
          <w:tab w:val="num" w:pos="2160"/>
        </w:tabs>
        <w:spacing w:line="360" w:lineRule="auto"/>
        <w:ind w:firstLine="1440"/>
        <w:rPr>
          <w:color w:val="000000" w:themeColor="text1"/>
        </w:rPr>
      </w:pPr>
      <w:r>
        <w:rPr>
          <w:color w:val="000000" w:themeColor="text1"/>
        </w:rPr>
        <w:t>Also</w:t>
      </w:r>
      <w:r w:rsidR="00643EB5">
        <w:rPr>
          <w:color w:val="000000" w:themeColor="text1"/>
        </w:rPr>
        <w:t xml:space="preserve"> on </w:t>
      </w:r>
      <w:r w:rsidR="00D91BCF">
        <w:rPr>
          <w:color w:val="000000" w:themeColor="text1"/>
        </w:rPr>
        <w:t>September 30</w:t>
      </w:r>
      <w:r w:rsidR="00643EB5">
        <w:rPr>
          <w:color w:val="000000" w:themeColor="text1"/>
        </w:rPr>
        <w:t>, 2016, Kimberly Hafner, Esquire, the Legal Division Supervisor of the Office of Administrative Law Judge (OALJ), called the Complainant to ascertain if he had any objection to the continuance request and left a voicemail detailing the reason for her call and instructions on how to contact OALJ to communicate his response to the continuance request.</w:t>
      </w:r>
    </w:p>
    <w:p w:rsidR="00F72956" w:rsidRPr="00CD44D8" w:rsidRDefault="00F72956" w:rsidP="00101496">
      <w:pPr>
        <w:tabs>
          <w:tab w:val="num" w:pos="2160"/>
        </w:tabs>
        <w:spacing w:line="360" w:lineRule="auto"/>
        <w:ind w:firstLine="1440"/>
        <w:rPr>
          <w:color w:val="000000" w:themeColor="text1"/>
        </w:rPr>
      </w:pPr>
    </w:p>
    <w:p w:rsidR="00700AB6" w:rsidRDefault="00650860" w:rsidP="00101496">
      <w:pPr>
        <w:tabs>
          <w:tab w:val="num" w:pos="2160"/>
        </w:tabs>
        <w:spacing w:line="360" w:lineRule="auto"/>
        <w:ind w:firstLine="1440"/>
        <w:rPr>
          <w:color w:val="000000" w:themeColor="text1"/>
        </w:rPr>
      </w:pPr>
      <w:r>
        <w:rPr>
          <w:color w:val="000000" w:themeColor="text1"/>
        </w:rPr>
        <w:t xml:space="preserve">As of the </w:t>
      </w:r>
      <w:r w:rsidR="00643EB5">
        <w:rPr>
          <w:color w:val="000000" w:themeColor="text1"/>
        </w:rPr>
        <w:t xml:space="preserve">morning of October 3, 2016, OALJ had received no communication from the Complainant in response to the continuance request.  I called Attorney </w:t>
      </w:r>
      <w:proofErr w:type="spellStart"/>
      <w:r w:rsidR="00643EB5">
        <w:rPr>
          <w:color w:val="000000" w:themeColor="text1"/>
        </w:rPr>
        <w:t>Christlieb</w:t>
      </w:r>
      <w:proofErr w:type="spellEnd"/>
      <w:r w:rsidR="00643EB5">
        <w:rPr>
          <w:color w:val="000000" w:themeColor="text1"/>
        </w:rPr>
        <w:t xml:space="preserve"> to see whether the Complainant had contac</w:t>
      </w:r>
      <w:r w:rsidR="006C427F">
        <w:rPr>
          <w:color w:val="000000" w:themeColor="text1"/>
        </w:rPr>
        <w:t>ted her since she left a voice</w:t>
      </w:r>
      <w:r w:rsidR="00643EB5">
        <w:rPr>
          <w:color w:val="000000" w:themeColor="text1"/>
        </w:rPr>
        <w:t xml:space="preserve">mail on September </w:t>
      </w:r>
      <w:r w:rsidR="00B53C6F">
        <w:rPr>
          <w:color w:val="000000" w:themeColor="text1"/>
        </w:rPr>
        <w:t>29</w:t>
      </w:r>
      <w:r w:rsidR="00643EB5">
        <w:rPr>
          <w:color w:val="000000" w:themeColor="text1"/>
        </w:rPr>
        <w:t xml:space="preserve">, 2016.  Attorney </w:t>
      </w:r>
      <w:proofErr w:type="spellStart"/>
      <w:r w:rsidR="00643EB5">
        <w:rPr>
          <w:color w:val="000000" w:themeColor="text1"/>
        </w:rPr>
        <w:t>Christlieb</w:t>
      </w:r>
      <w:proofErr w:type="spellEnd"/>
      <w:r w:rsidR="00643EB5">
        <w:rPr>
          <w:color w:val="000000" w:themeColor="text1"/>
        </w:rPr>
        <w:t xml:space="preserve"> indicated that she had heard nothing further from the Complainant. </w:t>
      </w:r>
      <w:r>
        <w:rPr>
          <w:color w:val="000000" w:themeColor="text1"/>
        </w:rPr>
        <w:t xml:space="preserve"> </w:t>
      </w:r>
    </w:p>
    <w:p w:rsidR="00643EB5" w:rsidRPr="008D31F4" w:rsidRDefault="00643EB5" w:rsidP="00101496">
      <w:pPr>
        <w:tabs>
          <w:tab w:val="num" w:pos="2160"/>
        </w:tabs>
        <w:spacing w:line="360" w:lineRule="auto"/>
        <w:ind w:firstLine="1440"/>
        <w:rPr>
          <w:color w:val="000000" w:themeColor="text1"/>
        </w:rPr>
      </w:pPr>
    </w:p>
    <w:p w:rsidR="00643EB5" w:rsidRDefault="00E14244" w:rsidP="00E14244">
      <w:pPr>
        <w:tabs>
          <w:tab w:val="num" w:pos="2160"/>
        </w:tabs>
        <w:spacing w:line="360" w:lineRule="auto"/>
        <w:ind w:firstLine="1440"/>
        <w:rPr>
          <w:color w:val="000000" w:themeColor="text1"/>
        </w:rPr>
      </w:pPr>
      <w:r w:rsidRPr="008D31F4">
        <w:rPr>
          <w:color w:val="000000" w:themeColor="text1"/>
        </w:rPr>
        <w:t>The Commission’s Rules of Administrative Practice and Procedure at 52 Pa. Code § 1.15(b) state that, “Only for good cause shown will requests for continuance be consider</w:t>
      </w:r>
      <w:r w:rsidR="00643EB5">
        <w:rPr>
          <w:color w:val="000000" w:themeColor="text1"/>
        </w:rPr>
        <w:t xml:space="preserve">ed.” </w:t>
      </w:r>
    </w:p>
    <w:p w:rsidR="00643EB5" w:rsidRDefault="00643EB5" w:rsidP="00E14244">
      <w:pPr>
        <w:tabs>
          <w:tab w:val="num" w:pos="2160"/>
        </w:tabs>
        <w:spacing w:line="360" w:lineRule="auto"/>
        <w:ind w:firstLine="1440"/>
        <w:rPr>
          <w:color w:val="000000" w:themeColor="text1"/>
        </w:rPr>
      </w:pPr>
    </w:p>
    <w:p w:rsidR="003D481A" w:rsidRDefault="006C427F" w:rsidP="00E14244">
      <w:pPr>
        <w:tabs>
          <w:tab w:val="num" w:pos="2160"/>
        </w:tabs>
        <w:spacing w:line="360" w:lineRule="auto"/>
        <w:ind w:firstLine="1440"/>
        <w:rPr>
          <w:color w:val="000000" w:themeColor="text1"/>
        </w:rPr>
      </w:pPr>
      <w:r>
        <w:rPr>
          <w:color w:val="000000" w:themeColor="text1"/>
        </w:rPr>
        <w:t xml:space="preserve">Respondent’s counsel will be unavailable for the scheduled hearing on October 4, 2016, due </w:t>
      </w:r>
      <w:r w:rsidR="003D481A">
        <w:rPr>
          <w:color w:val="000000" w:themeColor="text1"/>
        </w:rPr>
        <w:t>to her being the subject of a</w:t>
      </w:r>
      <w:r>
        <w:rPr>
          <w:color w:val="000000" w:themeColor="text1"/>
        </w:rPr>
        <w:t xml:space="preserve"> subpoena</w:t>
      </w:r>
      <w:r w:rsidR="003D481A">
        <w:rPr>
          <w:color w:val="000000" w:themeColor="text1"/>
        </w:rPr>
        <w:t xml:space="preserve"> which conflicts with the scheduled hearing</w:t>
      </w:r>
      <w:r>
        <w:rPr>
          <w:color w:val="000000" w:themeColor="text1"/>
        </w:rPr>
        <w:t xml:space="preserve">.  </w:t>
      </w:r>
      <w:r w:rsidR="003D481A">
        <w:rPr>
          <w:color w:val="000000" w:themeColor="text1"/>
        </w:rPr>
        <w:t>Both Respondent’s counsel and OALJ attempted to contact the Complainant</w:t>
      </w:r>
      <w:r w:rsidR="00F73F79">
        <w:rPr>
          <w:color w:val="000000" w:themeColor="text1"/>
        </w:rPr>
        <w:t xml:space="preserve"> and left voicemails </w:t>
      </w:r>
      <w:r w:rsidR="003D481A">
        <w:rPr>
          <w:color w:val="000000" w:themeColor="text1"/>
        </w:rPr>
        <w:t>requesting a return call at least three days in advance of the scheduled hearing to determine whether he had any objection to the continuance request</w:t>
      </w:r>
      <w:r w:rsidR="00B10640">
        <w:rPr>
          <w:color w:val="000000" w:themeColor="text1"/>
        </w:rPr>
        <w:t>.  There has been no response.</w:t>
      </w:r>
      <w:r w:rsidR="003D481A">
        <w:rPr>
          <w:color w:val="000000" w:themeColor="text1"/>
        </w:rPr>
        <w:t xml:space="preserve">  </w:t>
      </w:r>
    </w:p>
    <w:p w:rsidR="003D481A" w:rsidRDefault="003D481A" w:rsidP="00E14244">
      <w:pPr>
        <w:tabs>
          <w:tab w:val="num" w:pos="2160"/>
        </w:tabs>
        <w:spacing w:line="360" w:lineRule="auto"/>
        <w:ind w:firstLine="1440"/>
        <w:rPr>
          <w:color w:val="000000" w:themeColor="text1"/>
        </w:rPr>
      </w:pPr>
    </w:p>
    <w:p w:rsidR="006C427F" w:rsidRDefault="00E14244" w:rsidP="00E14244">
      <w:pPr>
        <w:tabs>
          <w:tab w:val="num" w:pos="2160"/>
        </w:tabs>
        <w:spacing w:line="360" w:lineRule="auto"/>
        <w:ind w:firstLine="1440"/>
        <w:rPr>
          <w:color w:val="000000" w:themeColor="text1"/>
        </w:rPr>
      </w:pPr>
      <w:r w:rsidRPr="008D31F4">
        <w:rPr>
          <w:color w:val="000000" w:themeColor="text1"/>
        </w:rPr>
        <w:t xml:space="preserve">This is the first continuance requested by either party in this matter.  </w:t>
      </w:r>
      <w:r w:rsidR="006C427F" w:rsidRPr="008D31F4">
        <w:rPr>
          <w:color w:val="000000" w:themeColor="text1"/>
        </w:rPr>
        <w:t xml:space="preserve">In this case, Respondent’s request for a continuance was </w:t>
      </w:r>
      <w:r w:rsidR="006C427F">
        <w:rPr>
          <w:color w:val="000000" w:themeColor="text1"/>
        </w:rPr>
        <w:t xml:space="preserve">not </w:t>
      </w:r>
      <w:r w:rsidR="006C427F" w:rsidRPr="008D31F4">
        <w:rPr>
          <w:color w:val="000000" w:themeColor="text1"/>
        </w:rPr>
        <w:t xml:space="preserve">submitted in writing more than five (5) days prior to the hearing.  </w:t>
      </w:r>
      <w:r w:rsidR="006C427F">
        <w:rPr>
          <w:color w:val="000000" w:themeColor="text1"/>
        </w:rPr>
        <w:t>However, due to the short notice Respondent’s counsel received of the subpoena requiring her presence at the Philadelphia Municipal Court</w:t>
      </w:r>
      <w:r w:rsidR="004B1C5F">
        <w:rPr>
          <w:color w:val="000000" w:themeColor="text1"/>
        </w:rPr>
        <w:t xml:space="preserve"> on </w:t>
      </w:r>
      <w:r w:rsidR="006C427F">
        <w:rPr>
          <w:color w:val="000000" w:themeColor="text1"/>
        </w:rPr>
        <w:t xml:space="preserve">the same morning of the scheduled hearing in this matter, </w:t>
      </w:r>
      <w:r w:rsidR="006C427F" w:rsidRPr="006C427F">
        <w:rPr>
          <w:color w:val="000000" w:themeColor="text1"/>
        </w:rPr>
        <w:t xml:space="preserve">I </w:t>
      </w:r>
      <w:r w:rsidR="006C427F">
        <w:rPr>
          <w:color w:val="000000" w:themeColor="text1"/>
        </w:rPr>
        <w:t>will</w:t>
      </w:r>
      <w:r w:rsidR="006C427F" w:rsidRPr="006C427F">
        <w:rPr>
          <w:color w:val="000000" w:themeColor="text1"/>
        </w:rPr>
        <w:t xml:space="preserve"> continue the hearing pursuant to my authority as a presiding officer per the regulation at 52 Pa. Code  § 5.483(a).  </w:t>
      </w:r>
    </w:p>
    <w:p w:rsidR="006C427F" w:rsidRDefault="006C427F" w:rsidP="00E14244">
      <w:pPr>
        <w:tabs>
          <w:tab w:val="num" w:pos="2160"/>
        </w:tabs>
        <w:spacing w:line="360" w:lineRule="auto"/>
        <w:ind w:firstLine="1440"/>
        <w:rPr>
          <w:color w:val="000000" w:themeColor="text1"/>
        </w:rPr>
      </w:pPr>
    </w:p>
    <w:p w:rsidR="00E14244" w:rsidRPr="008D31F4" w:rsidRDefault="006C427F" w:rsidP="00E14244">
      <w:pPr>
        <w:tabs>
          <w:tab w:val="num" w:pos="2160"/>
        </w:tabs>
        <w:spacing w:line="360" w:lineRule="auto"/>
        <w:ind w:firstLine="1440"/>
        <w:rPr>
          <w:color w:val="000000" w:themeColor="text1"/>
        </w:rPr>
      </w:pPr>
      <w:r>
        <w:rPr>
          <w:color w:val="000000" w:themeColor="text1"/>
        </w:rPr>
        <w:lastRenderedPageBreak/>
        <w:t xml:space="preserve">Therefore, </w:t>
      </w:r>
      <w:r w:rsidRPr="008D31F4">
        <w:rPr>
          <w:color w:val="000000" w:themeColor="text1"/>
        </w:rPr>
        <w:t xml:space="preserve">I conclude that </w:t>
      </w:r>
      <w:r>
        <w:rPr>
          <w:color w:val="000000" w:themeColor="text1"/>
        </w:rPr>
        <w:t xml:space="preserve">the Complainant has had </w:t>
      </w:r>
      <w:r w:rsidR="00166631">
        <w:rPr>
          <w:color w:val="000000" w:themeColor="text1"/>
        </w:rPr>
        <w:t>sufficient</w:t>
      </w:r>
      <w:r>
        <w:rPr>
          <w:color w:val="000000" w:themeColor="text1"/>
        </w:rPr>
        <w:t xml:space="preserve"> opportunity to voice any objection to the continuance request, and that the </w:t>
      </w:r>
      <w:r w:rsidRPr="008D31F4">
        <w:rPr>
          <w:color w:val="000000" w:themeColor="text1"/>
        </w:rPr>
        <w:t xml:space="preserve">Respondent has shown good cause for requesting a continuance.  </w:t>
      </w:r>
    </w:p>
    <w:p w:rsidR="00E14244" w:rsidRPr="008D31F4" w:rsidRDefault="00E14244" w:rsidP="00E14244">
      <w:pPr>
        <w:tabs>
          <w:tab w:val="num" w:pos="2160"/>
        </w:tabs>
        <w:spacing w:line="360" w:lineRule="auto"/>
        <w:ind w:firstLine="1440"/>
        <w:rPr>
          <w:color w:val="000000" w:themeColor="text1"/>
        </w:rPr>
      </w:pPr>
    </w:p>
    <w:p w:rsidR="00E14244" w:rsidRPr="008D31F4" w:rsidRDefault="00E14244" w:rsidP="00E14244">
      <w:pPr>
        <w:spacing w:line="360" w:lineRule="auto"/>
        <w:rPr>
          <w:color w:val="000000" w:themeColor="text1"/>
        </w:rPr>
      </w:pPr>
      <w:r w:rsidRPr="008D31F4">
        <w:rPr>
          <w:color w:val="000000" w:themeColor="text1"/>
        </w:rPr>
        <w:tab/>
      </w:r>
      <w:r w:rsidRPr="008D31F4">
        <w:rPr>
          <w:color w:val="000000" w:themeColor="text1"/>
        </w:rPr>
        <w:tab/>
      </w:r>
      <w:r w:rsidR="006C427F">
        <w:rPr>
          <w:color w:val="000000" w:themeColor="text1"/>
        </w:rPr>
        <w:t xml:space="preserve">The </w:t>
      </w:r>
      <w:r w:rsidRPr="008D31F4">
        <w:rPr>
          <w:color w:val="000000" w:themeColor="text1"/>
        </w:rPr>
        <w:t xml:space="preserve">Respondent’s request for a continuance due to the unavailability of its </w:t>
      </w:r>
      <w:r w:rsidR="008D31F4" w:rsidRPr="008D31F4">
        <w:rPr>
          <w:color w:val="000000" w:themeColor="text1"/>
        </w:rPr>
        <w:t>counsel</w:t>
      </w:r>
      <w:r w:rsidRPr="008D31F4">
        <w:rPr>
          <w:color w:val="000000" w:themeColor="text1"/>
        </w:rPr>
        <w:t xml:space="preserve"> is reasonable and will be granted.</w:t>
      </w:r>
    </w:p>
    <w:p w:rsidR="00881DC7" w:rsidRDefault="00881DC7" w:rsidP="00600548">
      <w:pPr>
        <w:tabs>
          <w:tab w:val="num" w:pos="2160"/>
        </w:tabs>
        <w:spacing w:line="360" w:lineRule="auto"/>
        <w:ind w:firstLine="1440"/>
        <w:rPr>
          <w:color w:val="FF0000"/>
        </w:rPr>
      </w:pPr>
    </w:p>
    <w:p w:rsidR="00CA379D" w:rsidRDefault="00CA379D" w:rsidP="00CA379D">
      <w:pPr>
        <w:spacing w:line="360" w:lineRule="auto"/>
        <w:jc w:val="center"/>
        <w:rPr>
          <w:u w:val="single"/>
        </w:rPr>
      </w:pPr>
      <w:r w:rsidRPr="00CA379D">
        <w:rPr>
          <w:u w:val="single"/>
        </w:rPr>
        <w:t>ORDER</w:t>
      </w:r>
    </w:p>
    <w:p w:rsidR="00CA379D" w:rsidRDefault="00CA379D" w:rsidP="00CA379D">
      <w:pPr>
        <w:spacing w:line="360" w:lineRule="auto"/>
        <w:jc w:val="center"/>
        <w:rPr>
          <w:u w:val="single"/>
        </w:rPr>
      </w:pPr>
    </w:p>
    <w:p w:rsidR="00CA379D" w:rsidRPr="00CA379D" w:rsidRDefault="00CA379D" w:rsidP="00CA379D">
      <w:pPr>
        <w:spacing w:line="360" w:lineRule="auto"/>
        <w:jc w:val="center"/>
        <w:rPr>
          <w:u w:val="single"/>
        </w:rPr>
      </w:pPr>
    </w:p>
    <w:p w:rsidR="006D6E10" w:rsidRPr="00713B3F" w:rsidRDefault="006D6E10" w:rsidP="00600548">
      <w:pPr>
        <w:tabs>
          <w:tab w:val="num" w:pos="2160"/>
        </w:tabs>
        <w:spacing w:line="360" w:lineRule="auto"/>
        <w:ind w:firstLine="1440"/>
        <w:rPr>
          <w:color w:val="000000" w:themeColor="text1"/>
        </w:rPr>
      </w:pPr>
      <w:r w:rsidRPr="00713B3F">
        <w:rPr>
          <w:color w:val="000000" w:themeColor="text1"/>
        </w:rPr>
        <w:t>THEREFORE,</w:t>
      </w:r>
    </w:p>
    <w:p w:rsidR="006D6E10" w:rsidRPr="00713B3F" w:rsidRDefault="006D6E10" w:rsidP="00600548">
      <w:pPr>
        <w:tabs>
          <w:tab w:val="num" w:pos="2160"/>
        </w:tabs>
        <w:spacing w:line="360" w:lineRule="auto"/>
        <w:ind w:firstLine="1440"/>
        <w:rPr>
          <w:color w:val="000000" w:themeColor="text1"/>
        </w:rPr>
      </w:pPr>
    </w:p>
    <w:p w:rsidR="006D6E10" w:rsidRPr="00713B3F" w:rsidRDefault="006D6E10" w:rsidP="00600548">
      <w:pPr>
        <w:tabs>
          <w:tab w:val="num" w:pos="2160"/>
        </w:tabs>
        <w:spacing w:line="360" w:lineRule="auto"/>
        <w:ind w:firstLine="1440"/>
        <w:rPr>
          <w:color w:val="000000" w:themeColor="text1"/>
        </w:rPr>
      </w:pPr>
      <w:r w:rsidRPr="00713B3F">
        <w:rPr>
          <w:color w:val="000000" w:themeColor="text1"/>
        </w:rPr>
        <w:t>IT IS ORDERED:</w:t>
      </w:r>
    </w:p>
    <w:p w:rsidR="009B15CA" w:rsidRPr="00713B3F" w:rsidRDefault="009B15CA" w:rsidP="00CA379D">
      <w:pPr>
        <w:tabs>
          <w:tab w:val="num" w:pos="2160"/>
        </w:tabs>
        <w:spacing w:line="360" w:lineRule="auto"/>
        <w:ind w:firstLine="1440"/>
        <w:rPr>
          <w:color w:val="000000" w:themeColor="text1"/>
        </w:rPr>
      </w:pPr>
    </w:p>
    <w:p w:rsidR="009B15CA" w:rsidRPr="00713B3F" w:rsidRDefault="00B66E50" w:rsidP="00CA379D">
      <w:pPr>
        <w:pStyle w:val="ListParagraph"/>
        <w:tabs>
          <w:tab w:val="num" w:pos="2160"/>
        </w:tabs>
        <w:spacing w:line="360" w:lineRule="auto"/>
        <w:ind w:left="0" w:firstLine="2160"/>
        <w:rPr>
          <w:color w:val="000000" w:themeColor="text1"/>
        </w:rPr>
      </w:pPr>
      <w:r w:rsidRPr="00713B3F">
        <w:rPr>
          <w:color w:val="000000" w:themeColor="text1"/>
        </w:rPr>
        <w:t xml:space="preserve">1. </w:t>
      </w:r>
      <w:r w:rsidR="005F0860" w:rsidRPr="00713B3F">
        <w:rPr>
          <w:color w:val="000000" w:themeColor="text1"/>
        </w:rPr>
        <w:tab/>
        <w:t xml:space="preserve">That </w:t>
      </w:r>
      <w:r w:rsidR="00650860">
        <w:rPr>
          <w:color w:val="000000" w:themeColor="text1"/>
        </w:rPr>
        <w:t>Philadelphia Gas Works’</w:t>
      </w:r>
      <w:r w:rsidR="00713B3F" w:rsidRPr="00713B3F">
        <w:rPr>
          <w:color w:val="000000" w:themeColor="text1"/>
        </w:rPr>
        <w:t xml:space="preserve"> </w:t>
      </w:r>
      <w:r w:rsidR="005F0860" w:rsidRPr="00713B3F">
        <w:rPr>
          <w:color w:val="000000" w:themeColor="text1"/>
        </w:rPr>
        <w:t xml:space="preserve">request for a continuance in the matter of </w:t>
      </w:r>
      <w:r w:rsidR="00650860">
        <w:rPr>
          <w:color w:val="000000" w:themeColor="text1"/>
        </w:rPr>
        <w:t>Alan Serge</w:t>
      </w:r>
      <w:r w:rsidR="00713B3F" w:rsidRPr="00713B3F">
        <w:rPr>
          <w:color w:val="000000" w:themeColor="text1"/>
        </w:rPr>
        <w:t xml:space="preserve"> v. </w:t>
      </w:r>
      <w:r w:rsidR="00650860">
        <w:rPr>
          <w:color w:val="000000" w:themeColor="text1"/>
        </w:rPr>
        <w:t>Philadelphia Gas Works,</w:t>
      </w:r>
      <w:r w:rsidR="005F0860" w:rsidRPr="00713B3F">
        <w:rPr>
          <w:color w:val="000000" w:themeColor="text1"/>
        </w:rPr>
        <w:t xml:space="preserve"> at Docket No. </w:t>
      </w:r>
      <w:r w:rsidR="00650860" w:rsidRPr="00650860">
        <w:rPr>
          <w:color w:val="000000" w:themeColor="text1"/>
        </w:rPr>
        <w:t>F-2016-2554243</w:t>
      </w:r>
      <w:r w:rsidR="00650860">
        <w:rPr>
          <w:color w:val="000000" w:themeColor="text1"/>
        </w:rPr>
        <w:t xml:space="preserve"> </w:t>
      </w:r>
      <w:r w:rsidR="005F0860" w:rsidRPr="00713B3F">
        <w:rPr>
          <w:color w:val="000000" w:themeColor="text1"/>
        </w:rPr>
        <w:t>is granted.</w:t>
      </w:r>
    </w:p>
    <w:p w:rsidR="00451017" w:rsidRPr="00713B3F" w:rsidRDefault="00451017" w:rsidP="00CA379D">
      <w:pPr>
        <w:pStyle w:val="ListParagraph"/>
        <w:spacing w:line="360" w:lineRule="auto"/>
        <w:ind w:left="0"/>
        <w:rPr>
          <w:color w:val="000000" w:themeColor="text1"/>
        </w:rPr>
      </w:pPr>
    </w:p>
    <w:p w:rsidR="000E2207" w:rsidRPr="00713B3F" w:rsidRDefault="00B66E50" w:rsidP="00CA379D">
      <w:pPr>
        <w:pStyle w:val="ListParagraph"/>
        <w:spacing w:line="360" w:lineRule="auto"/>
        <w:ind w:left="0"/>
        <w:rPr>
          <w:color w:val="000000" w:themeColor="text1"/>
        </w:rPr>
      </w:pPr>
      <w:r w:rsidRPr="00713B3F">
        <w:rPr>
          <w:color w:val="000000" w:themeColor="text1"/>
        </w:rPr>
        <w:tab/>
      </w:r>
      <w:r w:rsidRPr="00713B3F">
        <w:rPr>
          <w:color w:val="000000" w:themeColor="text1"/>
        </w:rPr>
        <w:tab/>
      </w:r>
      <w:r w:rsidRPr="00713B3F">
        <w:rPr>
          <w:color w:val="000000" w:themeColor="text1"/>
        </w:rPr>
        <w:tab/>
        <w:t>2.</w:t>
      </w:r>
      <w:r w:rsidR="005F0860" w:rsidRPr="00713B3F">
        <w:rPr>
          <w:color w:val="000000" w:themeColor="text1"/>
        </w:rPr>
        <w:tab/>
        <w:t xml:space="preserve">That the hearing scheduled for </w:t>
      </w:r>
      <w:r w:rsidR="00650860">
        <w:rPr>
          <w:color w:val="000000" w:themeColor="text1"/>
        </w:rPr>
        <w:t>October 4, 2016,</w:t>
      </w:r>
      <w:r w:rsidR="005F0860" w:rsidRPr="00713B3F">
        <w:rPr>
          <w:color w:val="000000" w:themeColor="text1"/>
        </w:rPr>
        <w:t xml:space="preserve"> </w:t>
      </w:r>
      <w:proofErr w:type="gramStart"/>
      <w:r w:rsidR="005F0860" w:rsidRPr="00713B3F">
        <w:rPr>
          <w:color w:val="000000" w:themeColor="text1"/>
        </w:rPr>
        <w:t>be</w:t>
      </w:r>
      <w:proofErr w:type="gramEnd"/>
      <w:r w:rsidR="005F0860" w:rsidRPr="00713B3F">
        <w:rPr>
          <w:color w:val="000000" w:themeColor="text1"/>
        </w:rPr>
        <w:t xml:space="preserve"> and hereby is continued and will be rescheduled.</w:t>
      </w:r>
    </w:p>
    <w:p w:rsidR="00715EAA" w:rsidRDefault="00715EAA" w:rsidP="00CA379D">
      <w:pPr>
        <w:tabs>
          <w:tab w:val="num" w:pos="2160"/>
          <w:tab w:val="left" w:pos="5048"/>
        </w:tabs>
        <w:spacing w:line="360" w:lineRule="auto"/>
      </w:pPr>
    </w:p>
    <w:p w:rsidR="00CA379D" w:rsidRPr="00101496" w:rsidRDefault="00CA379D" w:rsidP="00CA379D">
      <w:pPr>
        <w:spacing w:line="360" w:lineRule="auto"/>
      </w:pPr>
    </w:p>
    <w:p w:rsidR="005E1066" w:rsidRPr="00CA379D" w:rsidRDefault="005E1066" w:rsidP="00CA379D">
      <w:pPr>
        <w:rPr>
          <w:u w:val="single"/>
        </w:rPr>
      </w:pPr>
      <w:r w:rsidRPr="00101496">
        <w:t xml:space="preserve">Dated: </w:t>
      </w:r>
      <w:r w:rsidR="00650860">
        <w:rPr>
          <w:u w:val="single"/>
        </w:rPr>
        <w:t>October 3</w:t>
      </w:r>
      <w:r w:rsidR="00D2037C">
        <w:rPr>
          <w:u w:val="single"/>
        </w:rPr>
        <w:t>, 2016</w:t>
      </w:r>
      <w:r w:rsidR="00CA379D">
        <w:tab/>
      </w:r>
      <w:r w:rsidR="00CA379D">
        <w:tab/>
      </w:r>
      <w:r w:rsidR="00CA379D">
        <w:tab/>
      </w:r>
      <w:r w:rsidR="00CA379D">
        <w:tab/>
      </w:r>
      <w:r w:rsidR="00CA379D">
        <w:rPr>
          <w:u w:val="single"/>
        </w:rPr>
        <w:tab/>
      </w:r>
      <w:r w:rsidR="00CA379D">
        <w:rPr>
          <w:u w:val="single"/>
        </w:rPr>
        <w:tab/>
      </w:r>
      <w:r w:rsidR="00CA379D">
        <w:rPr>
          <w:u w:val="single"/>
        </w:rPr>
        <w:tab/>
      </w:r>
      <w:r w:rsidR="00CA379D">
        <w:rPr>
          <w:u w:val="single"/>
        </w:rPr>
        <w:tab/>
      </w:r>
      <w:r w:rsidR="00CA379D">
        <w:rPr>
          <w:u w:val="single"/>
        </w:rPr>
        <w:tab/>
      </w:r>
    </w:p>
    <w:p w:rsidR="005E1066" w:rsidRPr="00101496" w:rsidRDefault="005E1066" w:rsidP="00600548">
      <w:pPr>
        <w:tabs>
          <w:tab w:val="num" w:pos="2160"/>
        </w:tabs>
      </w:pPr>
      <w:r w:rsidRPr="00101496">
        <w:tab/>
      </w:r>
      <w:r w:rsidRPr="00101496">
        <w:tab/>
      </w:r>
      <w:r w:rsidRPr="00101496">
        <w:tab/>
      </w:r>
      <w:r w:rsidRPr="00101496">
        <w:tab/>
      </w:r>
      <w:r w:rsidRPr="00101496">
        <w:tab/>
        <w:t xml:space="preserve">Tiffany </w:t>
      </w:r>
      <w:r w:rsidR="00350408">
        <w:t>L. Tran</w:t>
      </w:r>
    </w:p>
    <w:p w:rsidR="00CA379D" w:rsidRDefault="005E1066" w:rsidP="00600548">
      <w:pPr>
        <w:tabs>
          <w:tab w:val="num" w:pos="2160"/>
        </w:tabs>
        <w:sectPr w:rsidR="00CA379D"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pPr>
      <w:r w:rsidRPr="00101496">
        <w:tab/>
      </w:r>
      <w:r w:rsidRPr="00101496">
        <w:tab/>
      </w:r>
      <w:r w:rsidRPr="00101496">
        <w:tab/>
      </w:r>
      <w:r w:rsidRPr="00101496">
        <w:tab/>
      </w:r>
      <w:r w:rsidRPr="00101496">
        <w:tab/>
        <w:t>Special Agent</w:t>
      </w:r>
    </w:p>
    <w:p w:rsidR="00CA379D" w:rsidRDefault="00CA379D" w:rsidP="00CA379D">
      <w:pPr>
        <w:contextualSpacing/>
      </w:pPr>
      <w:r>
        <w:rPr>
          <w:rFonts w:ascii="Microsoft Sans Serif"/>
          <w:b/>
          <w:u w:val="single"/>
        </w:rPr>
        <w:lastRenderedPageBreak/>
        <w:t>F-2016-2554243 - ALAN SERGE v. PHILADELPHIA GAS WORKS</w:t>
      </w:r>
      <w:r>
        <w:rPr>
          <w:rFonts w:ascii="Microsoft Sans Serif"/>
          <w:b/>
          <w:u w:val="single"/>
        </w:rPr>
        <w:cr/>
      </w:r>
      <w:r>
        <w:rPr>
          <w:rFonts w:ascii="Microsoft Sans Serif"/>
          <w:b/>
          <w:u w:val="single"/>
        </w:rPr>
        <w:cr/>
      </w:r>
      <w:bookmarkStart w:id="0" w:name="_GoBack"/>
      <w:bookmarkEnd w:id="0"/>
      <w:r>
        <w:rPr>
          <w:rFonts w:ascii="Microsoft Sans Serif"/>
        </w:rPr>
        <w:cr/>
        <w:t>ALAN SERGE</w:t>
      </w:r>
      <w:r>
        <w:rPr>
          <w:rFonts w:ascii="Microsoft Sans Serif"/>
        </w:rPr>
        <w:cr/>
        <w:t>1413 VISTA ST APT 2</w:t>
      </w:r>
      <w:r>
        <w:rPr>
          <w:rFonts w:ascii="Microsoft Sans Serif"/>
        </w:rPr>
        <w:cr/>
        <w:t>PHILADELPHIA PA  19111</w:t>
      </w:r>
      <w:r>
        <w:rPr>
          <w:rFonts w:ascii="Microsoft Sans Serif"/>
        </w:rPr>
        <w:cr/>
      </w:r>
      <w:r w:rsidRPr="003856FC">
        <w:rPr>
          <w:rFonts w:ascii="Microsoft Sans Serif"/>
          <w:b/>
        </w:rPr>
        <w:t>215.380.0125</w:t>
      </w:r>
      <w:r>
        <w:rPr>
          <w:rFonts w:ascii="Microsoft Sans Serif"/>
        </w:rPr>
        <w:cr/>
      </w:r>
    </w:p>
    <w:p w:rsidR="00CA379D" w:rsidRPr="00BB6C7D" w:rsidRDefault="00CA379D" w:rsidP="00CA379D">
      <w:pPr>
        <w:rPr>
          <w:rFonts w:ascii="Microsoft Sans Serif" w:eastAsiaTheme="minorHAnsi"/>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3856FC">
        <w:rPr>
          <w:rFonts w:ascii="Microsoft Sans Serif"/>
          <w:b/>
        </w:rPr>
        <w:t>215.684.6164</w:t>
      </w:r>
      <w:r>
        <w:rPr>
          <w:rFonts w:ascii="Microsoft Sans Serif"/>
        </w:rPr>
        <w:cr/>
      </w:r>
      <w:r w:rsidRPr="00BB6C7D">
        <w:rPr>
          <w:rFonts w:ascii="Microsoft Sans Serif" w:eastAsiaTheme="minorHAnsi"/>
          <w:b/>
          <w:i/>
          <w:u w:val="single"/>
        </w:rPr>
        <w:t>Accepts E-Service</w:t>
      </w:r>
    </w:p>
    <w:p w:rsidR="00CA379D" w:rsidRDefault="00CA379D" w:rsidP="00CA379D"/>
    <w:p w:rsidR="005E1066" w:rsidRPr="00101496" w:rsidRDefault="005E1066" w:rsidP="00600548">
      <w:pPr>
        <w:tabs>
          <w:tab w:val="num" w:pos="2160"/>
        </w:tabs>
      </w:pPr>
    </w:p>
    <w:sectPr w:rsidR="005E1066" w:rsidRPr="0010149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14F" w:rsidRDefault="0047514F" w:rsidP="002D00BA">
      <w:r>
        <w:separator/>
      </w:r>
    </w:p>
  </w:endnote>
  <w:endnote w:type="continuationSeparator" w:id="0">
    <w:p w:rsidR="0047514F" w:rsidRDefault="0047514F"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4751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CA379D">
    <w:pPr>
      <w:pStyle w:val="Footer"/>
      <w:framePr w:wrap="around" w:vAnchor="text" w:hAnchor="page" w:x="6121" w:y="-23"/>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CA379D">
      <w:rPr>
        <w:rStyle w:val="PageNumber"/>
        <w:noProof/>
        <w:sz w:val="20"/>
        <w:szCs w:val="20"/>
      </w:rPr>
      <w:t>3</w:t>
    </w:r>
    <w:r w:rsidRPr="0014242F">
      <w:rPr>
        <w:rStyle w:val="PageNumber"/>
        <w:sz w:val="20"/>
        <w:szCs w:val="20"/>
      </w:rPr>
      <w:fldChar w:fldCharType="end"/>
    </w:r>
  </w:p>
  <w:p w:rsidR="00B56A97" w:rsidRDefault="004751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9D" w:rsidRDefault="00CA3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14F" w:rsidRDefault="0047514F" w:rsidP="002D00BA">
      <w:r>
        <w:separator/>
      </w:r>
    </w:p>
  </w:footnote>
  <w:footnote w:type="continuationSeparator" w:id="0">
    <w:p w:rsidR="0047514F" w:rsidRDefault="0047514F"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2931F9"/>
    <w:multiLevelType w:val="hybridMultilevel"/>
    <w:tmpl w:val="A5F663A6"/>
    <w:lvl w:ilvl="0" w:tplc="52747B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77734100"/>
    <w:multiLevelType w:val="hybridMultilevel"/>
    <w:tmpl w:val="543043DC"/>
    <w:lvl w:ilvl="0" w:tplc="52747BB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12124"/>
    <w:rsid w:val="00014603"/>
    <w:rsid w:val="00014641"/>
    <w:rsid w:val="000147D3"/>
    <w:rsid w:val="00021030"/>
    <w:rsid w:val="00025102"/>
    <w:rsid w:val="00032D69"/>
    <w:rsid w:val="00046141"/>
    <w:rsid w:val="00054349"/>
    <w:rsid w:val="000648A8"/>
    <w:rsid w:val="0006552F"/>
    <w:rsid w:val="0008408B"/>
    <w:rsid w:val="0009673F"/>
    <w:rsid w:val="000D378F"/>
    <w:rsid w:val="000E2207"/>
    <w:rsid w:val="00101496"/>
    <w:rsid w:val="00106ABB"/>
    <w:rsid w:val="00111EB0"/>
    <w:rsid w:val="001134A1"/>
    <w:rsid w:val="00142E9B"/>
    <w:rsid w:val="00144FE0"/>
    <w:rsid w:val="00166631"/>
    <w:rsid w:val="001C3D0D"/>
    <w:rsid w:val="001D201E"/>
    <w:rsid w:val="001E0230"/>
    <w:rsid w:val="00243074"/>
    <w:rsid w:val="00247F37"/>
    <w:rsid w:val="002547E2"/>
    <w:rsid w:val="00261F6F"/>
    <w:rsid w:val="0027102C"/>
    <w:rsid w:val="0027329A"/>
    <w:rsid w:val="00285F9A"/>
    <w:rsid w:val="00293DA4"/>
    <w:rsid w:val="002D00BA"/>
    <w:rsid w:val="002E6FEC"/>
    <w:rsid w:val="002F691A"/>
    <w:rsid w:val="00314184"/>
    <w:rsid w:val="00350408"/>
    <w:rsid w:val="00372489"/>
    <w:rsid w:val="003A1351"/>
    <w:rsid w:val="003A4AF5"/>
    <w:rsid w:val="003D0850"/>
    <w:rsid w:val="003D481A"/>
    <w:rsid w:val="004046C3"/>
    <w:rsid w:val="0041671A"/>
    <w:rsid w:val="00430A42"/>
    <w:rsid w:val="00431FCD"/>
    <w:rsid w:val="004438AB"/>
    <w:rsid w:val="00451017"/>
    <w:rsid w:val="00451BDC"/>
    <w:rsid w:val="00454119"/>
    <w:rsid w:val="0046111E"/>
    <w:rsid w:val="0046299B"/>
    <w:rsid w:val="00470CC3"/>
    <w:rsid w:val="00472823"/>
    <w:rsid w:val="0047514F"/>
    <w:rsid w:val="00485A6F"/>
    <w:rsid w:val="00496BEF"/>
    <w:rsid w:val="004A2A6B"/>
    <w:rsid w:val="004A7066"/>
    <w:rsid w:val="004B1C5F"/>
    <w:rsid w:val="004B6F9F"/>
    <w:rsid w:val="004F00A0"/>
    <w:rsid w:val="004F2CB2"/>
    <w:rsid w:val="004F715B"/>
    <w:rsid w:val="00500B48"/>
    <w:rsid w:val="00503D3D"/>
    <w:rsid w:val="00507DAB"/>
    <w:rsid w:val="005204B9"/>
    <w:rsid w:val="005533AA"/>
    <w:rsid w:val="00553799"/>
    <w:rsid w:val="005613F5"/>
    <w:rsid w:val="005628BE"/>
    <w:rsid w:val="00575A71"/>
    <w:rsid w:val="005B233E"/>
    <w:rsid w:val="005B5B2C"/>
    <w:rsid w:val="005B6599"/>
    <w:rsid w:val="005C24B1"/>
    <w:rsid w:val="005C4E4D"/>
    <w:rsid w:val="005D1204"/>
    <w:rsid w:val="005E1066"/>
    <w:rsid w:val="005F0860"/>
    <w:rsid w:val="005F543D"/>
    <w:rsid w:val="005F7525"/>
    <w:rsid w:val="00600548"/>
    <w:rsid w:val="0061512C"/>
    <w:rsid w:val="00627CC1"/>
    <w:rsid w:val="00630410"/>
    <w:rsid w:val="006408A3"/>
    <w:rsid w:val="00643EB5"/>
    <w:rsid w:val="00650860"/>
    <w:rsid w:val="006722E8"/>
    <w:rsid w:val="00674D86"/>
    <w:rsid w:val="006A24CA"/>
    <w:rsid w:val="006B1224"/>
    <w:rsid w:val="006C1EEF"/>
    <w:rsid w:val="006C427F"/>
    <w:rsid w:val="006D1BA9"/>
    <w:rsid w:val="006D4502"/>
    <w:rsid w:val="006D57E4"/>
    <w:rsid w:val="006D6E10"/>
    <w:rsid w:val="006E1F28"/>
    <w:rsid w:val="00700AB6"/>
    <w:rsid w:val="00713B3F"/>
    <w:rsid w:val="00715EAA"/>
    <w:rsid w:val="0072133B"/>
    <w:rsid w:val="00743085"/>
    <w:rsid w:val="0075143A"/>
    <w:rsid w:val="00785F44"/>
    <w:rsid w:val="00796D34"/>
    <w:rsid w:val="007A2130"/>
    <w:rsid w:val="007A31AC"/>
    <w:rsid w:val="007A5720"/>
    <w:rsid w:val="007B1254"/>
    <w:rsid w:val="007B7792"/>
    <w:rsid w:val="007C6E1B"/>
    <w:rsid w:val="0082202F"/>
    <w:rsid w:val="00867AA7"/>
    <w:rsid w:val="00881DC7"/>
    <w:rsid w:val="00884DD3"/>
    <w:rsid w:val="00895F04"/>
    <w:rsid w:val="008C0CD8"/>
    <w:rsid w:val="008D31F4"/>
    <w:rsid w:val="008D798E"/>
    <w:rsid w:val="008E2A71"/>
    <w:rsid w:val="008E70AB"/>
    <w:rsid w:val="00904BE4"/>
    <w:rsid w:val="00920D7C"/>
    <w:rsid w:val="00926D15"/>
    <w:rsid w:val="00960C54"/>
    <w:rsid w:val="00975DBC"/>
    <w:rsid w:val="00977564"/>
    <w:rsid w:val="009B15CA"/>
    <w:rsid w:val="009B4006"/>
    <w:rsid w:val="009B61D0"/>
    <w:rsid w:val="009D7C61"/>
    <w:rsid w:val="009E66EF"/>
    <w:rsid w:val="009F0343"/>
    <w:rsid w:val="00A01A98"/>
    <w:rsid w:val="00A030D4"/>
    <w:rsid w:val="00A05024"/>
    <w:rsid w:val="00A0515A"/>
    <w:rsid w:val="00A06BC7"/>
    <w:rsid w:val="00A15A1E"/>
    <w:rsid w:val="00A42438"/>
    <w:rsid w:val="00A60B4F"/>
    <w:rsid w:val="00A8008A"/>
    <w:rsid w:val="00A96A71"/>
    <w:rsid w:val="00AA0C93"/>
    <w:rsid w:val="00AB18F3"/>
    <w:rsid w:val="00AB29EE"/>
    <w:rsid w:val="00AC0A7D"/>
    <w:rsid w:val="00AD0172"/>
    <w:rsid w:val="00AE70E4"/>
    <w:rsid w:val="00AF7827"/>
    <w:rsid w:val="00B05992"/>
    <w:rsid w:val="00B10640"/>
    <w:rsid w:val="00B169E9"/>
    <w:rsid w:val="00B2418B"/>
    <w:rsid w:val="00B30166"/>
    <w:rsid w:val="00B330DC"/>
    <w:rsid w:val="00B44EEA"/>
    <w:rsid w:val="00B50E55"/>
    <w:rsid w:val="00B50F8C"/>
    <w:rsid w:val="00B53C6F"/>
    <w:rsid w:val="00B66E50"/>
    <w:rsid w:val="00B724FC"/>
    <w:rsid w:val="00B95D17"/>
    <w:rsid w:val="00B964C1"/>
    <w:rsid w:val="00BB356A"/>
    <w:rsid w:val="00BB5F6F"/>
    <w:rsid w:val="00BC0A78"/>
    <w:rsid w:val="00BC7CCB"/>
    <w:rsid w:val="00BD2040"/>
    <w:rsid w:val="00BD624C"/>
    <w:rsid w:val="00C018EE"/>
    <w:rsid w:val="00C04F07"/>
    <w:rsid w:val="00C05CC0"/>
    <w:rsid w:val="00C13374"/>
    <w:rsid w:val="00C13AA5"/>
    <w:rsid w:val="00C2285E"/>
    <w:rsid w:val="00C321BB"/>
    <w:rsid w:val="00C3359D"/>
    <w:rsid w:val="00C36324"/>
    <w:rsid w:val="00C55638"/>
    <w:rsid w:val="00C71E1E"/>
    <w:rsid w:val="00C8415C"/>
    <w:rsid w:val="00C8470F"/>
    <w:rsid w:val="00CA379D"/>
    <w:rsid w:val="00CB4D06"/>
    <w:rsid w:val="00CD0A36"/>
    <w:rsid w:val="00CD44D8"/>
    <w:rsid w:val="00D03977"/>
    <w:rsid w:val="00D0400C"/>
    <w:rsid w:val="00D0665C"/>
    <w:rsid w:val="00D10199"/>
    <w:rsid w:val="00D15AD9"/>
    <w:rsid w:val="00D2037C"/>
    <w:rsid w:val="00D2511F"/>
    <w:rsid w:val="00D300F6"/>
    <w:rsid w:val="00D34CF9"/>
    <w:rsid w:val="00D6161D"/>
    <w:rsid w:val="00D6200E"/>
    <w:rsid w:val="00D91BCF"/>
    <w:rsid w:val="00DB4771"/>
    <w:rsid w:val="00DB6BB9"/>
    <w:rsid w:val="00DC6024"/>
    <w:rsid w:val="00E0325F"/>
    <w:rsid w:val="00E055DB"/>
    <w:rsid w:val="00E07E31"/>
    <w:rsid w:val="00E14244"/>
    <w:rsid w:val="00E217E2"/>
    <w:rsid w:val="00E53639"/>
    <w:rsid w:val="00E737B5"/>
    <w:rsid w:val="00E84019"/>
    <w:rsid w:val="00EA2BEF"/>
    <w:rsid w:val="00EA5CEA"/>
    <w:rsid w:val="00EB7FB5"/>
    <w:rsid w:val="00EE7F80"/>
    <w:rsid w:val="00EF1233"/>
    <w:rsid w:val="00EF42B9"/>
    <w:rsid w:val="00EF7B1F"/>
    <w:rsid w:val="00F13889"/>
    <w:rsid w:val="00F17051"/>
    <w:rsid w:val="00F43A13"/>
    <w:rsid w:val="00F46335"/>
    <w:rsid w:val="00F62C87"/>
    <w:rsid w:val="00F63800"/>
    <w:rsid w:val="00F65406"/>
    <w:rsid w:val="00F72956"/>
    <w:rsid w:val="00F73F79"/>
    <w:rsid w:val="00F779C2"/>
    <w:rsid w:val="00F80476"/>
    <w:rsid w:val="00F95642"/>
    <w:rsid w:val="00FA38A9"/>
    <w:rsid w:val="00FA4930"/>
    <w:rsid w:val="00FB38FE"/>
    <w:rsid w:val="00FC68F8"/>
    <w:rsid w:val="00FC6F2B"/>
    <w:rsid w:val="00FD0E59"/>
    <w:rsid w:val="00FD4675"/>
    <w:rsid w:val="00FE1F85"/>
    <w:rsid w:val="00FE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FootnoteText">
    <w:name w:val="footnote text"/>
    <w:basedOn w:val="Normal"/>
    <w:link w:val="FootnoteTextChar"/>
    <w:uiPriority w:val="99"/>
    <w:semiHidden/>
    <w:unhideWhenUsed/>
    <w:rsid w:val="00A01A98"/>
    <w:rPr>
      <w:sz w:val="20"/>
      <w:szCs w:val="20"/>
    </w:rPr>
  </w:style>
  <w:style w:type="character" w:customStyle="1" w:styleId="FootnoteTextChar">
    <w:name w:val="Footnote Text Char"/>
    <w:basedOn w:val="DefaultParagraphFont"/>
    <w:link w:val="FootnoteText"/>
    <w:uiPriority w:val="99"/>
    <w:semiHidden/>
    <w:rsid w:val="00A01A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A98"/>
    <w:rPr>
      <w:vertAlign w:val="superscript"/>
    </w:rPr>
  </w:style>
  <w:style w:type="paragraph" w:styleId="Header">
    <w:name w:val="header"/>
    <w:basedOn w:val="Normal"/>
    <w:link w:val="HeaderChar"/>
    <w:uiPriority w:val="99"/>
    <w:unhideWhenUsed/>
    <w:rsid w:val="00881DC7"/>
    <w:pPr>
      <w:tabs>
        <w:tab w:val="center" w:pos="4680"/>
        <w:tab w:val="right" w:pos="9360"/>
      </w:tabs>
    </w:pPr>
  </w:style>
  <w:style w:type="character" w:customStyle="1" w:styleId="HeaderChar">
    <w:name w:val="Header Char"/>
    <w:basedOn w:val="DefaultParagraphFont"/>
    <w:link w:val="Header"/>
    <w:uiPriority w:val="99"/>
    <w:rsid w:val="00881DC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FootnoteText">
    <w:name w:val="footnote text"/>
    <w:basedOn w:val="Normal"/>
    <w:link w:val="FootnoteTextChar"/>
    <w:uiPriority w:val="99"/>
    <w:semiHidden/>
    <w:unhideWhenUsed/>
    <w:rsid w:val="00A01A98"/>
    <w:rPr>
      <w:sz w:val="20"/>
      <w:szCs w:val="20"/>
    </w:rPr>
  </w:style>
  <w:style w:type="character" w:customStyle="1" w:styleId="FootnoteTextChar">
    <w:name w:val="Footnote Text Char"/>
    <w:basedOn w:val="DefaultParagraphFont"/>
    <w:link w:val="FootnoteText"/>
    <w:uiPriority w:val="99"/>
    <w:semiHidden/>
    <w:rsid w:val="00A01A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A98"/>
    <w:rPr>
      <w:vertAlign w:val="superscript"/>
    </w:rPr>
  </w:style>
  <w:style w:type="paragraph" w:styleId="Header">
    <w:name w:val="header"/>
    <w:basedOn w:val="Normal"/>
    <w:link w:val="HeaderChar"/>
    <w:uiPriority w:val="99"/>
    <w:unhideWhenUsed/>
    <w:rsid w:val="00881DC7"/>
    <w:pPr>
      <w:tabs>
        <w:tab w:val="center" w:pos="4680"/>
        <w:tab w:val="right" w:pos="9360"/>
      </w:tabs>
    </w:pPr>
  </w:style>
  <w:style w:type="character" w:customStyle="1" w:styleId="HeaderChar">
    <w:name w:val="Header Char"/>
    <w:basedOn w:val="DefaultParagraphFont"/>
    <w:link w:val="Header"/>
    <w:uiPriority w:val="99"/>
    <w:rsid w:val="00881D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AFEB-8D1E-4A33-ABAD-AB6F763F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2</cp:revision>
  <cp:lastPrinted>2016-05-06T15:29:00Z</cp:lastPrinted>
  <dcterms:created xsi:type="dcterms:W3CDTF">2016-10-03T19:52:00Z</dcterms:created>
  <dcterms:modified xsi:type="dcterms:W3CDTF">2016-10-03T19:52:00Z</dcterms:modified>
</cp:coreProperties>
</file>