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C179F5"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C179F5"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October 7, 2016</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C179F5" w:rsidRPr="00C179F5">
        <w:rPr>
          <w:rFonts w:ascii="Microsoft Sans Serif" w:hAnsi="Microsoft Sans Serif" w:cs="Microsoft Sans Serif"/>
          <w:b/>
          <w:sz w:val="24"/>
          <w:szCs w:val="24"/>
        </w:rPr>
        <w:t>F-2016-2559917</w:t>
      </w:r>
    </w:p>
    <w:p w:rsidR="00003A64" w:rsidRPr="008A492A" w:rsidRDefault="00003A64" w:rsidP="00003A64">
      <w:pPr>
        <w:rPr>
          <w:rFonts w:ascii="Microsoft Sans Serif" w:hAnsi="Microsoft Sans Serif" w:cs="Microsoft Sans Serif"/>
          <w:sz w:val="24"/>
          <w:szCs w:val="24"/>
        </w:rPr>
      </w:pPr>
    </w:p>
    <w:p w:rsidR="00003A64" w:rsidRPr="008A492A" w:rsidRDefault="00C179F5"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C179F5" w:rsidRDefault="00C179F5" w:rsidP="00003A64">
      <w:pPr>
        <w:tabs>
          <w:tab w:val="center" w:pos="4824"/>
        </w:tabs>
        <w:suppressAutoHyphens/>
        <w:jc w:val="center"/>
        <w:rPr>
          <w:rFonts w:ascii="Microsoft Sans Serif" w:hAnsi="Microsoft Sans Serif" w:cs="Microsoft Sans Serif"/>
          <w:b/>
          <w:spacing w:val="-3"/>
          <w:sz w:val="24"/>
          <w:szCs w:val="24"/>
        </w:rPr>
      </w:pPr>
    </w:p>
    <w:p w:rsidR="00C179F5" w:rsidRDefault="00C179F5" w:rsidP="00003A64">
      <w:pPr>
        <w:tabs>
          <w:tab w:val="center" w:pos="4824"/>
        </w:tabs>
        <w:suppressAutoHyphens/>
        <w:jc w:val="center"/>
        <w:rPr>
          <w:rFonts w:ascii="Microsoft Sans Serif" w:hAnsi="Microsoft Sans Serif" w:cs="Microsoft Sans Serif"/>
          <w:b/>
          <w:spacing w:val="-3"/>
          <w:sz w:val="24"/>
          <w:szCs w:val="24"/>
        </w:rPr>
      </w:pPr>
    </w:p>
    <w:p w:rsidR="00C179F5" w:rsidRDefault="00C179F5" w:rsidP="00003A64">
      <w:pPr>
        <w:tabs>
          <w:tab w:val="center" w:pos="4824"/>
        </w:tabs>
        <w:suppressAutoHyphens/>
        <w:jc w:val="center"/>
        <w:rPr>
          <w:rFonts w:ascii="Microsoft Sans Serif" w:hAnsi="Microsoft Sans Serif" w:cs="Microsoft Sans Serif"/>
          <w:b/>
          <w:spacing w:val="-3"/>
          <w:sz w:val="24"/>
          <w:szCs w:val="24"/>
        </w:rPr>
      </w:pPr>
    </w:p>
    <w:p w:rsidR="00003A64" w:rsidRPr="008A492A" w:rsidRDefault="00C179F5"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CYNTHIA YOUNG-NELSON V.</w:t>
      </w:r>
      <w:r w:rsidRPr="00C179F5">
        <w:rPr>
          <w:rFonts w:ascii="Microsoft Sans Serif" w:hAnsi="Microsoft Sans Serif" w:cs="Microsoft Sans Serif"/>
          <w:b/>
          <w:spacing w:val="-3"/>
          <w:sz w:val="24"/>
          <w:szCs w:val="24"/>
        </w:rPr>
        <w:t xml:space="preserve"> PECO ENERGY CO</w:t>
      </w:r>
      <w:r>
        <w:rPr>
          <w:rFonts w:ascii="Microsoft Sans Serif" w:hAnsi="Microsoft Sans Serif" w:cs="Microsoft Sans Serif"/>
          <w:b/>
          <w:spacing w:val="-3"/>
          <w:sz w:val="24"/>
          <w:szCs w:val="24"/>
        </w:rPr>
        <w:t>MPANY</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C179F5">
        <w:rPr>
          <w:rFonts w:ascii="Microsoft Sans Serif"/>
          <w:b/>
          <w:sz w:val="24"/>
        </w:rPr>
        <w:t xml:space="preserve">Thursday, </w:t>
      </w:r>
      <w:r w:rsidR="00C179F5">
        <w:rPr>
          <w:rFonts w:ascii="Microsoft Sans Serif" w:hAnsi="Microsoft Sans Serif" w:cs="Microsoft Sans Serif"/>
          <w:b/>
          <w:sz w:val="24"/>
          <w:szCs w:val="24"/>
        </w:rPr>
        <w:t>November 17</w:t>
      </w:r>
      <w:r w:rsidR="00C179F5">
        <w:rPr>
          <w:rFonts w:ascii="Microsoft Sans Serif"/>
          <w:b/>
          <w:sz w:val="24"/>
        </w:rPr>
        <w:t>, 2016</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C179F5" w:rsidRPr="00C179F5">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C179F5">
        <w:rPr>
          <w:rFonts w:ascii="Microsoft Sans Serif" w:hAnsi="Microsoft Sans Serif" w:cs="Microsoft Sans Serif"/>
          <w:szCs w:val="24"/>
        </w:rPr>
        <w:t>Rebecca Waldemar</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C179F5" w:rsidP="00C74BCC">
      <w:pPr>
        <w:tabs>
          <w:tab w:val="left" w:pos="5760"/>
        </w:tabs>
        <w:ind w:left="1440"/>
        <w:rPr>
          <w:rFonts w:ascii="Microsoft Sans Serif" w:hAnsi="Microsoft Sans Serif" w:cs="Microsoft Sans Serif"/>
          <w:sz w:val="24"/>
          <w:szCs w:val="24"/>
        </w:rPr>
      </w:pPr>
      <w:r>
        <w:rPr>
          <w:rFonts w:ascii="Microsoft Sans Serif"/>
          <w:sz w:val="24"/>
        </w:rPr>
        <w:t>CYNTHIA YOUNG-NELSON</w:t>
      </w:r>
      <w:r>
        <w:rPr>
          <w:rFonts w:ascii="Microsoft Sans Serif"/>
          <w:sz w:val="24"/>
        </w:rPr>
        <w:tab/>
      </w:r>
      <w:r>
        <w:rPr>
          <w:rFonts w:ascii="Microsoft Sans Serif"/>
          <w:sz w:val="24"/>
        </w:rPr>
        <w:tab/>
      </w:r>
      <w:r w:rsidRPr="006C3494">
        <w:rPr>
          <w:rFonts w:ascii="Microsoft Sans Serif"/>
          <w:b/>
          <w:sz w:val="24"/>
        </w:rPr>
        <w:t>267.777.1741</w:t>
      </w:r>
    </w:p>
    <w:p w:rsidR="00C74BCC" w:rsidRPr="008A492A" w:rsidRDefault="00C179F5" w:rsidP="00C74BCC">
      <w:pPr>
        <w:tabs>
          <w:tab w:val="left" w:pos="5760"/>
        </w:tabs>
        <w:ind w:left="1440"/>
        <w:rPr>
          <w:rFonts w:ascii="Microsoft Sans Serif" w:hAnsi="Microsoft Sans Serif" w:cs="Microsoft Sans Serif"/>
          <w:sz w:val="24"/>
          <w:szCs w:val="24"/>
        </w:rPr>
      </w:pPr>
      <w:r>
        <w:rPr>
          <w:rFonts w:ascii="Microsoft Sans Serif"/>
          <w:sz w:val="24"/>
        </w:rPr>
        <w:t>SHAWANE L LEE ESQUIRE</w:t>
      </w:r>
      <w:r>
        <w:rPr>
          <w:rFonts w:ascii="Microsoft Sans Serif"/>
          <w:sz w:val="24"/>
        </w:rPr>
        <w:tab/>
      </w:r>
      <w:r>
        <w:rPr>
          <w:rFonts w:ascii="Microsoft Sans Serif"/>
          <w:sz w:val="24"/>
        </w:rPr>
        <w:tab/>
      </w:r>
      <w:r w:rsidRPr="006C3494">
        <w:rPr>
          <w:rFonts w:ascii="Microsoft Sans Serif"/>
          <w:b/>
          <w:sz w:val="24"/>
        </w:rPr>
        <w:t>215.841.6841</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You may lose the case if you do not take part in this hearing and present facts on the issues raised.</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C179F5" w:rsidRPr="00C662AC" w:rsidRDefault="00C179F5" w:rsidP="00C179F5">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Bobbie Jo Williams</w:t>
      </w:r>
    </w:p>
    <w:p w:rsidR="00C179F5" w:rsidRPr="00C662AC" w:rsidRDefault="00C179F5"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C179F5" w:rsidRPr="00C662AC" w:rsidRDefault="00C179F5"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003A64" w:rsidRPr="00F76150" w:rsidRDefault="00003A64" w:rsidP="00003A64">
      <w:pPr>
        <w:rPr>
          <w:rFonts w:ascii="Arial monospaced for SAP" w:hAnsi="Arial monospaced for SAP" w:cs="Microsoft Sans Serif"/>
          <w:sz w:val="24"/>
          <w:szCs w:val="24"/>
        </w:rPr>
      </w:pPr>
      <w:bookmarkStart w:id="0" w:name="_GoBack"/>
      <w:bookmarkEnd w:id="0"/>
    </w:p>
    <w:p w:rsidR="002D5B7F" w:rsidRPr="00F76150" w:rsidRDefault="002D5B7F" w:rsidP="00003A64">
      <w:pPr>
        <w:rPr>
          <w:rFonts w:ascii="Arial monospaced for SAP" w:hAnsi="Arial monospaced for SAP" w:cs="Microsoft Sans Serif"/>
          <w:sz w:val="24"/>
          <w:szCs w:val="24"/>
        </w:rPr>
        <w:sectPr w:rsidR="002D5B7F" w:rsidRPr="00F76150" w:rsidSect="00C74BCC">
          <w:pgSz w:w="12240" w:h="15840"/>
          <w:pgMar w:top="1440" w:right="1440" w:bottom="1152" w:left="1440" w:header="720" w:footer="720" w:gutter="0"/>
          <w:cols w:space="720"/>
        </w:sectPr>
      </w:pPr>
    </w:p>
    <w:p w:rsidR="00C179F5" w:rsidRPr="00C179F5" w:rsidRDefault="00C179F5" w:rsidP="00C179F5">
      <w:pPr>
        <w:spacing w:after="120"/>
        <w:contextualSpacing/>
        <w:rPr>
          <w:rFonts w:ascii="Microsoft Sans Serif" w:hAnsi="Calibri"/>
          <w:b/>
          <w:sz w:val="24"/>
          <w:szCs w:val="22"/>
          <w:u w:val="single"/>
        </w:rPr>
      </w:pPr>
      <w:r w:rsidRPr="00C179F5">
        <w:rPr>
          <w:rFonts w:ascii="Microsoft Sans Serif" w:hAnsi="Calibri"/>
          <w:b/>
          <w:sz w:val="24"/>
          <w:szCs w:val="22"/>
          <w:u w:val="single"/>
        </w:rPr>
        <w:lastRenderedPageBreak/>
        <w:t>F-2016-2559917 - CYNTHIA YOUNG-NELSON v. PECO ENERGY COMPANY</w:t>
      </w:r>
      <w:r w:rsidRPr="00C179F5">
        <w:rPr>
          <w:rFonts w:ascii="Microsoft Sans Serif" w:hAnsi="Calibri"/>
          <w:b/>
          <w:sz w:val="24"/>
          <w:szCs w:val="22"/>
          <w:u w:val="single"/>
        </w:rPr>
        <w:cr/>
      </w:r>
      <w:r w:rsidRPr="00C179F5">
        <w:rPr>
          <w:rFonts w:ascii="Microsoft Sans Serif" w:hAnsi="Calibri"/>
          <w:b/>
          <w:sz w:val="24"/>
          <w:szCs w:val="22"/>
          <w:u w:val="single"/>
        </w:rPr>
        <w:cr/>
      </w:r>
    </w:p>
    <w:p w:rsidR="00C179F5" w:rsidRPr="00C179F5" w:rsidRDefault="00C179F5" w:rsidP="00C179F5">
      <w:pPr>
        <w:spacing w:after="120"/>
        <w:contextualSpacing/>
        <w:rPr>
          <w:rFonts w:ascii="Microsoft Sans Serif" w:hAnsi="Calibri"/>
          <w:b/>
          <w:i/>
          <w:sz w:val="24"/>
          <w:szCs w:val="22"/>
          <w:u w:val="single"/>
        </w:rPr>
      </w:pPr>
      <w:r w:rsidRPr="00C179F5">
        <w:rPr>
          <w:rFonts w:ascii="Microsoft Sans Serif" w:hAnsi="Calibri"/>
          <w:sz w:val="24"/>
          <w:szCs w:val="22"/>
        </w:rPr>
        <w:t>CYNTHIA YOUNG-NELSON</w:t>
      </w:r>
      <w:r w:rsidRPr="00C179F5">
        <w:rPr>
          <w:rFonts w:ascii="Microsoft Sans Serif" w:hAnsi="Calibri"/>
          <w:sz w:val="24"/>
          <w:szCs w:val="22"/>
        </w:rPr>
        <w:cr/>
        <w:t>1208 NATE ELLIS DRIVE</w:t>
      </w:r>
      <w:r w:rsidRPr="00C179F5">
        <w:rPr>
          <w:rFonts w:ascii="Microsoft Sans Serif" w:hAnsi="Calibri"/>
          <w:sz w:val="24"/>
          <w:szCs w:val="22"/>
        </w:rPr>
        <w:cr/>
        <w:t>CHESTER TOWNSHIP PA  19013</w:t>
      </w:r>
      <w:r w:rsidRPr="00C179F5">
        <w:rPr>
          <w:rFonts w:ascii="Microsoft Sans Serif" w:hAnsi="Calibri"/>
          <w:sz w:val="24"/>
          <w:szCs w:val="22"/>
        </w:rPr>
        <w:cr/>
      </w:r>
      <w:r w:rsidRPr="00C179F5">
        <w:rPr>
          <w:rFonts w:ascii="Microsoft Sans Serif" w:hAnsi="Calibri"/>
          <w:b/>
          <w:sz w:val="24"/>
          <w:szCs w:val="22"/>
        </w:rPr>
        <w:t>267.777.1741</w:t>
      </w:r>
      <w:r w:rsidRPr="00C179F5">
        <w:rPr>
          <w:rFonts w:ascii="Microsoft Sans Serif" w:hAnsi="Calibri"/>
          <w:b/>
          <w:sz w:val="24"/>
          <w:szCs w:val="22"/>
        </w:rPr>
        <w:cr/>
      </w:r>
      <w:r w:rsidRPr="00C179F5">
        <w:rPr>
          <w:rFonts w:ascii="Microsoft Sans Serif" w:hAnsi="Calibri"/>
          <w:sz w:val="24"/>
          <w:szCs w:val="22"/>
        </w:rPr>
        <w:cr/>
        <w:t>SHAWANE L LEE ESQUIRE</w:t>
      </w:r>
      <w:r w:rsidRPr="00C179F5">
        <w:rPr>
          <w:rFonts w:ascii="Microsoft Sans Serif" w:hAnsi="Calibri"/>
          <w:sz w:val="24"/>
          <w:szCs w:val="22"/>
        </w:rPr>
        <w:cr/>
        <w:t>EXELON BUSINESS SERVICES</w:t>
      </w:r>
      <w:r w:rsidRPr="00C179F5">
        <w:rPr>
          <w:rFonts w:ascii="Microsoft Sans Serif" w:hAnsi="Calibri"/>
          <w:sz w:val="24"/>
          <w:szCs w:val="22"/>
        </w:rPr>
        <w:cr/>
        <w:t>LEGAL DEPT S23-1</w:t>
      </w:r>
      <w:r w:rsidRPr="00C179F5">
        <w:rPr>
          <w:rFonts w:ascii="Microsoft Sans Serif" w:hAnsi="Calibri"/>
          <w:sz w:val="24"/>
          <w:szCs w:val="22"/>
        </w:rPr>
        <w:cr/>
        <w:t>2301 MARKET STREET</w:t>
      </w:r>
      <w:r w:rsidRPr="00C179F5">
        <w:rPr>
          <w:rFonts w:ascii="Microsoft Sans Serif" w:hAnsi="Calibri"/>
          <w:sz w:val="24"/>
          <w:szCs w:val="22"/>
        </w:rPr>
        <w:cr/>
        <w:t>PHILADELPHIA PA  19101</w:t>
      </w:r>
      <w:r w:rsidRPr="00C179F5">
        <w:rPr>
          <w:rFonts w:ascii="Microsoft Sans Serif" w:hAnsi="Calibri"/>
          <w:sz w:val="24"/>
          <w:szCs w:val="22"/>
        </w:rPr>
        <w:cr/>
      </w:r>
      <w:r w:rsidRPr="00C179F5">
        <w:rPr>
          <w:rFonts w:ascii="Microsoft Sans Serif" w:hAnsi="Calibri"/>
          <w:b/>
          <w:sz w:val="24"/>
          <w:szCs w:val="22"/>
        </w:rPr>
        <w:t>215.841.6841</w:t>
      </w:r>
      <w:r w:rsidRPr="00C179F5">
        <w:rPr>
          <w:rFonts w:ascii="Microsoft Sans Serif" w:hAnsi="Calibri"/>
          <w:sz w:val="24"/>
          <w:szCs w:val="22"/>
        </w:rPr>
        <w:cr/>
      </w:r>
      <w:r w:rsidRPr="00C179F5">
        <w:rPr>
          <w:rFonts w:ascii="Microsoft Sans Serif" w:hAnsi="Calibri"/>
          <w:b/>
          <w:i/>
          <w:sz w:val="24"/>
          <w:szCs w:val="22"/>
          <w:u w:val="single"/>
        </w:rPr>
        <w:t>Accepts E-Service</w:t>
      </w:r>
    </w:p>
    <w:p w:rsidR="00C179F5" w:rsidRPr="00C179F5" w:rsidRDefault="00C179F5" w:rsidP="00C179F5">
      <w:pPr>
        <w:spacing w:after="200" w:line="276" w:lineRule="auto"/>
        <w:rPr>
          <w:rFonts w:ascii="Microsoft Sans Serif" w:hAnsi="Calibri"/>
          <w:sz w:val="24"/>
          <w:szCs w:val="22"/>
        </w:rPr>
      </w:pP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24" w:rsidRDefault="008D1B24">
      <w:r>
        <w:separator/>
      </w:r>
    </w:p>
  </w:endnote>
  <w:endnote w:type="continuationSeparator" w:id="0">
    <w:p w:rsidR="008D1B24" w:rsidRDefault="008D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24" w:rsidRDefault="008D1B24">
      <w:r>
        <w:separator/>
      </w:r>
    </w:p>
  </w:footnote>
  <w:footnote w:type="continuationSeparator" w:id="0">
    <w:p w:rsidR="008D1B24" w:rsidRDefault="008D1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D1B24"/>
    <w:rsid w:val="008F7094"/>
    <w:rsid w:val="00942EB6"/>
    <w:rsid w:val="00950E34"/>
    <w:rsid w:val="009C1C22"/>
    <w:rsid w:val="00A17457"/>
    <w:rsid w:val="00A766C9"/>
    <w:rsid w:val="00AF5621"/>
    <w:rsid w:val="00B0253A"/>
    <w:rsid w:val="00B16671"/>
    <w:rsid w:val="00B617D6"/>
    <w:rsid w:val="00BC4B82"/>
    <w:rsid w:val="00BD5E35"/>
    <w:rsid w:val="00C144F7"/>
    <w:rsid w:val="00C179F5"/>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3758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Williams, Bobbie Jo</cp:lastModifiedBy>
  <cp:revision>2</cp:revision>
  <cp:lastPrinted>2003-01-16T13:21:00Z</cp:lastPrinted>
  <dcterms:created xsi:type="dcterms:W3CDTF">2016-10-07T13:33:00Z</dcterms:created>
  <dcterms:modified xsi:type="dcterms:W3CDTF">2016-10-07T13:33:00Z</dcterms:modified>
</cp:coreProperties>
</file>