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4FB" w:rsidRPr="00F514FB" w:rsidRDefault="00F514FB" w:rsidP="00B90FEE">
      <w:pPr>
        <w:widowControl/>
        <w:tabs>
          <w:tab w:val="left" w:pos="2250"/>
          <w:tab w:val="center" w:pos="4680"/>
        </w:tabs>
        <w:suppressAutoHyphens/>
        <w:jc w:val="center"/>
        <w:rPr>
          <w:b/>
          <w:sz w:val="26"/>
          <w:szCs w:val="26"/>
        </w:rPr>
      </w:pPr>
      <w:r w:rsidRPr="00F514FB">
        <w:rPr>
          <w:b/>
          <w:sz w:val="26"/>
          <w:szCs w:val="26"/>
        </w:rPr>
        <w:t>PENNSYLVANIA</w:t>
      </w:r>
    </w:p>
    <w:p w:rsidR="00F514FB" w:rsidRPr="00F514FB" w:rsidRDefault="00F514FB" w:rsidP="00B90FEE">
      <w:pPr>
        <w:widowControl/>
        <w:tabs>
          <w:tab w:val="center" w:pos="4680"/>
        </w:tabs>
        <w:suppressAutoHyphens/>
        <w:jc w:val="center"/>
        <w:rPr>
          <w:sz w:val="26"/>
          <w:szCs w:val="26"/>
        </w:rPr>
      </w:pPr>
      <w:r w:rsidRPr="00F514FB">
        <w:rPr>
          <w:b/>
          <w:sz w:val="26"/>
          <w:szCs w:val="26"/>
        </w:rPr>
        <w:t>PUBLIC UTILITY COMMISSION</w:t>
      </w:r>
    </w:p>
    <w:p w:rsidR="00F514FB" w:rsidRPr="00F514FB" w:rsidRDefault="00F514FB" w:rsidP="00B90FEE">
      <w:pPr>
        <w:widowControl/>
        <w:tabs>
          <w:tab w:val="center" w:pos="4680"/>
        </w:tabs>
        <w:suppressAutoHyphens/>
        <w:jc w:val="center"/>
        <w:rPr>
          <w:sz w:val="26"/>
          <w:szCs w:val="26"/>
        </w:rPr>
      </w:pPr>
      <w:r w:rsidRPr="00F514FB">
        <w:rPr>
          <w:b/>
          <w:sz w:val="26"/>
          <w:szCs w:val="26"/>
        </w:rPr>
        <w:t>Harrisburg, PA 17105-3265</w:t>
      </w:r>
    </w:p>
    <w:p w:rsidR="00F514FB" w:rsidRPr="00F514FB" w:rsidRDefault="00F514FB" w:rsidP="00B90FEE">
      <w:pPr>
        <w:widowControl/>
        <w:tabs>
          <w:tab w:val="left" w:pos="-720"/>
        </w:tabs>
        <w:suppressAutoHyphens/>
        <w:rPr>
          <w:sz w:val="26"/>
          <w:szCs w:val="26"/>
        </w:rPr>
      </w:pPr>
    </w:p>
    <w:p w:rsidR="00F514FB" w:rsidRPr="00F514FB" w:rsidRDefault="00F514FB" w:rsidP="00B90FEE">
      <w:pPr>
        <w:widowControl/>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28"/>
        <w:gridCol w:w="4158"/>
      </w:tblGrid>
      <w:tr w:rsidR="00B366E5" w:rsidRPr="00F514FB" w:rsidTr="00486A08">
        <w:trPr>
          <w:trHeight w:val="3276"/>
        </w:trPr>
        <w:tc>
          <w:tcPr>
            <w:tcW w:w="9486" w:type="dxa"/>
            <w:gridSpan w:val="2"/>
          </w:tcPr>
          <w:p w:rsidR="00B366E5" w:rsidRPr="00F514FB" w:rsidRDefault="00874301" w:rsidP="00B90FEE">
            <w:pPr>
              <w:widowControl/>
              <w:ind w:hanging="738"/>
              <w:jc w:val="right"/>
              <w:rPr>
                <w:sz w:val="26"/>
                <w:szCs w:val="26"/>
              </w:rPr>
            </w:pPr>
            <w:r>
              <w:rPr>
                <w:sz w:val="26"/>
                <w:szCs w:val="26"/>
              </w:rPr>
              <w:t xml:space="preserve"> </w:t>
            </w:r>
            <w:r w:rsidR="00B366E5" w:rsidRPr="00F514FB">
              <w:rPr>
                <w:sz w:val="26"/>
                <w:szCs w:val="26"/>
              </w:rPr>
              <w:t>Public Meeting held</w:t>
            </w:r>
            <w:r w:rsidR="00B366E5">
              <w:rPr>
                <w:sz w:val="26"/>
                <w:szCs w:val="26"/>
              </w:rPr>
              <w:t xml:space="preserve"> </w:t>
            </w:r>
            <w:r w:rsidR="0059755A">
              <w:rPr>
                <w:sz w:val="26"/>
                <w:szCs w:val="26"/>
              </w:rPr>
              <w:t>September</w:t>
            </w:r>
            <w:r w:rsidR="003F5EDA">
              <w:rPr>
                <w:sz w:val="26"/>
                <w:szCs w:val="26"/>
              </w:rPr>
              <w:t xml:space="preserve"> </w:t>
            </w:r>
            <w:r w:rsidR="004A031C">
              <w:rPr>
                <w:sz w:val="26"/>
                <w:szCs w:val="26"/>
              </w:rPr>
              <w:t>15</w:t>
            </w:r>
            <w:r w:rsidR="00B366E5">
              <w:rPr>
                <w:sz w:val="26"/>
                <w:szCs w:val="26"/>
              </w:rPr>
              <w:t>, 2016</w:t>
            </w:r>
          </w:p>
          <w:p w:rsidR="00B366E5" w:rsidRPr="00F514FB" w:rsidRDefault="00B366E5" w:rsidP="00B90FEE">
            <w:pPr>
              <w:widowControl/>
              <w:rPr>
                <w:sz w:val="26"/>
                <w:szCs w:val="26"/>
              </w:rPr>
            </w:pPr>
          </w:p>
          <w:p w:rsidR="00B366E5" w:rsidRPr="00F514FB" w:rsidRDefault="00B366E5" w:rsidP="00B90FEE">
            <w:pPr>
              <w:widowControl/>
              <w:rPr>
                <w:sz w:val="26"/>
                <w:szCs w:val="26"/>
              </w:rPr>
            </w:pPr>
            <w:r w:rsidRPr="00F514FB">
              <w:rPr>
                <w:sz w:val="26"/>
                <w:szCs w:val="26"/>
              </w:rPr>
              <w:t>Commissioners Present:</w:t>
            </w:r>
          </w:p>
          <w:p w:rsidR="00B366E5" w:rsidRPr="00F514FB" w:rsidRDefault="00B366E5" w:rsidP="00B90FEE">
            <w:pPr>
              <w:widowControl/>
              <w:rPr>
                <w:sz w:val="26"/>
                <w:szCs w:val="26"/>
              </w:rPr>
            </w:pPr>
          </w:p>
          <w:p w:rsidR="00B366E5" w:rsidRPr="001B17C4" w:rsidRDefault="00B366E5" w:rsidP="00B90FEE">
            <w:pPr>
              <w:widowControl/>
              <w:ind w:left="720"/>
              <w:rPr>
                <w:sz w:val="26"/>
                <w:szCs w:val="26"/>
              </w:rPr>
            </w:pPr>
            <w:r w:rsidRPr="001B17C4">
              <w:rPr>
                <w:sz w:val="26"/>
                <w:szCs w:val="26"/>
              </w:rPr>
              <w:t>Gladys M. Brown, Chairman</w:t>
            </w:r>
          </w:p>
          <w:p w:rsidR="00B366E5" w:rsidRPr="001B17C4" w:rsidRDefault="00B366E5" w:rsidP="00B90FEE">
            <w:pPr>
              <w:widowControl/>
              <w:ind w:left="720"/>
              <w:rPr>
                <w:sz w:val="26"/>
                <w:szCs w:val="26"/>
              </w:rPr>
            </w:pPr>
            <w:r>
              <w:rPr>
                <w:sz w:val="26"/>
                <w:szCs w:val="26"/>
              </w:rPr>
              <w:t>Andrew G. Place</w:t>
            </w:r>
            <w:r w:rsidRPr="001B17C4">
              <w:rPr>
                <w:sz w:val="26"/>
                <w:szCs w:val="26"/>
              </w:rPr>
              <w:t>, Vice Chairman</w:t>
            </w:r>
          </w:p>
          <w:p w:rsidR="00B366E5" w:rsidRDefault="00B366E5" w:rsidP="00B90FEE">
            <w:pPr>
              <w:widowControl/>
              <w:rPr>
                <w:sz w:val="26"/>
                <w:szCs w:val="26"/>
              </w:rPr>
            </w:pPr>
            <w:r w:rsidRPr="001B17C4">
              <w:rPr>
                <w:sz w:val="26"/>
                <w:szCs w:val="26"/>
              </w:rPr>
              <w:tab/>
            </w:r>
            <w:r w:rsidRPr="00E54B21">
              <w:rPr>
                <w:sz w:val="26"/>
                <w:szCs w:val="26"/>
              </w:rPr>
              <w:t>John F. Coleman, Jr.</w:t>
            </w:r>
          </w:p>
          <w:p w:rsidR="00B366E5" w:rsidRDefault="00B366E5" w:rsidP="00B90FEE">
            <w:pPr>
              <w:widowControl/>
              <w:rPr>
                <w:sz w:val="26"/>
                <w:szCs w:val="26"/>
              </w:rPr>
            </w:pPr>
            <w:r w:rsidRPr="00E54B21">
              <w:rPr>
                <w:sz w:val="26"/>
                <w:szCs w:val="26"/>
              </w:rPr>
              <w:tab/>
            </w:r>
            <w:r w:rsidRPr="001B17C4">
              <w:rPr>
                <w:sz w:val="26"/>
                <w:szCs w:val="26"/>
              </w:rPr>
              <w:t>Robert F. Powelson</w:t>
            </w:r>
          </w:p>
          <w:p w:rsidR="00B366E5" w:rsidRPr="00F514FB" w:rsidRDefault="00486A08" w:rsidP="00486A08">
            <w:pPr>
              <w:widowControl/>
              <w:rPr>
                <w:sz w:val="26"/>
                <w:szCs w:val="26"/>
              </w:rPr>
            </w:pPr>
            <w:r w:rsidRPr="00486A08">
              <w:rPr>
                <w:sz w:val="26"/>
                <w:szCs w:val="26"/>
              </w:rPr>
              <w:tab/>
            </w:r>
            <w:r>
              <w:rPr>
                <w:sz w:val="26"/>
                <w:szCs w:val="26"/>
              </w:rPr>
              <w:t>David W. Sweet</w:t>
            </w:r>
            <w:r w:rsidR="000760E3">
              <w:rPr>
                <w:sz w:val="26"/>
                <w:szCs w:val="26"/>
              </w:rPr>
              <w:t>, Statement, dissenting</w:t>
            </w:r>
          </w:p>
        </w:tc>
      </w:tr>
      <w:tr w:rsidR="00E54B21" w:rsidRPr="00F514FB" w:rsidTr="00B366E5">
        <w:tc>
          <w:tcPr>
            <w:tcW w:w="5328" w:type="dxa"/>
          </w:tcPr>
          <w:p w:rsidR="00486A08" w:rsidRDefault="00486A08" w:rsidP="00B90FEE">
            <w:pPr>
              <w:widowControl/>
              <w:rPr>
                <w:bCs/>
                <w:sz w:val="26"/>
                <w:szCs w:val="26"/>
              </w:rPr>
            </w:pPr>
            <w:r>
              <w:rPr>
                <w:bCs/>
                <w:sz w:val="26"/>
                <w:szCs w:val="26"/>
              </w:rPr>
              <w:t>Alderwoods (Pennsylvania), Inc., a wholly owned subsidiary of Service Corporation International, t/a Burton L. Hirsch Funeral Home</w:t>
            </w:r>
          </w:p>
          <w:p w:rsidR="00486A08" w:rsidRDefault="00486A08" w:rsidP="00B90FEE">
            <w:pPr>
              <w:widowControl/>
              <w:rPr>
                <w:bCs/>
                <w:sz w:val="26"/>
                <w:szCs w:val="26"/>
              </w:rPr>
            </w:pPr>
          </w:p>
          <w:p w:rsidR="00486A08" w:rsidRDefault="00486A08" w:rsidP="00B90FEE">
            <w:pPr>
              <w:widowControl/>
              <w:rPr>
                <w:bCs/>
                <w:sz w:val="26"/>
                <w:szCs w:val="26"/>
              </w:rPr>
            </w:pPr>
            <w:r>
              <w:rPr>
                <w:bCs/>
                <w:sz w:val="26"/>
                <w:szCs w:val="26"/>
              </w:rPr>
              <w:t>v.</w:t>
            </w:r>
          </w:p>
          <w:p w:rsidR="00486A08" w:rsidRDefault="00486A08" w:rsidP="00B90FEE">
            <w:pPr>
              <w:widowControl/>
              <w:rPr>
                <w:bCs/>
                <w:sz w:val="26"/>
                <w:szCs w:val="26"/>
              </w:rPr>
            </w:pPr>
          </w:p>
          <w:p w:rsidR="00E54B21" w:rsidRPr="00F514FB" w:rsidRDefault="00486A08" w:rsidP="00486A08">
            <w:pPr>
              <w:widowControl/>
              <w:rPr>
                <w:sz w:val="26"/>
                <w:szCs w:val="26"/>
              </w:rPr>
            </w:pPr>
            <w:r>
              <w:rPr>
                <w:bCs/>
                <w:sz w:val="26"/>
                <w:szCs w:val="26"/>
              </w:rPr>
              <w:t>Duquesne Light Company</w:t>
            </w:r>
          </w:p>
        </w:tc>
        <w:tc>
          <w:tcPr>
            <w:tcW w:w="4158" w:type="dxa"/>
          </w:tcPr>
          <w:p w:rsidR="00E54B21" w:rsidRDefault="00E54B21" w:rsidP="00486A08">
            <w:pPr>
              <w:jc w:val="right"/>
              <w:rPr>
                <w:sz w:val="26"/>
                <w:szCs w:val="26"/>
              </w:rPr>
            </w:pPr>
            <w:r w:rsidRPr="00E54B21">
              <w:rPr>
                <w:sz w:val="26"/>
                <w:szCs w:val="26"/>
              </w:rPr>
              <w:t>P-201</w:t>
            </w:r>
            <w:r w:rsidR="00C64786">
              <w:rPr>
                <w:sz w:val="26"/>
                <w:szCs w:val="26"/>
              </w:rPr>
              <w:t>6</w:t>
            </w:r>
            <w:r w:rsidRPr="00E54B21">
              <w:rPr>
                <w:sz w:val="26"/>
                <w:szCs w:val="26"/>
              </w:rPr>
              <w:t>-25</w:t>
            </w:r>
            <w:r w:rsidR="00C64786">
              <w:rPr>
                <w:sz w:val="26"/>
                <w:szCs w:val="26"/>
              </w:rPr>
              <w:t>41570</w:t>
            </w:r>
          </w:p>
          <w:p w:rsidR="007C627F" w:rsidRPr="00E54B21" w:rsidRDefault="007C627F" w:rsidP="00486A08">
            <w:pPr>
              <w:jc w:val="right"/>
              <w:rPr>
                <w:bCs/>
                <w:sz w:val="26"/>
                <w:szCs w:val="26"/>
              </w:rPr>
            </w:pPr>
            <w:r>
              <w:rPr>
                <w:sz w:val="26"/>
                <w:szCs w:val="26"/>
              </w:rPr>
              <w:t>C-2016-2522634</w:t>
            </w:r>
          </w:p>
          <w:p w:rsidR="00E54B21" w:rsidRPr="00F514FB" w:rsidRDefault="00E54B21" w:rsidP="00B90FEE">
            <w:pPr>
              <w:widowControl/>
              <w:jc w:val="right"/>
              <w:rPr>
                <w:sz w:val="26"/>
                <w:szCs w:val="26"/>
              </w:rPr>
            </w:pPr>
          </w:p>
        </w:tc>
      </w:tr>
    </w:tbl>
    <w:p w:rsidR="00E54B21" w:rsidRDefault="00E54B21" w:rsidP="00B90FEE">
      <w:pPr>
        <w:widowControl/>
        <w:adjustRightInd w:val="0"/>
        <w:rPr>
          <w:bCs/>
          <w:color w:val="000000"/>
          <w:kern w:val="20"/>
          <w:sz w:val="26"/>
          <w:szCs w:val="26"/>
        </w:rPr>
      </w:pPr>
    </w:p>
    <w:p w:rsidR="00E54B21" w:rsidRDefault="00E54B21" w:rsidP="00B90FEE">
      <w:pPr>
        <w:widowControl/>
        <w:adjustRightInd w:val="0"/>
        <w:rPr>
          <w:bCs/>
          <w:color w:val="000000"/>
          <w:sz w:val="26"/>
          <w:szCs w:val="26"/>
        </w:rPr>
      </w:pPr>
    </w:p>
    <w:p w:rsidR="00180E31" w:rsidRDefault="00180E31" w:rsidP="00B90FEE">
      <w:pPr>
        <w:widowControl/>
        <w:rPr>
          <w:sz w:val="26"/>
          <w:szCs w:val="26"/>
        </w:rPr>
      </w:pPr>
    </w:p>
    <w:p w:rsidR="00F514FB" w:rsidRPr="00F514FB" w:rsidRDefault="00F514FB" w:rsidP="00B90FEE">
      <w:pPr>
        <w:widowControl/>
        <w:jc w:val="center"/>
        <w:rPr>
          <w:b/>
          <w:sz w:val="26"/>
          <w:szCs w:val="26"/>
        </w:rPr>
      </w:pPr>
      <w:r w:rsidRPr="00F514FB">
        <w:rPr>
          <w:b/>
          <w:sz w:val="26"/>
          <w:szCs w:val="26"/>
        </w:rPr>
        <w:t>OPINION AND ORDER</w:t>
      </w:r>
    </w:p>
    <w:p w:rsidR="00F514FB" w:rsidRPr="00F514FB" w:rsidRDefault="00F514FB" w:rsidP="00B90FEE">
      <w:pPr>
        <w:widowControl/>
        <w:jc w:val="center"/>
        <w:rPr>
          <w:b/>
          <w:sz w:val="26"/>
          <w:szCs w:val="26"/>
        </w:rPr>
      </w:pPr>
    </w:p>
    <w:p w:rsidR="00A2651A" w:rsidRDefault="00A2651A" w:rsidP="00B90FEE">
      <w:pPr>
        <w:widowControl/>
        <w:jc w:val="center"/>
        <w:rPr>
          <w:b/>
          <w:sz w:val="26"/>
          <w:szCs w:val="26"/>
        </w:rPr>
        <w:sectPr w:rsidR="00A2651A" w:rsidSect="001C3449">
          <w:footerReference w:type="default" r:id="rId9"/>
          <w:pgSz w:w="12240" w:h="15840"/>
          <w:pgMar w:top="1440" w:right="1440" w:bottom="1440" w:left="1440" w:header="720" w:footer="720" w:gutter="0"/>
          <w:cols w:space="720"/>
          <w:titlePg/>
          <w:docGrid w:linePitch="360"/>
        </w:sectPr>
      </w:pPr>
    </w:p>
    <w:p w:rsidR="00A169A7" w:rsidRDefault="00A169A7">
      <w:pPr>
        <w:widowControl/>
        <w:spacing w:after="200" w:line="276" w:lineRule="auto"/>
        <w:rPr>
          <w:b/>
          <w:sz w:val="26"/>
          <w:szCs w:val="26"/>
        </w:rPr>
      </w:pPr>
    </w:p>
    <w:p w:rsidR="005E064C" w:rsidRDefault="00A169A7" w:rsidP="00E44628">
      <w:pPr>
        <w:widowControl/>
        <w:tabs>
          <w:tab w:val="left" w:pos="720"/>
          <w:tab w:val="right" w:leader="dot" w:pos="9360"/>
        </w:tabs>
        <w:spacing w:line="360" w:lineRule="auto"/>
        <w:jc w:val="center"/>
      </w:pPr>
      <w:r w:rsidRPr="00A169A7">
        <w:rPr>
          <w:b/>
          <w:sz w:val="26"/>
          <w:szCs w:val="26"/>
        </w:rPr>
        <w:t>Table of Contents</w:t>
      </w:r>
    </w:p>
    <w:sdt>
      <w:sdtPr>
        <w:id w:val="-1422556414"/>
        <w:docPartObj>
          <w:docPartGallery w:val="Table of Contents"/>
          <w:docPartUnique/>
        </w:docPartObj>
      </w:sdtPr>
      <w:sdtEndPr>
        <w:rPr>
          <w:b/>
          <w:bCs/>
          <w:noProof/>
          <w:sz w:val="26"/>
          <w:szCs w:val="26"/>
        </w:rPr>
      </w:sdtEndPr>
      <w:sdtContent>
        <w:p w:rsidR="005E064C" w:rsidRPr="008F09BC" w:rsidRDefault="005E064C" w:rsidP="00E44628">
          <w:pPr>
            <w:widowControl/>
            <w:tabs>
              <w:tab w:val="left" w:pos="720"/>
              <w:tab w:val="right" w:leader="dot" w:pos="9360"/>
            </w:tabs>
            <w:spacing w:line="360" w:lineRule="auto"/>
            <w:jc w:val="center"/>
            <w:rPr>
              <w:sz w:val="26"/>
              <w:szCs w:val="26"/>
            </w:rPr>
          </w:pPr>
        </w:p>
        <w:p w:rsidR="008F09BC" w:rsidRPr="008F09BC" w:rsidRDefault="005E064C">
          <w:pPr>
            <w:pStyle w:val="TOC1"/>
            <w:tabs>
              <w:tab w:val="left" w:pos="400"/>
              <w:tab w:val="right" w:leader="dot" w:pos="9350"/>
            </w:tabs>
            <w:rPr>
              <w:rFonts w:asciiTheme="minorHAnsi" w:eastAsiaTheme="minorEastAsia" w:hAnsiTheme="minorHAnsi" w:cstheme="minorBidi"/>
              <w:noProof/>
              <w:sz w:val="26"/>
              <w:szCs w:val="26"/>
            </w:rPr>
          </w:pPr>
          <w:r w:rsidRPr="008F09BC">
            <w:rPr>
              <w:sz w:val="26"/>
              <w:szCs w:val="26"/>
            </w:rPr>
            <w:fldChar w:fldCharType="begin"/>
          </w:r>
          <w:r w:rsidRPr="008F09BC">
            <w:rPr>
              <w:sz w:val="26"/>
              <w:szCs w:val="26"/>
            </w:rPr>
            <w:instrText xml:space="preserve"> TOC \o "1-3" \h \z \u </w:instrText>
          </w:r>
          <w:r w:rsidRPr="008F09BC">
            <w:rPr>
              <w:sz w:val="26"/>
              <w:szCs w:val="26"/>
            </w:rPr>
            <w:fldChar w:fldCharType="separate"/>
          </w:r>
          <w:hyperlink w:anchor="_Toc462297966" w:history="1">
            <w:r w:rsidR="008F09BC" w:rsidRPr="008F09BC">
              <w:rPr>
                <w:rStyle w:val="Hyperlink"/>
                <w:noProof/>
                <w:sz w:val="26"/>
                <w:szCs w:val="26"/>
              </w:rPr>
              <w:t>I.</w:t>
            </w:r>
            <w:r w:rsidR="008F09BC" w:rsidRPr="008F09BC">
              <w:rPr>
                <w:rFonts w:asciiTheme="minorHAnsi" w:eastAsiaTheme="minorEastAsia" w:hAnsiTheme="minorHAnsi" w:cstheme="minorBidi"/>
                <w:noProof/>
                <w:sz w:val="26"/>
                <w:szCs w:val="26"/>
              </w:rPr>
              <w:tab/>
            </w:r>
            <w:r w:rsidR="008F09BC" w:rsidRPr="008F09BC">
              <w:rPr>
                <w:rStyle w:val="Hyperlink"/>
                <w:noProof/>
                <w:sz w:val="26"/>
                <w:szCs w:val="26"/>
              </w:rPr>
              <w:t>Background</w:t>
            </w:r>
            <w:r w:rsidR="008F09BC" w:rsidRPr="008F09BC">
              <w:rPr>
                <w:noProof/>
                <w:webHidden/>
                <w:sz w:val="26"/>
                <w:szCs w:val="26"/>
              </w:rPr>
              <w:tab/>
            </w:r>
            <w:r w:rsidR="008F09BC" w:rsidRPr="008F09BC">
              <w:rPr>
                <w:noProof/>
                <w:webHidden/>
                <w:sz w:val="26"/>
                <w:szCs w:val="26"/>
              </w:rPr>
              <w:fldChar w:fldCharType="begin"/>
            </w:r>
            <w:r w:rsidR="008F09BC" w:rsidRPr="008F09BC">
              <w:rPr>
                <w:noProof/>
                <w:webHidden/>
                <w:sz w:val="26"/>
                <w:szCs w:val="26"/>
              </w:rPr>
              <w:instrText xml:space="preserve"> PAGEREF _Toc462297966 \h </w:instrText>
            </w:r>
            <w:r w:rsidR="008F09BC" w:rsidRPr="008F09BC">
              <w:rPr>
                <w:noProof/>
                <w:webHidden/>
                <w:sz w:val="26"/>
                <w:szCs w:val="26"/>
              </w:rPr>
            </w:r>
            <w:r w:rsidR="008F09BC" w:rsidRPr="008F09BC">
              <w:rPr>
                <w:noProof/>
                <w:webHidden/>
                <w:sz w:val="26"/>
                <w:szCs w:val="26"/>
              </w:rPr>
              <w:fldChar w:fldCharType="separate"/>
            </w:r>
            <w:r w:rsidR="000760E3">
              <w:rPr>
                <w:noProof/>
                <w:webHidden/>
                <w:sz w:val="26"/>
                <w:szCs w:val="26"/>
              </w:rPr>
              <w:t>2</w:t>
            </w:r>
            <w:r w:rsidR="008F09BC" w:rsidRPr="008F09BC">
              <w:rPr>
                <w:noProof/>
                <w:webHidden/>
                <w:sz w:val="26"/>
                <w:szCs w:val="26"/>
              </w:rPr>
              <w:fldChar w:fldCharType="end"/>
            </w:r>
          </w:hyperlink>
        </w:p>
        <w:p w:rsidR="008F09BC" w:rsidRPr="008F09BC" w:rsidRDefault="000D6D28">
          <w:pPr>
            <w:pStyle w:val="TOC1"/>
            <w:tabs>
              <w:tab w:val="left" w:pos="660"/>
              <w:tab w:val="right" w:leader="dot" w:pos="9350"/>
            </w:tabs>
            <w:rPr>
              <w:rFonts w:asciiTheme="minorHAnsi" w:eastAsiaTheme="minorEastAsia" w:hAnsiTheme="minorHAnsi" w:cstheme="minorBidi"/>
              <w:noProof/>
              <w:sz w:val="26"/>
              <w:szCs w:val="26"/>
            </w:rPr>
          </w:pPr>
          <w:hyperlink w:anchor="_Toc462297967" w:history="1">
            <w:r w:rsidR="008F09BC" w:rsidRPr="008F09BC">
              <w:rPr>
                <w:rStyle w:val="Hyperlink"/>
                <w:noProof/>
                <w:sz w:val="26"/>
                <w:szCs w:val="26"/>
              </w:rPr>
              <w:t>II.</w:t>
            </w:r>
            <w:r w:rsidR="008F09BC" w:rsidRPr="008F09BC">
              <w:rPr>
                <w:rFonts w:asciiTheme="minorHAnsi" w:eastAsiaTheme="minorEastAsia" w:hAnsiTheme="minorHAnsi" w:cstheme="minorBidi"/>
                <w:noProof/>
                <w:sz w:val="26"/>
                <w:szCs w:val="26"/>
              </w:rPr>
              <w:tab/>
            </w:r>
            <w:r w:rsidR="00ED76FE">
              <w:rPr>
                <w:rStyle w:val="Hyperlink"/>
                <w:noProof/>
                <w:sz w:val="26"/>
                <w:szCs w:val="26"/>
              </w:rPr>
              <w:t>History o</w:t>
            </w:r>
            <w:r w:rsidR="008F09BC" w:rsidRPr="008F09BC">
              <w:rPr>
                <w:rStyle w:val="Hyperlink"/>
                <w:noProof/>
                <w:sz w:val="26"/>
                <w:szCs w:val="26"/>
              </w:rPr>
              <w:t xml:space="preserve">f </w:t>
            </w:r>
            <w:r w:rsidR="00ED76FE">
              <w:rPr>
                <w:rStyle w:val="Hyperlink"/>
                <w:noProof/>
                <w:sz w:val="26"/>
                <w:szCs w:val="26"/>
              </w:rPr>
              <w:t>t</w:t>
            </w:r>
            <w:r w:rsidR="008F09BC" w:rsidRPr="008F09BC">
              <w:rPr>
                <w:rStyle w:val="Hyperlink"/>
                <w:noProof/>
                <w:sz w:val="26"/>
                <w:szCs w:val="26"/>
              </w:rPr>
              <w:t>he Proceeding</w:t>
            </w:r>
            <w:r w:rsidR="008F09BC" w:rsidRPr="008F09BC">
              <w:rPr>
                <w:noProof/>
                <w:webHidden/>
                <w:sz w:val="26"/>
                <w:szCs w:val="26"/>
              </w:rPr>
              <w:tab/>
            </w:r>
            <w:r w:rsidR="008F09BC" w:rsidRPr="008F09BC">
              <w:rPr>
                <w:noProof/>
                <w:webHidden/>
                <w:sz w:val="26"/>
                <w:szCs w:val="26"/>
              </w:rPr>
              <w:fldChar w:fldCharType="begin"/>
            </w:r>
            <w:r w:rsidR="008F09BC" w:rsidRPr="008F09BC">
              <w:rPr>
                <w:noProof/>
                <w:webHidden/>
                <w:sz w:val="26"/>
                <w:szCs w:val="26"/>
              </w:rPr>
              <w:instrText xml:space="preserve"> PAGEREF _Toc462297967 \h </w:instrText>
            </w:r>
            <w:r w:rsidR="008F09BC" w:rsidRPr="008F09BC">
              <w:rPr>
                <w:noProof/>
                <w:webHidden/>
                <w:sz w:val="26"/>
                <w:szCs w:val="26"/>
              </w:rPr>
            </w:r>
            <w:r w:rsidR="008F09BC" w:rsidRPr="008F09BC">
              <w:rPr>
                <w:noProof/>
                <w:webHidden/>
                <w:sz w:val="26"/>
                <w:szCs w:val="26"/>
              </w:rPr>
              <w:fldChar w:fldCharType="separate"/>
            </w:r>
            <w:r w:rsidR="000760E3">
              <w:rPr>
                <w:noProof/>
                <w:webHidden/>
                <w:sz w:val="26"/>
                <w:szCs w:val="26"/>
              </w:rPr>
              <w:t>3</w:t>
            </w:r>
            <w:r w:rsidR="008F09BC" w:rsidRPr="008F09BC">
              <w:rPr>
                <w:noProof/>
                <w:webHidden/>
                <w:sz w:val="26"/>
                <w:szCs w:val="26"/>
              </w:rPr>
              <w:fldChar w:fldCharType="end"/>
            </w:r>
          </w:hyperlink>
        </w:p>
        <w:p w:rsidR="008F09BC" w:rsidRPr="008F09BC" w:rsidRDefault="000D6D28">
          <w:pPr>
            <w:pStyle w:val="TOC1"/>
            <w:tabs>
              <w:tab w:val="left" w:pos="660"/>
              <w:tab w:val="right" w:leader="dot" w:pos="9350"/>
            </w:tabs>
            <w:rPr>
              <w:rFonts w:asciiTheme="minorHAnsi" w:eastAsiaTheme="minorEastAsia" w:hAnsiTheme="minorHAnsi" w:cstheme="minorBidi"/>
              <w:noProof/>
              <w:sz w:val="26"/>
              <w:szCs w:val="26"/>
            </w:rPr>
          </w:pPr>
          <w:hyperlink w:anchor="_Toc462297968" w:history="1">
            <w:r w:rsidR="008F09BC" w:rsidRPr="008F09BC">
              <w:rPr>
                <w:rStyle w:val="Hyperlink"/>
                <w:noProof/>
                <w:sz w:val="26"/>
                <w:szCs w:val="26"/>
              </w:rPr>
              <w:t>III.</w:t>
            </w:r>
            <w:r w:rsidR="008F09BC" w:rsidRPr="008F09BC">
              <w:rPr>
                <w:rFonts w:asciiTheme="minorHAnsi" w:eastAsiaTheme="minorEastAsia" w:hAnsiTheme="minorHAnsi" w:cstheme="minorBidi"/>
                <w:noProof/>
                <w:sz w:val="26"/>
                <w:szCs w:val="26"/>
              </w:rPr>
              <w:tab/>
            </w:r>
            <w:r w:rsidR="008F09BC" w:rsidRPr="008F09BC">
              <w:rPr>
                <w:rStyle w:val="Hyperlink"/>
                <w:noProof/>
                <w:sz w:val="26"/>
                <w:szCs w:val="26"/>
              </w:rPr>
              <w:t xml:space="preserve">Positions </w:t>
            </w:r>
            <w:r w:rsidR="00ED76FE">
              <w:rPr>
                <w:rStyle w:val="Hyperlink"/>
                <w:noProof/>
                <w:sz w:val="26"/>
                <w:szCs w:val="26"/>
              </w:rPr>
              <w:t>o</w:t>
            </w:r>
            <w:r w:rsidR="008F09BC" w:rsidRPr="008F09BC">
              <w:rPr>
                <w:rStyle w:val="Hyperlink"/>
                <w:noProof/>
                <w:sz w:val="26"/>
                <w:szCs w:val="26"/>
              </w:rPr>
              <w:t xml:space="preserve">f </w:t>
            </w:r>
            <w:r w:rsidR="00ED76FE">
              <w:rPr>
                <w:rStyle w:val="Hyperlink"/>
                <w:noProof/>
                <w:sz w:val="26"/>
                <w:szCs w:val="26"/>
              </w:rPr>
              <w:t>the Parties Before t</w:t>
            </w:r>
            <w:r w:rsidR="008F09BC" w:rsidRPr="008F09BC">
              <w:rPr>
                <w:rStyle w:val="Hyperlink"/>
                <w:noProof/>
                <w:sz w:val="26"/>
                <w:szCs w:val="26"/>
              </w:rPr>
              <w:t>he ALJ</w:t>
            </w:r>
            <w:r w:rsidR="008F09BC" w:rsidRPr="008F09BC">
              <w:rPr>
                <w:noProof/>
                <w:webHidden/>
                <w:sz w:val="26"/>
                <w:szCs w:val="26"/>
              </w:rPr>
              <w:tab/>
            </w:r>
            <w:r w:rsidR="008F09BC" w:rsidRPr="008F09BC">
              <w:rPr>
                <w:noProof/>
                <w:webHidden/>
                <w:sz w:val="26"/>
                <w:szCs w:val="26"/>
              </w:rPr>
              <w:fldChar w:fldCharType="begin"/>
            </w:r>
            <w:r w:rsidR="008F09BC" w:rsidRPr="008F09BC">
              <w:rPr>
                <w:noProof/>
                <w:webHidden/>
                <w:sz w:val="26"/>
                <w:szCs w:val="26"/>
              </w:rPr>
              <w:instrText xml:space="preserve"> PAGEREF _Toc462297968 \h </w:instrText>
            </w:r>
            <w:r w:rsidR="008F09BC" w:rsidRPr="008F09BC">
              <w:rPr>
                <w:noProof/>
                <w:webHidden/>
                <w:sz w:val="26"/>
                <w:szCs w:val="26"/>
              </w:rPr>
            </w:r>
            <w:r w:rsidR="008F09BC" w:rsidRPr="008F09BC">
              <w:rPr>
                <w:noProof/>
                <w:webHidden/>
                <w:sz w:val="26"/>
                <w:szCs w:val="26"/>
              </w:rPr>
              <w:fldChar w:fldCharType="separate"/>
            </w:r>
            <w:r w:rsidR="000760E3">
              <w:rPr>
                <w:noProof/>
                <w:webHidden/>
                <w:sz w:val="26"/>
                <w:szCs w:val="26"/>
              </w:rPr>
              <w:t>9</w:t>
            </w:r>
            <w:r w:rsidR="008F09BC" w:rsidRPr="008F09BC">
              <w:rPr>
                <w:noProof/>
                <w:webHidden/>
                <w:sz w:val="26"/>
                <w:szCs w:val="26"/>
              </w:rPr>
              <w:fldChar w:fldCharType="end"/>
            </w:r>
          </w:hyperlink>
        </w:p>
        <w:p w:rsidR="008F09BC" w:rsidRPr="008F09BC" w:rsidRDefault="000D6D28">
          <w:pPr>
            <w:pStyle w:val="TOC2"/>
            <w:tabs>
              <w:tab w:val="left" w:pos="660"/>
              <w:tab w:val="right" w:leader="dot" w:pos="9350"/>
            </w:tabs>
            <w:rPr>
              <w:rFonts w:asciiTheme="minorHAnsi" w:eastAsiaTheme="minorEastAsia" w:hAnsiTheme="minorHAnsi" w:cstheme="minorBidi"/>
              <w:noProof/>
              <w:sz w:val="26"/>
              <w:szCs w:val="26"/>
            </w:rPr>
          </w:pPr>
          <w:hyperlink w:anchor="_Toc462297969" w:history="1">
            <w:r w:rsidR="008F09BC" w:rsidRPr="008F09BC">
              <w:rPr>
                <w:rStyle w:val="Hyperlink"/>
                <w:noProof/>
                <w:sz w:val="26"/>
                <w:szCs w:val="26"/>
              </w:rPr>
              <w:t>A.</w:t>
            </w:r>
            <w:r w:rsidR="008F09BC" w:rsidRPr="008F09BC">
              <w:rPr>
                <w:rFonts w:asciiTheme="minorHAnsi" w:eastAsiaTheme="minorEastAsia" w:hAnsiTheme="minorHAnsi" w:cstheme="minorBidi"/>
                <w:noProof/>
                <w:sz w:val="26"/>
                <w:szCs w:val="26"/>
              </w:rPr>
              <w:tab/>
            </w:r>
            <w:r w:rsidR="008F09BC" w:rsidRPr="008F09BC">
              <w:rPr>
                <w:rStyle w:val="Hyperlink"/>
                <w:noProof/>
                <w:sz w:val="26"/>
                <w:szCs w:val="26"/>
              </w:rPr>
              <w:t>Alderwoods’ Preliminary Objection</w:t>
            </w:r>
            <w:r w:rsidR="008F09BC" w:rsidRPr="008F09BC">
              <w:rPr>
                <w:noProof/>
                <w:webHidden/>
                <w:sz w:val="26"/>
                <w:szCs w:val="26"/>
              </w:rPr>
              <w:tab/>
            </w:r>
            <w:r w:rsidR="008F09BC" w:rsidRPr="008F09BC">
              <w:rPr>
                <w:noProof/>
                <w:webHidden/>
                <w:sz w:val="26"/>
                <w:szCs w:val="26"/>
              </w:rPr>
              <w:fldChar w:fldCharType="begin"/>
            </w:r>
            <w:r w:rsidR="008F09BC" w:rsidRPr="008F09BC">
              <w:rPr>
                <w:noProof/>
                <w:webHidden/>
                <w:sz w:val="26"/>
                <w:szCs w:val="26"/>
              </w:rPr>
              <w:instrText xml:space="preserve"> PAGEREF _Toc462297969 \h </w:instrText>
            </w:r>
            <w:r w:rsidR="008F09BC" w:rsidRPr="008F09BC">
              <w:rPr>
                <w:noProof/>
                <w:webHidden/>
                <w:sz w:val="26"/>
                <w:szCs w:val="26"/>
              </w:rPr>
            </w:r>
            <w:r w:rsidR="008F09BC" w:rsidRPr="008F09BC">
              <w:rPr>
                <w:noProof/>
                <w:webHidden/>
                <w:sz w:val="26"/>
                <w:szCs w:val="26"/>
              </w:rPr>
              <w:fldChar w:fldCharType="separate"/>
            </w:r>
            <w:r w:rsidR="000760E3">
              <w:rPr>
                <w:noProof/>
                <w:webHidden/>
                <w:sz w:val="26"/>
                <w:szCs w:val="26"/>
              </w:rPr>
              <w:t>9</w:t>
            </w:r>
            <w:r w:rsidR="008F09BC" w:rsidRPr="008F09BC">
              <w:rPr>
                <w:noProof/>
                <w:webHidden/>
                <w:sz w:val="26"/>
                <w:szCs w:val="26"/>
              </w:rPr>
              <w:fldChar w:fldCharType="end"/>
            </w:r>
          </w:hyperlink>
        </w:p>
        <w:p w:rsidR="008F09BC" w:rsidRPr="008F09BC" w:rsidRDefault="000D6D28">
          <w:pPr>
            <w:pStyle w:val="TOC2"/>
            <w:tabs>
              <w:tab w:val="left" w:pos="660"/>
              <w:tab w:val="right" w:leader="dot" w:pos="9350"/>
            </w:tabs>
            <w:rPr>
              <w:rFonts w:asciiTheme="minorHAnsi" w:eastAsiaTheme="minorEastAsia" w:hAnsiTheme="minorHAnsi" w:cstheme="minorBidi"/>
              <w:noProof/>
              <w:sz w:val="26"/>
              <w:szCs w:val="26"/>
            </w:rPr>
          </w:pPr>
          <w:hyperlink w:anchor="_Toc462297970" w:history="1">
            <w:r w:rsidR="008F09BC" w:rsidRPr="008F09BC">
              <w:rPr>
                <w:rStyle w:val="Hyperlink"/>
                <w:noProof/>
                <w:sz w:val="26"/>
                <w:szCs w:val="26"/>
              </w:rPr>
              <w:t>B.</w:t>
            </w:r>
            <w:r w:rsidR="008F09BC" w:rsidRPr="008F09BC">
              <w:rPr>
                <w:rFonts w:asciiTheme="minorHAnsi" w:eastAsiaTheme="minorEastAsia" w:hAnsiTheme="minorHAnsi" w:cstheme="minorBidi"/>
                <w:noProof/>
                <w:sz w:val="26"/>
                <w:szCs w:val="26"/>
              </w:rPr>
              <w:tab/>
            </w:r>
            <w:r w:rsidR="008F09BC" w:rsidRPr="008F09BC">
              <w:rPr>
                <w:rStyle w:val="Hyperlink"/>
                <w:noProof/>
                <w:sz w:val="26"/>
                <w:szCs w:val="26"/>
              </w:rPr>
              <w:t>Duquesne’s Answer to Alderwoods’ Preliminary Objection</w:t>
            </w:r>
            <w:r w:rsidR="008F09BC" w:rsidRPr="008F09BC">
              <w:rPr>
                <w:noProof/>
                <w:webHidden/>
                <w:sz w:val="26"/>
                <w:szCs w:val="26"/>
              </w:rPr>
              <w:tab/>
            </w:r>
            <w:r w:rsidR="008F09BC" w:rsidRPr="008F09BC">
              <w:rPr>
                <w:noProof/>
                <w:webHidden/>
                <w:sz w:val="26"/>
                <w:szCs w:val="26"/>
              </w:rPr>
              <w:fldChar w:fldCharType="begin"/>
            </w:r>
            <w:r w:rsidR="008F09BC" w:rsidRPr="008F09BC">
              <w:rPr>
                <w:noProof/>
                <w:webHidden/>
                <w:sz w:val="26"/>
                <w:szCs w:val="26"/>
              </w:rPr>
              <w:instrText xml:space="preserve"> PAGEREF _Toc462297970 \h </w:instrText>
            </w:r>
            <w:r w:rsidR="008F09BC" w:rsidRPr="008F09BC">
              <w:rPr>
                <w:noProof/>
                <w:webHidden/>
                <w:sz w:val="26"/>
                <w:szCs w:val="26"/>
              </w:rPr>
            </w:r>
            <w:r w:rsidR="008F09BC" w:rsidRPr="008F09BC">
              <w:rPr>
                <w:noProof/>
                <w:webHidden/>
                <w:sz w:val="26"/>
                <w:szCs w:val="26"/>
              </w:rPr>
              <w:fldChar w:fldCharType="separate"/>
            </w:r>
            <w:r w:rsidR="000760E3">
              <w:rPr>
                <w:noProof/>
                <w:webHidden/>
                <w:sz w:val="26"/>
                <w:szCs w:val="26"/>
              </w:rPr>
              <w:t>12</w:t>
            </w:r>
            <w:r w:rsidR="008F09BC" w:rsidRPr="008F09BC">
              <w:rPr>
                <w:noProof/>
                <w:webHidden/>
                <w:sz w:val="26"/>
                <w:szCs w:val="26"/>
              </w:rPr>
              <w:fldChar w:fldCharType="end"/>
            </w:r>
          </w:hyperlink>
        </w:p>
        <w:p w:rsidR="008F09BC" w:rsidRPr="008F09BC" w:rsidRDefault="000D6D28">
          <w:pPr>
            <w:pStyle w:val="TOC1"/>
            <w:tabs>
              <w:tab w:val="left" w:pos="660"/>
              <w:tab w:val="right" w:leader="dot" w:pos="9350"/>
            </w:tabs>
            <w:rPr>
              <w:rFonts w:asciiTheme="minorHAnsi" w:eastAsiaTheme="minorEastAsia" w:hAnsiTheme="minorHAnsi" w:cstheme="minorBidi"/>
              <w:noProof/>
              <w:sz w:val="26"/>
              <w:szCs w:val="26"/>
            </w:rPr>
          </w:pPr>
          <w:hyperlink w:anchor="_Toc462297971" w:history="1">
            <w:r w:rsidR="008F09BC" w:rsidRPr="008F09BC">
              <w:rPr>
                <w:rStyle w:val="Hyperlink"/>
                <w:noProof/>
                <w:sz w:val="26"/>
                <w:szCs w:val="26"/>
              </w:rPr>
              <w:t>IV.</w:t>
            </w:r>
            <w:r w:rsidR="008F09BC" w:rsidRPr="008F09BC">
              <w:rPr>
                <w:rFonts w:asciiTheme="minorHAnsi" w:eastAsiaTheme="minorEastAsia" w:hAnsiTheme="minorHAnsi" w:cstheme="minorBidi"/>
                <w:noProof/>
                <w:sz w:val="26"/>
                <w:szCs w:val="26"/>
              </w:rPr>
              <w:tab/>
            </w:r>
            <w:r w:rsidR="008F09BC" w:rsidRPr="008F09BC">
              <w:rPr>
                <w:rStyle w:val="Hyperlink"/>
                <w:noProof/>
                <w:sz w:val="26"/>
                <w:szCs w:val="26"/>
              </w:rPr>
              <w:t>The ALJ Order Under Review</w:t>
            </w:r>
            <w:r w:rsidR="008F09BC" w:rsidRPr="008F09BC">
              <w:rPr>
                <w:noProof/>
                <w:webHidden/>
                <w:sz w:val="26"/>
                <w:szCs w:val="26"/>
              </w:rPr>
              <w:tab/>
            </w:r>
            <w:r w:rsidR="008F09BC" w:rsidRPr="008F09BC">
              <w:rPr>
                <w:noProof/>
                <w:webHidden/>
                <w:sz w:val="26"/>
                <w:szCs w:val="26"/>
              </w:rPr>
              <w:fldChar w:fldCharType="begin"/>
            </w:r>
            <w:r w:rsidR="008F09BC" w:rsidRPr="008F09BC">
              <w:rPr>
                <w:noProof/>
                <w:webHidden/>
                <w:sz w:val="26"/>
                <w:szCs w:val="26"/>
              </w:rPr>
              <w:instrText xml:space="preserve"> PAGEREF _Toc462297971 \h </w:instrText>
            </w:r>
            <w:r w:rsidR="008F09BC" w:rsidRPr="008F09BC">
              <w:rPr>
                <w:noProof/>
                <w:webHidden/>
                <w:sz w:val="26"/>
                <w:szCs w:val="26"/>
              </w:rPr>
            </w:r>
            <w:r w:rsidR="008F09BC" w:rsidRPr="008F09BC">
              <w:rPr>
                <w:noProof/>
                <w:webHidden/>
                <w:sz w:val="26"/>
                <w:szCs w:val="26"/>
              </w:rPr>
              <w:fldChar w:fldCharType="separate"/>
            </w:r>
            <w:r w:rsidR="000760E3">
              <w:rPr>
                <w:noProof/>
                <w:webHidden/>
                <w:sz w:val="26"/>
                <w:szCs w:val="26"/>
              </w:rPr>
              <w:t>17</w:t>
            </w:r>
            <w:r w:rsidR="008F09BC" w:rsidRPr="008F09BC">
              <w:rPr>
                <w:noProof/>
                <w:webHidden/>
                <w:sz w:val="26"/>
                <w:szCs w:val="26"/>
              </w:rPr>
              <w:fldChar w:fldCharType="end"/>
            </w:r>
          </w:hyperlink>
        </w:p>
        <w:p w:rsidR="008F09BC" w:rsidRPr="008F09BC" w:rsidRDefault="000D6D28">
          <w:pPr>
            <w:pStyle w:val="TOC1"/>
            <w:tabs>
              <w:tab w:val="left" w:pos="660"/>
              <w:tab w:val="right" w:leader="dot" w:pos="9350"/>
            </w:tabs>
            <w:rPr>
              <w:rFonts w:asciiTheme="minorHAnsi" w:eastAsiaTheme="minorEastAsia" w:hAnsiTheme="minorHAnsi" w:cstheme="minorBidi"/>
              <w:noProof/>
              <w:sz w:val="26"/>
              <w:szCs w:val="26"/>
            </w:rPr>
          </w:pPr>
          <w:hyperlink w:anchor="_Toc462297972" w:history="1">
            <w:r w:rsidR="008F09BC" w:rsidRPr="008F09BC">
              <w:rPr>
                <w:rStyle w:val="Hyperlink"/>
                <w:noProof/>
                <w:sz w:val="26"/>
                <w:szCs w:val="26"/>
              </w:rPr>
              <w:t>V.</w:t>
            </w:r>
            <w:r w:rsidR="008F09BC" w:rsidRPr="008F09BC">
              <w:rPr>
                <w:rFonts w:asciiTheme="minorHAnsi" w:eastAsiaTheme="minorEastAsia" w:hAnsiTheme="minorHAnsi" w:cstheme="minorBidi"/>
                <w:noProof/>
                <w:sz w:val="26"/>
                <w:szCs w:val="26"/>
              </w:rPr>
              <w:tab/>
            </w:r>
            <w:r w:rsidR="00ED76FE">
              <w:rPr>
                <w:rStyle w:val="Hyperlink"/>
                <w:noProof/>
                <w:sz w:val="26"/>
                <w:szCs w:val="26"/>
              </w:rPr>
              <w:t>The Petition f</w:t>
            </w:r>
            <w:r w:rsidR="008F09BC" w:rsidRPr="008F09BC">
              <w:rPr>
                <w:rStyle w:val="Hyperlink"/>
                <w:noProof/>
                <w:sz w:val="26"/>
                <w:szCs w:val="26"/>
              </w:rPr>
              <w:t>or Interlocutory Review</w:t>
            </w:r>
            <w:r w:rsidR="008F09BC" w:rsidRPr="008F09BC">
              <w:rPr>
                <w:noProof/>
                <w:webHidden/>
                <w:sz w:val="26"/>
                <w:szCs w:val="26"/>
              </w:rPr>
              <w:tab/>
            </w:r>
            <w:r w:rsidR="008F09BC" w:rsidRPr="008F09BC">
              <w:rPr>
                <w:noProof/>
                <w:webHidden/>
                <w:sz w:val="26"/>
                <w:szCs w:val="26"/>
              </w:rPr>
              <w:fldChar w:fldCharType="begin"/>
            </w:r>
            <w:r w:rsidR="008F09BC" w:rsidRPr="008F09BC">
              <w:rPr>
                <w:noProof/>
                <w:webHidden/>
                <w:sz w:val="26"/>
                <w:szCs w:val="26"/>
              </w:rPr>
              <w:instrText xml:space="preserve"> PAGEREF _Toc462297972 \h </w:instrText>
            </w:r>
            <w:r w:rsidR="008F09BC" w:rsidRPr="008F09BC">
              <w:rPr>
                <w:noProof/>
                <w:webHidden/>
                <w:sz w:val="26"/>
                <w:szCs w:val="26"/>
              </w:rPr>
            </w:r>
            <w:r w:rsidR="008F09BC" w:rsidRPr="008F09BC">
              <w:rPr>
                <w:noProof/>
                <w:webHidden/>
                <w:sz w:val="26"/>
                <w:szCs w:val="26"/>
              </w:rPr>
              <w:fldChar w:fldCharType="separate"/>
            </w:r>
            <w:r w:rsidR="000760E3">
              <w:rPr>
                <w:noProof/>
                <w:webHidden/>
                <w:sz w:val="26"/>
                <w:szCs w:val="26"/>
              </w:rPr>
              <w:t>20</w:t>
            </w:r>
            <w:r w:rsidR="008F09BC" w:rsidRPr="008F09BC">
              <w:rPr>
                <w:noProof/>
                <w:webHidden/>
                <w:sz w:val="26"/>
                <w:szCs w:val="26"/>
              </w:rPr>
              <w:fldChar w:fldCharType="end"/>
            </w:r>
          </w:hyperlink>
        </w:p>
        <w:p w:rsidR="008F09BC" w:rsidRPr="008F09BC" w:rsidRDefault="000D6D28">
          <w:pPr>
            <w:pStyle w:val="TOC1"/>
            <w:tabs>
              <w:tab w:val="left" w:pos="660"/>
              <w:tab w:val="right" w:leader="dot" w:pos="9350"/>
            </w:tabs>
            <w:rPr>
              <w:rFonts w:asciiTheme="minorHAnsi" w:eastAsiaTheme="minorEastAsia" w:hAnsiTheme="minorHAnsi" w:cstheme="minorBidi"/>
              <w:noProof/>
              <w:sz w:val="26"/>
              <w:szCs w:val="26"/>
            </w:rPr>
          </w:pPr>
          <w:hyperlink w:anchor="_Toc462297973" w:history="1">
            <w:r w:rsidR="008F09BC" w:rsidRPr="008F09BC">
              <w:rPr>
                <w:rStyle w:val="Hyperlink"/>
                <w:noProof/>
                <w:sz w:val="26"/>
                <w:szCs w:val="26"/>
              </w:rPr>
              <w:t>VI.</w:t>
            </w:r>
            <w:r w:rsidR="008F09BC" w:rsidRPr="008F09BC">
              <w:rPr>
                <w:rFonts w:asciiTheme="minorHAnsi" w:eastAsiaTheme="minorEastAsia" w:hAnsiTheme="minorHAnsi" w:cstheme="minorBidi"/>
                <w:noProof/>
                <w:sz w:val="26"/>
                <w:szCs w:val="26"/>
              </w:rPr>
              <w:tab/>
            </w:r>
            <w:r w:rsidR="008F09BC" w:rsidRPr="008F09BC">
              <w:rPr>
                <w:rStyle w:val="Hyperlink"/>
                <w:noProof/>
                <w:sz w:val="26"/>
                <w:szCs w:val="26"/>
              </w:rPr>
              <w:t>Discussion</w:t>
            </w:r>
            <w:r w:rsidR="008F09BC" w:rsidRPr="008F09BC">
              <w:rPr>
                <w:noProof/>
                <w:webHidden/>
                <w:sz w:val="26"/>
                <w:szCs w:val="26"/>
              </w:rPr>
              <w:tab/>
            </w:r>
            <w:r w:rsidR="008F09BC" w:rsidRPr="008F09BC">
              <w:rPr>
                <w:noProof/>
                <w:webHidden/>
                <w:sz w:val="26"/>
                <w:szCs w:val="26"/>
              </w:rPr>
              <w:fldChar w:fldCharType="begin"/>
            </w:r>
            <w:r w:rsidR="008F09BC" w:rsidRPr="008F09BC">
              <w:rPr>
                <w:noProof/>
                <w:webHidden/>
                <w:sz w:val="26"/>
                <w:szCs w:val="26"/>
              </w:rPr>
              <w:instrText xml:space="preserve"> PAGEREF _Toc462297973 \h </w:instrText>
            </w:r>
            <w:r w:rsidR="008F09BC" w:rsidRPr="008F09BC">
              <w:rPr>
                <w:noProof/>
                <w:webHidden/>
                <w:sz w:val="26"/>
                <w:szCs w:val="26"/>
              </w:rPr>
            </w:r>
            <w:r w:rsidR="008F09BC" w:rsidRPr="008F09BC">
              <w:rPr>
                <w:noProof/>
                <w:webHidden/>
                <w:sz w:val="26"/>
                <w:szCs w:val="26"/>
              </w:rPr>
              <w:fldChar w:fldCharType="separate"/>
            </w:r>
            <w:r w:rsidR="000760E3">
              <w:rPr>
                <w:noProof/>
                <w:webHidden/>
                <w:sz w:val="26"/>
                <w:szCs w:val="26"/>
              </w:rPr>
              <w:t>21</w:t>
            </w:r>
            <w:r w:rsidR="008F09BC" w:rsidRPr="008F09BC">
              <w:rPr>
                <w:noProof/>
                <w:webHidden/>
                <w:sz w:val="26"/>
                <w:szCs w:val="26"/>
              </w:rPr>
              <w:fldChar w:fldCharType="end"/>
            </w:r>
          </w:hyperlink>
        </w:p>
        <w:p w:rsidR="008F09BC" w:rsidRPr="008F09BC" w:rsidRDefault="000D6D28">
          <w:pPr>
            <w:pStyle w:val="TOC2"/>
            <w:tabs>
              <w:tab w:val="left" w:pos="660"/>
              <w:tab w:val="right" w:leader="dot" w:pos="9350"/>
            </w:tabs>
            <w:rPr>
              <w:rFonts w:asciiTheme="minorHAnsi" w:eastAsiaTheme="minorEastAsia" w:hAnsiTheme="minorHAnsi" w:cstheme="minorBidi"/>
              <w:noProof/>
              <w:sz w:val="26"/>
              <w:szCs w:val="26"/>
            </w:rPr>
          </w:pPr>
          <w:hyperlink w:anchor="_Toc462297974" w:history="1">
            <w:r w:rsidR="008F09BC" w:rsidRPr="008F09BC">
              <w:rPr>
                <w:rStyle w:val="Hyperlink"/>
                <w:noProof/>
                <w:sz w:val="26"/>
                <w:szCs w:val="26"/>
              </w:rPr>
              <w:t>A.</w:t>
            </w:r>
            <w:r w:rsidR="008F09BC" w:rsidRPr="008F09BC">
              <w:rPr>
                <w:rFonts w:asciiTheme="minorHAnsi" w:eastAsiaTheme="minorEastAsia" w:hAnsiTheme="minorHAnsi" w:cstheme="minorBidi"/>
                <w:noProof/>
                <w:sz w:val="26"/>
                <w:szCs w:val="26"/>
              </w:rPr>
              <w:tab/>
            </w:r>
            <w:r w:rsidR="008F09BC" w:rsidRPr="008F09BC">
              <w:rPr>
                <w:rStyle w:val="Hyperlink"/>
                <w:noProof/>
                <w:sz w:val="26"/>
                <w:szCs w:val="26"/>
              </w:rPr>
              <w:t>Legal Standard</w:t>
            </w:r>
            <w:r w:rsidR="008F09BC" w:rsidRPr="008F09BC">
              <w:rPr>
                <w:noProof/>
                <w:webHidden/>
                <w:sz w:val="26"/>
                <w:szCs w:val="26"/>
              </w:rPr>
              <w:tab/>
            </w:r>
            <w:r w:rsidR="008F09BC" w:rsidRPr="008F09BC">
              <w:rPr>
                <w:noProof/>
                <w:webHidden/>
                <w:sz w:val="26"/>
                <w:szCs w:val="26"/>
              </w:rPr>
              <w:fldChar w:fldCharType="begin"/>
            </w:r>
            <w:r w:rsidR="008F09BC" w:rsidRPr="008F09BC">
              <w:rPr>
                <w:noProof/>
                <w:webHidden/>
                <w:sz w:val="26"/>
                <w:szCs w:val="26"/>
              </w:rPr>
              <w:instrText xml:space="preserve"> PAGEREF _Toc462297974 \h </w:instrText>
            </w:r>
            <w:r w:rsidR="008F09BC" w:rsidRPr="008F09BC">
              <w:rPr>
                <w:noProof/>
                <w:webHidden/>
                <w:sz w:val="26"/>
                <w:szCs w:val="26"/>
              </w:rPr>
            </w:r>
            <w:r w:rsidR="008F09BC" w:rsidRPr="008F09BC">
              <w:rPr>
                <w:noProof/>
                <w:webHidden/>
                <w:sz w:val="26"/>
                <w:szCs w:val="26"/>
              </w:rPr>
              <w:fldChar w:fldCharType="separate"/>
            </w:r>
            <w:r w:rsidR="000760E3">
              <w:rPr>
                <w:noProof/>
                <w:webHidden/>
                <w:sz w:val="26"/>
                <w:szCs w:val="26"/>
              </w:rPr>
              <w:t>21</w:t>
            </w:r>
            <w:r w:rsidR="008F09BC" w:rsidRPr="008F09BC">
              <w:rPr>
                <w:noProof/>
                <w:webHidden/>
                <w:sz w:val="26"/>
                <w:szCs w:val="26"/>
              </w:rPr>
              <w:fldChar w:fldCharType="end"/>
            </w:r>
          </w:hyperlink>
        </w:p>
        <w:p w:rsidR="008F09BC" w:rsidRPr="008F09BC" w:rsidRDefault="000D6D28">
          <w:pPr>
            <w:pStyle w:val="TOC2"/>
            <w:tabs>
              <w:tab w:val="left" w:pos="660"/>
              <w:tab w:val="right" w:leader="dot" w:pos="9350"/>
            </w:tabs>
            <w:rPr>
              <w:rFonts w:asciiTheme="minorHAnsi" w:eastAsiaTheme="minorEastAsia" w:hAnsiTheme="minorHAnsi" w:cstheme="minorBidi"/>
              <w:noProof/>
              <w:sz w:val="26"/>
              <w:szCs w:val="26"/>
            </w:rPr>
          </w:pPr>
          <w:hyperlink w:anchor="_Toc462297975" w:history="1">
            <w:r w:rsidR="008F09BC" w:rsidRPr="008F09BC">
              <w:rPr>
                <w:rStyle w:val="Hyperlink"/>
                <w:noProof/>
                <w:sz w:val="26"/>
                <w:szCs w:val="26"/>
              </w:rPr>
              <w:t>B.</w:t>
            </w:r>
            <w:r w:rsidR="008F09BC" w:rsidRPr="008F09BC">
              <w:rPr>
                <w:rFonts w:asciiTheme="minorHAnsi" w:eastAsiaTheme="minorEastAsia" w:hAnsiTheme="minorHAnsi" w:cstheme="minorBidi"/>
                <w:noProof/>
                <w:sz w:val="26"/>
                <w:szCs w:val="26"/>
              </w:rPr>
              <w:tab/>
            </w:r>
            <w:r w:rsidR="008F09BC" w:rsidRPr="008F09BC">
              <w:rPr>
                <w:rStyle w:val="Hyperlink"/>
                <w:noProof/>
                <w:sz w:val="26"/>
                <w:szCs w:val="26"/>
              </w:rPr>
              <w:t>The Parties’ Briefs on Interlocutory Review</w:t>
            </w:r>
            <w:r w:rsidR="008F09BC" w:rsidRPr="008F09BC">
              <w:rPr>
                <w:noProof/>
                <w:webHidden/>
                <w:sz w:val="26"/>
                <w:szCs w:val="26"/>
              </w:rPr>
              <w:tab/>
            </w:r>
            <w:r w:rsidR="008F09BC" w:rsidRPr="008F09BC">
              <w:rPr>
                <w:noProof/>
                <w:webHidden/>
                <w:sz w:val="26"/>
                <w:szCs w:val="26"/>
              </w:rPr>
              <w:fldChar w:fldCharType="begin"/>
            </w:r>
            <w:r w:rsidR="008F09BC" w:rsidRPr="008F09BC">
              <w:rPr>
                <w:noProof/>
                <w:webHidden/>
                <w:sz w:val="26"/>
                <w:szCs w:val="26"/>
              </w:rPr>
              <w:instrText xml:space="preserve"> PAGEREF _Toc462297975 \h </w:instrText>
            </w:r>
            <w:r w:rsidR="008F09BC" w:rsidRPr="008F09BC">
              <w:rPr>
                <w:noProof/>
                <w:webHidden/>
                <w:sz w:val="26"/>
                <w:szCs w:val="26"/>
              </w:rPr>
            </w:r>
            <w:r w:rsidR="008F09BC" w:rsidRPr="008F09BC">
              <w:rPr>
                <w:noProof/>
                <w:webHidden/>
                <w:sz w:val="26"/>
                <w:szCs w:val="26"/>
              </w:rPr>
              <w:fldChar w:fldCharType="separate"/>
            </w:r>
            <w:r w:rsidR="000760E3">
              <w:rPr>
                <w:noProof/>
                <w:webHidden/>
                <w:sz w:val="26"/>
                <w:szCs w:val="26"/>
              </w:rPr>
              <w:t>23</w:t>
            </w:r>
            <w:r w:rsidR="008F09BC" w:rsidRPr="008F09BC">
              <w:rPr>
                <w:noProof/>
                <w:webHidden/>
                <w:sz w:val="26"/>
                <w:szCs w:val="26"/>
              </w:rPr>
              <w:fldChar w:fldCharType="end"/>
            </w:r>
          </w:hyperlink>
        </w:p>
        <w:p w:rsidR="008F09BC" w:rsidRPr="008F09BC" w:rsidRDefault="000D6D28">
          <w:pPr>
            <w:pStyle w:val="TOC3"/>
            <w:tabs>
              <w:tab w:val="left" w:pos="880"/>
              <w:tab w:val="right" w:leader="dot" w:pos="9350"/>
            </w:tabs>
            <w:rPr>
              <w:rFonts w:asciiTheme="minorHAnsi" w:eastAsiaTheme="minorEastAsia" w:hAnsiTheme="minorHAnsi" w:cstheme="minorBidi"/>
              <w:noProof/>
              <w:sz w:val="26"/>
              <w:szCs w:val="26"/>
            </w:rPr>
          </w:pPr>
          <w:hyperlink w:anchor="_Toc462297976" w:history="1">
            <w:r w:rsidR="008F09BC" w:rsidRPr="008F09BC">
              <w:rPr>
                <w:rStyle w:val="Hyperlink"/>
                <w:noProof/>
                <w:sz w:val="26"/>
                <w:szCs w:val="26"/>
              </w:rPr>
              <w:t>1.</w:t>
            </w:r>
            <w:r w:rsidR="008F09BC" w:rsidRPr="008F09BC">
              <w:rPr>
                <w:rFonts w:asciiTheme="minorHAnsi" w:eastAsiaTheme="minorEastAsia" w:hAnsiTheme="minorHAnsi" w:cstheme="minorBidi"/>
                <w:noProof/>
                <w:sz w:val="26"/>
                <w:szCs w:val="26"/>
              </w:rPr>
              <w:tab/>
            </w:r>
            <w:r w:rsidR="008F09BC" w:rsidRPr="008F09BC">
              <w:rPr>
                <w:rStyle w:val="Hyperlink"/>
                <w:noProof/>
                <w:sz w:val="26"/>
                <w:szCs w:val="26"/>
              </w:rPr>
              <w:t>Alderwoods’ Brief</w:t>
            </w:r>
            <w:r w:rsidR="008F09BC" w:rsidRPr="008F09BC">
              <w:rPr>
                <w:noProof/>
                <w:webHidden/>
                <w:sz w:val="26"/>
                <w:szCs w:val="26"/>
              </w:rPr>
              <w:tab/>
            </w:r>
            <w:r w:rsidR="008F09BC" w:rsidRPr="008F09BC">
              <w:rPr>
                <w:noProof/>
                <w:webHidden/>
                <w:sz w:val="26"/>
                <w:szCs w:val="26"/>
              </w:rPr>
              <w:fldChar w:fldCharType="begin"/>
            </w:r>
            <w:r w:rsidR="008F09BC" w:rsidRPr="008F09BC">
              <w:rPr>
                <w:noProof/>
                <w:webHidden/>
                <w:sz w:val="26"/>
                <w:szCs w:val="26"/>
              </w:rPr>
              <w:instrText xml:space="preserve"> PAGEREF _Toc462297976 \h </w:instrText>
            </w:r>
            <w:r w:rsidR="008F09BC" w:rsidRPr="008F09BC">
              <w:rPr>
                <w:noProof/>
                <w:webHidden/>
                <w:sz w:val="26"/>
                <w:szCs w:val="26"/>
              </w:rPr>
            </w:r>
            <w:r w:rsidR="008F09BC" w:rsidRPr="008F09BC">
              <w:rPr>
                <w:noProof/>
                <w:webHidden/>
                <w:sz w:val="26"/>
                <w:szCs w:val="26"/>
              </w:rPr>
              <w:fldChar w:fldCharType="separate"/>
            </w:r>
            <w:r w:rsidR="000760E3">
              <w:rPr>
                <w:noProof/>
                <w:webHidden/>
                <w:sz w:val="26"/>
                <w:szCs w:val="26"/>
              </w:rPr>
              <w:t>23</w:t>
            </w:r>
            <w:r w:rsidR="008F09BC" w:rsidRPr="008F09BC">
              <w:rPr>
                <w:noProof/>
                <w:webHidden/>
                <w:sz w:val="26"/>
                <w:szCs w:val="26"/>
              </w:rPr>
              <w:fldChar w:fldCharType="end"/>
            </w:r>
          </w:hyperlink>
        </w:p>
        <w:p w:rsidR="008F09BC" w:rsidRPr="008F09BC" w:rsidRDefault="000D6D28">
          <w:pPr>
            <w:pStyle w:val="TOC3"/>
            <w:tabs>
              <w:tab w:val="left" w:pos="880"/>
              <w:tab w:val="right" w:leader="dot" w:pos="9350"/>
            </w:tabs>
            <w:rPr>
              <w:rFonts w:asciiTheme="minorHAnsi" w:eastAsiaTheme="minorEastAsia" w:hAnsiTheme="minorHAnsi" w:cstheme="minorBidi"/>
              <w:noProof/>
              <w:sz w:val="26"/>
              <w:szCs w:val="26"/>
            </w:rPr>
          </w:pPr>
          <w:hyperlink w:anchor="_Toc462297977" w:history="1">
            <w:r w:rsidR="008F09BC" w:rsidRPr="008F09BC">
              <w:rPr>
                <w:rStyle w:val="Hyperlink"/>
                <w:noProof/>
                <w:sz w:val="26"/>
                <w:szCs w:val="26"/>
              </w:rPr>
              <w:t>2.</w:t>
            </w:r>
            <w:r w:rsidR="008F09BC" w:rsidRPr="008F09BC">
              <w:rPr>
                <w:rFonts w:asciiTheme="minorHAnsi" w:eastAsiaTheme="minorEastAsia" w:hAnsiTheme="minorHAnsi" w:cstheme="minorBidi"/>
                <w:noProof/>
                <w:sz w:val="26"/>
                <w:szCs w:val="26"/>
              </w:rPr>
              <w:tab/>
            </w:r>
            <w:r w:rsidR="008F09BC" w:rsidRPr="008F09BC">
              <w:rPr>
                <w:rStyle w:val="Hyperlink"/>
                <w:noProof/>
                <w:sz w:val="26"/>
                <w:szCs w:val="26"/>
              </w:rPr>
              <w:t>Duquesne’s Brief</w:t>
            </w:r>
            <w:r w:rsidR="008F09BC" w:rsidRPr="008F09BC">
              <w:rPr>
                <w:noProof/>
                <w:webHidden/>
                <w:sz w:val="26"/>
                <w:szCs w:val="26"/>
              </w:rPr>
              <w:tab/>
            </w:r>
            <w:r w:rsidR="008F09BC" w:rsidRPr="008F09BC">
              <w:rPr>
                <w:noProof/>
                <w:webHidden/>
                <w:sz w:val="26"/>
                <w:szCs w:val="26"/>
              </w:rPr>
              <w:fldChar w:fldCharType="begin"/>
            </w:r>
            <w:r w:rsidR="008F09BC" w:rsidRPr="008F09BC">
              <w:rPr>
                <w:noProof/>
                <w:webHidden/>
                <w:sz w:val="26"/>
                <w:szCs w:val="26"/>
              </w:rPr>
              <w:instrText xml:space="preserve"> PAGEREF _Toc462297977 \h </w:instrText>
            </w:r>
            <w:r w:rsidR="008F09BC" w:rsidRPr="008F09BC">
              <w:rPr>
                <w:noProof/>
                <w:webHidden/>
                <w:sz w:val="26"/>
                <w:szCs w:val="26"/>
              </w:rPr>
            </w:r>
            <w:r w:rsidR="008F09BC" w:rsidRPr="008F09BC">
              <w:rPr>
                <w:noProof/>
                <w:webHidden/>
                <w:sz w:val="26"/>
                <w:szCs w:val="26"/>
              </w:rPr>
              <w:fldChar w:fldCharType="separate"/>
            </w:r>
            <w:r w:rsidR="000760E3">
              <w:rPr>
                <w:noProof/>
                <w:webHidden/>
                <w:sz w:val="26"/>
                <w:szCs w:val="26"/>
              </w:rPr>
              <w:t>26</w:t>
            </w:r>
            <w:r w:rsidR="008F09BC" w:rsidRPr="008F09BC">
              <w:rPr>
                <w:noProof/>
                <w:webHidden/>
                <w:sz w:val="26"/>
                <w:szCs w:val="26"/>
              </w:rPr>
              <w:fldChar w:fldCharType="end"/>
            </w:r>
          </w:hyperlink>
        </w:p>
        <w:p w:rsidR="008F09BC" w:rsidRPr="008F09BC" w:rsidRDefault="000D6D28">
          <w:pPr>
            <w:pStyle w:val="TOC2"/>
            <w:tabs>
              <w:tab w:val="left" w:pos="660"/>
              <w:tab w:val="right" w:leader="dot" w:pos="9350"/>
            </w:tabs>
            <w:rPr>
              <w:rFonts w:asciiTheme="minorHAnsi" w:eastAsiaTheme="minorEastAsia" w:hAnsiTheme="minorHAnsi" w:cstheme="minorBidi"/>
              <w:noProof/>
              <w:sz w:val="26"/>
              <w:szCs w:val="26"/>
            </w:rPr>
          </w:pPr>
          <w:hyperlink w:anchor="_Toc462297978" w:history="1">
            <w:r w:rsidR="008F09BC" w:rsidRPr="008F09BC">
              <w:rPr>
                <w:rStyle w:val="Hyperlink"/>
                <w:noProof/>
                <w:sz w:val="26"/>
                <w:szCs w:val="26"/>
              </w:rPr>
              <w:t>C.</w:t>
            </w:r>
            <w:r w:rsidR="008F09BC" w:rsidRPr="008F09BC">
              <w:rPr>
                <w:rFonts w:asciiTheme="minorHAnsi" w:eastAsiaTheme="minorEastAsia" w:hAnsiTheme="minorHAnsi" w:cstheme="minorBidi"/>
                <w:noProof/>
                <w:sz w:val="26"/>
                <w:szCs w:val="26"/>
              </w:rPr>
              <w:tab/>
            </w:r>
            <w:r w:rsidR="008F09BC" w:rsidRPr="008F09BC">
              <w:rPr>
                <w:rStyle w:val="Hyperlink"/>
                <w:noProof/>
                <w:sz w:val="26"/>
                <w:szCs w:val="26"/>
              </w:rPr>
              <w:t>Disposition</w:t>
            </w:r>
            <w:r w:rsidR="008F09BC" w:rsidRPr="008F09BC">
              <w:rPr>
                <w:noProof/>
                <w:webHidden/>
                <w:sz w:val="26"/>
                <w:szCs w:val="26"/>
              </w:rPr>
              <w:tab/>
            </w:r>
            <w:r w:rsidR="008F09BC" w:rsidRPr="008F09BC">
              <w:rPr>
                <w:noProof/>
                <w:webHidden/>
                <w:sz w:val="26"/>
                <w:szCs w:val="26"/>
              </w:rPr>
              <w:fldChar w:fldCharType="begin"/>
            </w:r>
            <w:r w:rsidR="008F09BC" w:rsidRPr="008F09BC">
              <w:rPr>
                <w:noProof/>
                <w:webHidden/>
                <w:sz w:val="26"/>
                <w:szCs w:val="26"/>
              </w:rPr>
              <w:instrText xml:space="preserve"> PAGEREF _Toc462297978 \h </w:instrText>
            </w:r>
            <w:r w:rsidR="008F09BC" w:rsidRPr="008F09BC">
              <w:rPr>
                <w:noProof/>
                <w:webHidden/>
                <w:sz w:val="26"/>
                <w:szCs w:val="26"/>
              </w:rPr>
            </w:r>
            <w:r w:rsidR="008F09BC" w:rsidRPr="008F09BC">
              <w:rPr>
                <w:noProof/>
                <w:webHidden/>
                <w:sz w:val="26"/>
                <w:szCs w:val="26"/>
              </w:rPr>
              <w:fldChar w:fldCharType="separate"/>
            </w:r>
            <w:r w:rsidR="000760E3">
              <w:rPr>
                <w:noProof/>
                <w:webHidden/>
                <w:sz w:val="26"/>
                <w:szCs w:val="26"/>
              </w:rPr>
              <w:t>30</w:t>
            </w:r>
            <w:r w:rsidR="008F09BC" w:rsidRPr="008F09BC">
              <w:rPr>
                <w:noProof/>
                <w:webHidden/>
                <w:sz w:val="26"/>
                <w:szCs w:val="26"/>
              </w:rPr>
              <w:fldChar w:fldCharType="end"/>
            </w:r>
          </w:hyperlink>
        </w:p>
        <w:p w:rsidR="008F09BC" w:rsidRPr="008F09BC" w:rsidRDefault="000D6D28">
          <w:pPr>
            <w:pStyle w:val="TOC1"/>
            <w:tabs>
              <w:tab w:val="left" w:pos="660"/>
              <w:tab w:val="right" w:leader="dot" w:pos="9350"/>
            </w:tabs>
            <w:rPr>
              <w:rFonts w:asciiTheme="minorHAnsi" w:eastAsiaTheme="minorEastAsia" w:hAnsiTheme="minorHAnsi" w:cstheme="minorBidi"/>
              <w:noProof/>
              <w:sz w:val="26"/>
              <w:szCs w:val="26"/>
            </w:rPr>
          </w:pPr>
          <w:hyperlink w:anchor="_Toc462297979" w:history="1">
            <w:r w:rsidR="008F09BC" w:rsidRPr="008F09BC">
              <w:rPr>
                <w:rStyle w:val="Hyperlink"/>
                <w:noProof/>
                <w:sz w:val="26"/>
                <w:szCs w:val="26"/>
              </w:rPr>
              <w:t>VII.</w:t>
            </w:r>
            <w:r w:rsidR="008F09BC" w:rsidRPr="008F09BC">
              <w:rPr>
                <w:rFonts w:asciiTheme="minorHAnsi" w:eastAsiaTheme="minorEastAsia" w:hAnsiTheme="minorHAnsi" w:cstheme="minorBidi"/>
                <w:noProof/>
                <w:sz w:val="26"/>
                <w:szCs w:val="26"/>
              </w:rPr>
              <w:tab/>
            </w:r>
            <w:r w:rsidR="008F09BC" w:rsidRPr="008F09BC">
              <w:rPr>
                <w:rStyle w:val="Hyperlink"/>
                <w:noProof/>
                <w:sz w:val="26"/>
                <w:szCs w:val="26"/>
              </w:rPr>
              <w:t>Conclusion</w:t>
            </w:r>
            <w:r w:rsidR="008F09BC" w:rsidRPr="008F09BC">
              <w:rPr>
                <w:noProof/>
                <w:webHidden/>
                <w:sz w:val="26"/>
                <w:szCs w:val="26"/>
              </w:rPr>
              <w:tab/>
            </w:r>
            <w:r w:rsidR="008F09BC" w:rsidRPr="008F09BC">
              <w:rPr>
                <w:noProof/>
                <w:webHidden/>
                <w:sz w:val="26"/>
                <w:szCs w:val="26"/>
              </w:rPr>
              <w:fldChar w:fldCharType="begin"/>
            </w:r>
            <w:r w:rsidR="008F09BC" w:rsidRPr="008F09BC">
              <w:rPr>
                <w:noProof/>
                <w:webHidden/>
                <w:sz w:val="26"/>
                <w:szCs w:val="26"/>
              </w:rPr>
              <w:instrText xml:space="preserve"> PAGEREF _Toc462297979 \h </w:instrText>
            </w:r>
            <w:r w:rsidR="008F09BC" w:rsidRPr="008F09BC">
              <w:rPr>
                <w:noProof/>
                <w:webHidden/>
                <w:sz w:val="26"/>
                <w:szCs w:val="26"/>
              </w:rPr>
            </w:r>
            <w:r w:rsidR="008F09BC" w:rsidRPr="008F09BC">
              <w:rPr>
                <w:noProof/>
                <w:webHidden/>
                <w:sz w:val="26"/>
                <w:szCs w:val="26"/>
              </w:rPr>
              <w:fldChar w:fldCharType="separate"/>
            </w:r>
            <w:r w:rsidR="000760E3">
              <w:rPr>
                <w:noProof/>
                <w:webHidden/>
                <w:sz w:val="26"/>
                <w:szCs w:val="26"/>
              </w:rPr>
              <w:t>32</w:t>
            </w:r>
            <w:r w:rsidR="008F09BC" w:rsidRPr="008F09BC">
              <w:rPr>
                <w:noProof/>
                <w:webHidden/>
                <w:sz w:val="26"/>
                <w:szCs w:val="26"/>
              </w:rPr>
              <w:fldChar w:fldCharType="end"/>
            </w:r>
          </w:hyperlink>
        </w:p>
        <w:p w:rsidR="005E064C" w:rsidRPr="00114F37" w:rsidRDefault="005E064C">
          <w:pPr>
            <w:rPr>
              <w:sz w:val="26"/>
              <w:szCs w:val="26"/>
            </w:rPr>
          </w:pPr>
          <w:r w:rsidRPr="008F09BC">
            <w:rPr>
              <w:b/>
              <w:bCs/>
              <w:noProof/>
              <w:sz w:val="26"/>
              <w:szCs w:val="26"/>
            </w:rPr>
            <w:fldChar w:fldCharType="end"/>
          </w:r>
        </w:p>
      </w:sdtContent>
    </w:sdt>
    <w:p w:rsidR="00A169A7" w:rsidRPr="005E064C" w:rsidRDefault="00A169A7" w:rsidP="00A169A7">
      <w:pPr>
        <w:widowControl/>
        <w:tabs>
          <w:tab w:val="left" w:pos="720"/>
          <w:tab w:val="right" w:leader="dot" w:pos="9360"/>
        </w:tabs>
        <w:spacing w:line="360" w:lineRule="auto"/>
        <w:rPr>
          <w:sz w:val="26"/>
          <w:szCs w:val="26"/>
        </w:rPr>
      </w:pPr>
    </w:p>
    <w:p w:rsidR="00A2651A" w:rsidRDefault="00A169A7" w:rsidP="004D6B01">
      <w:pPr>
        <w:widowControl/>
        <w:tabs>
          <w:tab w:val="left" w:pos="720"/>
          <w:tab w:val="left" w:pos="1440"/>
        </w:tabs>
        <w:spacing w:after="200" w:line="276" w:lineRule="auto"/>
        <w:rPr>
          <w:b/>
          <w:sz w:val="26"/>
          <w:szCs w:val="26"/>
        </w:rPr>
        <w:sectPr w:rsidR="00A2651A" w:rsidSect="00E44628">
          <w:pgSz w:w="12240" w:h="15840"/>
          <w:pgMar w:top="1440" w:right="1440" w:bottom="1440" w:left="1440" w:header="720" w:footer="720" w:gutter="0"/>
          <w:pgNumType w:fmt="lowerRoman" w:start="1"/>
          <w:cols w:space="720"/>
          <w:docGrid w:linePitch="360"/>
        </w:sectPr>
      </w:pPr>
      <w:r>
        <w:rPr>
          <w:b/>
          <w:sz w:val="26"/>
          <w:szCs w:val="26"/>
        </w:rPr>
        <w:br w:type="page"/>
      </w:r>
    </w:p>
    <w:p w:rsidR="00F514FB" w:rsidRPr="00F514FB" w:rsidRDefault="00F514FB" w:rsidP="00B90FEE">
      <w:pPr>
        <w:widowControl/>
        <w:rPr>
          <w:b/>
          <w:sz w:val="26"/>
          <w:szCs w:val="26"/>
        </w:rPr>
      </w:pPr>
      <w:r w:rsidRPr="00F514FB">
        <w:rPr>
          <w:b/>
          <w:sz w:val="26"/>
          <w:szCs w:val="26"/>
        </w:rPr>
        <w:lastRenderedPageBreak/>
        <w:t>BY THE COMMISSION:</w:t>
      </w:r>
    </w:p>
    <w:p w:rsidR="00F514FB" w:rsidRPr="00F514FB" w:rsidRDefault="00F514FB" w:rsidP="00B90FEE">
      <w:pPr>
        <w:widowControl/>
        <w:rPr>
          <w:sz w:val="26"/>
          <w:szCs w:val="26"/>
        </w:rPr>
      </w:pPr>
    </w:p>
    <w:p w:rsidR="00F514FB" w:rsidRPr="00F514FB" w:rsidRDefault="00F514FB" w:rsidP="00B90FEE">
      <w:pPr>
        <w:widowControl/>
        <w:rPr>
          <w:sz w:val="26"/>
          <w:szCs w:val="26"/>
        </w:rPr>
      </w:pPr>
    </w:p>
    <w:p w:rsidR="00923812" w:rsidRDefault="00747619" w:rsidP="00923812">
      <w:pPr>
        <w:widowControl/>
        <w:spacing w:line="360" w:lineRule="auto"/>
        <w:ind w:firstLine="1440"/>
        <w:rPr>
          <w:color w:val="000000"/>
          <w:sz w:val="26"/>
        </w:rPr>
      </w:pPr>
      <w:r>
        <w:rPr>
          <w:sz w:val="26"/>
          <w:szCs w:val="26"/>
        </w:rPr>
        <w:t>Before t</w:t>
      </w:r>
      <w:r w:rsidR="00CA43A5" w:rsidRPr="00CA43A5">
        <w:rPr>
          <w:sz w:val="26"/>
          <w:szCs w:val="26"/>
        </w:rPr>
        <w:t xml:space="preserve">he Pennsylvania Public Utility Commission (Commission) </w:t>
      </w:r>
      <w:r w:rsidR="00180E31">
        <w:rPr>
          <w:sz w:val="26"/>
          <w:szCs w:val="26"/>
        </w:rPr>
        <w:t>fo</w:t>
      </w:r>
      <w:r w:rsidR="00CA43A5" w:rsidRPr="00CA43A5">
        <w:rPr>
          <w:sz w:val="26"/>
          <w:szCs w:val="26"/>
        </w:rPr>
        <w:t xml:space="preserve">r consideration and disposition </w:t>
      </w:r>
      <w:r w:rsidR="008E23F0">
        <w:rPr>
          <w:sz w:val="26"/>
          <w:szCs w:val="26"/>
        </w:rPr>
        <w:t>is a</w:t>
      </w:r>
      <w:r w:rsidR="00180E31">
        <w:rPr>
          <w:sz w:val="26"/>
          <w:szCs w:val="26"/>
        </w:rPr>
        <w:t xml:space="preserve"> Petition for </w:t>
      </w:r>
      <w:r w:rsidR="00F922E5">
        <w:rPr>
          <w:color w:val="000000"/>
          <w:sz w:val="26"/>
        </w:rPr>
        <w:t>Interlo</w:t>
      </w:r>
      <w:r w:rsidR="003716A9">
        <w:rPr>
          <w:color w:val="000000"/>
          <w:sz w:val="26"/>
        </w:rPr>
        <w:t>c</w:t>
      </w:r>
      <w:r w:rsidR="00F922E5">
        <w:rPr>
          <w:color w:val="000000"/>
          <w:sz w:val="26"/>
        </w:rPr>
        <w:t>utory Review and Answer to Material Question</w:t>
      </w:r>
      <w:r w:rsidR="00486A08">
        <w:rPr>
          <w:color w:val="000000"/>
          <w:sz w:val="26"/>
        </w:rPr>
        <w:t>s</w:t>
      </w:r>
      <w:r w:rsidR="008E23F0">
        <w:rPr>
          <w:color w:val="000000"/>
          <w:sz w:val="26"/>
        </w:rPr>
        <w:t xml:space="preserve"> (Petition)</w:t>
      </w:r>
      <w:r w:rsidR="00283C96">
        <w:rPr>
          <w:color w:val="000000"/>
          <w:sz w:val="26"/>
        </w:rPr>
        <w:t xml:space="preserve"> </w:t>
      </w:r>
      <w:r w:rsidR="00AD2B66">
        <w:rPr>
          <w:color w:val="000000"/>
          <w:sz w:val="26"/>
        </w:rPr>
        <w:t xml:space="preserve">filed </w:t>
      </w:r>
      <w:r w:rsidR="0002389C" w:rsidRPr="0002389C">
        <w:rPr>
          <w:color w:val="000000"/>
          <w:sz w:val="26"/>
        </w:rPr>
        <w:t>pursuant to Section 5.302(a) of the Commission’s Regulations, 52 Pa. Code § 5.302(a)</w:t>
      </w:r>
      <w:r w:rsidR="0002389C">
        <w:rPr>
          <w:color w:val="000000"/>
          <w:sz w:val="26"/>
        </w:rPr>
        <w:t xml:space="preserve">, </w:t>
      </w:r>
      <w:r w:rsidR="008E23F0">
        <w:rPr>
          <w:color w:val="000000"/>
          <w:sz w:val="26"/>
        </w:rPr>
        <w:t xml:space="preserve">by </w:t>
      </w:r>
      <w:r w:rsidR="00486A08" w:rsidRPr="00486A08">
        <w:rPr>
          <w:bCs/>
          <w:color w:val="000000"/>
          <w:sz w:val="26"/>
        </w:rPr>
        <w:t>Alderwoods (Pennsylvania), Inc., a wholly owned subsidiary of Service Corporation International, t/a Burton L. Hirsch Funeral Home</w:t>
      </w:r>
      <w:r w:rsidR="00E54B21">
        <w:rPr>
          <w:color w:val="000000"/>
          <w:sz w:val="26"/>
        </w:rPr>
        <w:t xml:space="preserve"> (</w:t>
      </w:r>
      <w:r w:rsidR="00807A02">
        <w:rPr>
          <w:color w:val="000000"/>
          <w:sz w:val="26"/>
        </w:rPr>
        <w:t>Alderwoods</w:t>
      </w:r>
      <w:r w:rsidR="00E54B21">
        <w:rPr>
          <w:color w:val="000000"/>
          <w:sz w:val="26"/>
        </w:rPr>
        <w:t xml:space="preserve"> or </w:t>
      </w:r>
      <w:r w:rsidR="00486A08">
        <w:rPr>
          <w:color w:val="000000"/>
          <w:sz w:val="26"/>
        </w:rPr>
        <w:t>Petitioner</w:t>
      </w:r>
      <w:r w:rsidR="00E54B21">
        <w:rPr>
          <w:color w:val="000000"/>
          <w:sz w:val="26"/>
        </w:rPr>
        <w:t xml:space="preserve">) on </w:t>
      </w:r>
      <w:r w:rsidR="00281C76">
        <w:rPr>
          <w:color w:val="000000"/>
          <w:sz w:val="26"/>
        </w:rPr>
        <w:t>April 22</w:t>
      </w:r>
      <w:r w:rsidR="00E54B21">
        <w:rPr>
          <w:color w:val="000000"/>
          <w:sz w:val="26"/>
        </w:rPr>
        <w:t xml:space="preserve">, 2016, </w:t>
      </w:r>
      <w:r w:rsidR="001235EB">
        <w:rPr>
          <w:color w:val="000000"/>
          <w:sz w:val="26"/>
        </w:rPr>
        <w:t>in the above-captioned proceeding</w:t>
      </w:r>
      <w:r w:rsidR="00283C96">
        <w:rPr>
          <w:color w:val="000000"/>
          <w:sz w:val="26"/>
        </w:rPr>
        <w:t>.</w:t>
      </w:r>
      <w:r w:rsidR="00FF5288">
        <w:rPr>
          <w:color w:val="000000"/>
          <w:sz w:val="26"/>
        </w:rPr>
        <w:t xml:space="preserve">  </w:t>
      </w:r>
      <w:r w:rsidR="00923812" w:rsidRPr="00923812">
        <w:rPr>
          <w:color w:val="000000"/>
          <w:sz w:val="26"/>
        </w:rPr>
        <w:t xml:space="preserve">On May 2, 2016, Alderwoods and Duquesne Light Company (Duquesne or </w:t>
      </w:r>
      <w:r w:rsidR="00BB7810">
        <w:rPr>
          <w:color w:val="000000"/>
          <w:sz w:val="26"/>
        </w:rPr>
        <w:t>Company</w:t>
      </w:r>
      <w:r w:rsidR="00923812" w:rsidRPr="00923812">
        <w:rPr>
          <w:color w:val="000000"/>
          <w:sz w:val="26"/>
        </w:rPr>
        <w:t xml:space="preserve">) </w:t>
      </w:r>
      <w:r w:rsidR="0002389C">
        <w:rPr>
          <w:color w:val="000000"/>
          <w:sz w:val="26"/>
        </w:rPr>
        <w:t xml:space="preserve">each </w:t>
      </w:r>
      <w:r w:rsidR="00923812" w:rsidRPr="00923812">
        <w:rPr>
          <w:color w:val="000000"/>
          <w:sz w:val="26"/>
        </w:rPr>
        <w:t xml:space="preserve">filed </w:t>
      </w:r>
      <w:r w:rsidR="0002389C">
        <w:rPr>
          <w:color w:val="000000"/>
          <w:sz w:val="26"/>
        </w:rPr>
        <w:t xml:space="preserve">a </w:t>
      </w:r>
      <w:r w:rsidR="00923812" w:rsidRPr="00923812">
        <w:rPr>
          <w:color w:val="000000"/>
          <w:sz w:val="26"/>
        </w:rPr>
        <w:t>brief in response to the Petition.</w:t>
      </w:r>
    </w:p>
    <w:p w:rsidR="00923812" w:rsidRPr="00923812" w:rsidRDefault="00923812" w:rsidP="00923812">
      <w:pPr>
        <w:widowControl/>
        <w:spacing w:line="360" w:lineRule="auto"/>
        <w:ind w:firstLine="1440"/>
        <w:rPr>
          <w:color w:val="000000"/>
          <w:sz w:val="26"/>
        </w:rPr>
      </w:pPr>
    </w:p>
    <w:p w:rsidR="00890FF0" w:rsidRDefault="000D537C" w:rsidP="000D537C">
      <w:pPr>
        <w:widowControl/>
        <w:spacing w:line="360" w:lineRule="auto"/>
        <w:ind w:firstLine="1440"/>
        <w:rPr>
          <w:color w:val="000000"/>
          <w:sz w:val="26"/>
        </w:rPr>
      </w:pPr>
      <w:r>
        <w:rPr>
          <w:color w:val="000000"/>
          <w:sz w:val="26"/>
        </w:rPr>
        <w:t>In its Petition</w:t>
      </w:r>
      <w:r w:rsidR="00783022" w:rsidRPr="00783022">
        <w:rPr>
          <w:color w:val="000000"/>
          <w:sz w:val="26"/>
        </w:rPr>
        <w:t xml:space="preserve"> </w:t>
      </w:r>
      <w:r w:rsidR="00807A02">
        <w:rPr>
          <w:color w:val="000000"/>
          <w:sz w:val="26"/>
        </w:rPr>
        <w:t>Alderwoods seek</w:t>
      </w:r>
      <w:r>
        <w:rPr>
          <w:color w:val="000000"/>
          <w:sz w:val="26"/>
        </w:rPr>
        <w:t>s</w:t>
      </w:r>
      <w:r w:rsidR="00807A02">
        <w:rPr>
          <w:color w:val="000000"/>
          <w:sz w:val="26"/>
        </w:rPr>
        <w:t xml:space="preserve"> Commission review of and answers to the following material questions:</w:t>
      </w:r>
    </w:p>
    <w:p w:rsidR="0048688D" w:rsidRDefault="0048688D" w:rsidP="00B90FEE">
      <w:pPr>
        <w:widowControl/>
        <w:spacing w:line="360" w:lineRule="auto"/>
        <w:ind w:firstLine="1440"/>
        <w:rPr>
          <w:color w:val="000000"/>
          <w:sz w:val="26"/>
        </w:rPr>
      </w:pPr>
    </w:p>
    <w:p w:rsidR="00B06061" w:rsidRDefault="007F29F2" w:rsidP="00B90FEE">
      <w:pPr>
        <w:widowControl/>
        <w:tabs>
          <w:tab w:val="left" w:pos="2160"/>
        </w:tabs>
        <w:ind w:left="2160" w:right="1440" w:hanging="720"/>
        <w:rPr>
          <w:sz w:val="26"/>
          <w:szCs w:val="26"/>
        </w:rPr>
      </w:pPr>
      <w:r>
        <w:rPr>
          <w:sz w:val="26"/>
          <w:szCs w:val="26"/>
        </w:rPr>
        <w:t>1</w:t>
      </w:r>
      <w:r w:rsidR="00E54B21">
        <w:rPr>
          <w:sz w:val="26"/>
          <w:szCs w:val="26"/>
        </w:rPr>
        <w:t>.</w:t>
      </w:r>
      <w:r w:rsidR="00B06061">
        <w:rPr>
          <w:sz w:val="26"/>
          <w:szCs w:val="26"/>
        </w:rPr>
        <w:tab/>
      </w:r>
      <w:r w:rsidR="00807A02">
        <w:rPr>
          <w:sz w:val="26"/>
          <w:szCs w:val="26"/>
        </w:rPr>
        <w:t xml:space="preserve">Under the doctrine of primary jurisdiction, does the </w:t>
      </w:r>
      <w:r w:rsidR="00280AC8">
        <w:rPr>
          <w:sz w:val="26"/>
          <w:szCs w:val="26"/>
        </w:rPr>
        <w:t>[Commission]</w:t>
      </w:r>
      <w:r w:rsidR="00807A02">
        <w:rPr>
          <w:sz w:val="26"/>
          <w:szCs w:val="26"/>
        </w:rPr>
        <w:t xml:space="preserve"> have jurisdiction to determine the liability of a utility to one customer who alleges property damage caused by the negligent res</w:t>
      </w:r>
      <w:r w:rsidR="000D537C">
        <w:rPr>
          <w:sz w:val="26"/>
          <w:szCs w:val="26"/>
        </w:rPr>
        <w:t>t</w:t>
      </w:r>
      <w:r w:rsidR="00807A02">
        <w:rPr>
          <w:sz w:val="26"/>
          <w:szCs w:val="26"/>
        </w:rPr>
        <w:t>oration of electrical service to that one customer on one particular occasion, when the customer does not allege, and has never alleged, violation of the reasonable and adequate service requirements of 66 Pa. C.S. § 1501 or any other statutory or regulatory violation?</w:t>
      </w:r>
      <w:r>
        <w:rPr>
          <w:sz w:val="26"/>
          <w:szCs w:val="26"/>
        </w:rPr>
        <w:t xml:space="preserve"> </w:t>
      </w:r>
    </w:p>
    <w:p w:rsidR="00B06061" w:rsidRDefault="00B06061" w:rsidP="00B90FEE">
      <w:pPr>
        <w:widowControl/>
        <w:ind w:left="1440" w:right="1440"/>
        <w:rPr>
          <w:sz w:val="26"/>
          <w:szCs w:val="26"/>
        </w:rPr>
      </w:pPr>
    </w:p>
    <w:p w:rsidR="00807A02" w:rsidRDefault="00F43372" w:rsidP="00807A02">
      <w:pPr>
        <w:widowControl/>
        <w:tabs>
          <w:tab w:val="left" w:pos="1440"/>
        </w:tabs>
        <w:ind w:left="2160" w:right="1440" w:hanging="720"/>
        <w:rPr>
          <w:sz w:val="26"/>
          <w:szCs w:val="26"/>
        </w:rPr>
      </w:pPr>
      <w:r>
        <w:rPr>
          <w:sz w:val="26"/>
          <w:szCs w:val="26"/>
        </w:rPr>
        <w:t>2</w:t>
      </w:r>
      <w:r w:rsidR="00C363E2">
        <w:rPr>
          <w:sz w:val="26"/>
          <w:szCs w:val="26"/>
        </w:rPr>
        <w:t>.</w:t>
      </w:r>
      <w:r w:rsidR="00C363E2">
        <w:rPr>
          <w:sz w:val="26"/>
          <w:szCs w:val="26"/>
        </w:rPr>
        <w:tab/>
      </w:r>
      <w:r w:rsidR="00807A02">
        <w:rPr>
          <w:sz w:val="26"/>
          <w:szCs w:val="26"/>
        </w:rPr>
        <w:t xml:space="preserve">May the </w:t>
      </w:r>
      <w:r w:rsidR="00280AC8">
        <w:rPr>
          <w:sz w:val="26"/>
          <w:szCs w:val="26"/>
        </w:rPr>
        <w:t>[Commission]</w:t>
      </w:r>
      <w:r w:rsidR="00807A02">
        <w:rPr>
          <w:sz w:val="26"/>
          <w:szCs w:val="26"/>
        </w:rPr>
        <w:t xml:space="preserve"> adjudicate a hypothetical question, not involving an actual case or controversy, which has been raised by the Presiding Officer but not by the complainant, when doing so deprives the complainant of a stake in the outcome of the adjudication?</w:t>
      </w:r>
    </w:p>
    <w:p w:rsidR="007C627F" w:rsidRDefault="007C627F" w:rsidP="00807A02">
      <w:pPr>
        <w:widowControl/>
        <w:tabs>
          <w:tab w:val="left" w:pos="1440"/>
        </w:tabs>
        <w:ind w:left="2160" w:right="1440" w:hanging="720"/>
        <w:rPr>
          <w:sz w:val="26"/>
          <w:szCs w:val="26"/>
        </w:rPr>
      </w:pPr>
    </w:p>
    <w:p w:rsidR="007C627F" w:rsidRDefault="007C627F" w:rsidP="00807A02">
      <w:pPr>
        <w:widowControl/>
        <w:tabs>
          <w:tab w:val="left" w:pos="1440"/>
        </w:tabs>
        <w:ind w:left="2160" w:right="1440" w:hanging="720"/>
        <w:rPr>
          <w:sz w:val="26"/>
          <w:szCs w:val="26"/>
        </w:rPr>
      </w:pPr>
    </w:p>
    <w:p w:rsidR="00AB43F8" w:rsidRDefault="00C363E2" w:rsidP="00B90FEE">
      <w:pPr>
        <w:widowControl/>
        <w:spacing w:line="360" w:lineRule="auto"/>
        <w:rPr>
          <w:sz w:val="26"/>
          <w:szCs w:val="26"/>
        </w:rPr>
      </w:pPr>
      <w:r w:rsidRPr="00C363E2">
        <w:rPr>
          <w:sz w:val="26"/>
          <w:szCs w:val="26"/>
        </w:rPr>
        <w:t>Petition at 2.</w:t>
      </w:r>
      <w:r>
        <w:rPr>
          <w:sz w:val="26"/>
          <w:szCs w:val="26"/>
        </w:rPr>
        <w:t xml:space="preserve">  </w:t>
      </w:r>
      <w:r w:rsidR="007C627F">
        <w:rPr>
          <w:sz w:val="26"/>
          <w:szCs w:val="26"/>
        </w:rPr>
        <w:t xml:space="preserve">Alderwoods </w:t>
      </w:r>
      <w:r w:rsidR="00923812">
        <w:rPr>
          <w:sz w:val="26"/>
          <w:szCs w:val="26"/>
        </w:rPr>
        <w:t xml:space="preserve">proposed </w:t>
      </w:r>
      <w:r w:rsidR="0002389C">
        <w:rPr>
          <w:sz w:val="26"/>
          <w:szCs w:val="26"/>
        </w:rPr>
        <w:t xml:space="preserve">that </w:t>
      </w:r>
      <w:r w:rsidR="00923812">
        <w:rPr>
          <w:sz w:val="26"/>
          <w:szCs w:val="26"/>
        </w:rPr>
        <w:t xml:space="preserve">each question be answered in the negative.  Alderwoods’ Brief at 2.  </w:t>
      </w:r>
    </w:p>
    <w:p w:rsidR="00923812" w:rsidRDefault="00923812" w:rsidP="00B90FEE">
      <w:pPr>
        <w:widowControl/>
        <w:spacing w:line="360" w:lineRule="auto"/>
        <w:rPr>
          <w:sz w:val="26"/>
          <w:szCs w:val="26"/>
        </w:rPr>
      </w:pPr>
    </w:p>
    <w:p w:rsidR="00AB43F8" w:rsidRPr="00AB43F8" w:rsidRDefault="00AB43F8" w:rsidP="00AB43F8">
      <w:pPr>
        <w:widowControl/>
        <w:spacing w:line="360" w:lineRule="auto"/>
        <w:ind w:firstLine="1440"/>
        <w:rPr>
          <w:sz w:val="26"/>
          <w:szCs w:val="26"/>
        </w:rPr>
      </w:pPr>
      <w:r w:rsidRPr="00AB43F8">
        <w:rPr>
          <w:sz w:val="26"/>
          <w:szCs w:val="26"/>
        </w:rPr>
        <w:lastRenderedPageBreak/>
        <w:t xml:space="preserve">By Secretarial Letter issued </w:t>
      </w:r>
      <w:r>
        <w:rPr>
          <w:sz w:val="26"/>
          <w:szCs w:val="26"/>
        </w:rPr>
        <w:t>May 4</w:t>
      </w:r>
      <w:r w:rsidRPr="00AB43F8">
        <w:rPr>
          <w:sz w:val="26"/>
          <w:szCs w:val="26"/>
        </w:rPr>
        <w:t>, 201</w:t>
      </w:r>
      <w:r>
        <w:rPr>
          <w:sz w:val="26"/>
          <w:szCs w:val="26"/>
        </w:rPr>
        <w:t>6</w:t>
      </w:r>
      <w:r w:rsidRPr="00AB43F8">
        <w:rPr>
          <w:sz w:val="26"/>
          <w:szCs w:val="26"/>
        </w:rPr>
        <w:t>, the Commission waived the thirty-day consideration period set forth in 52 Pa. Code § 5.303, in order to provide adequate time for a thorough review of the Material Question</w:t>
      </w:r>
      <w:r>
        <w:rPr>
          <w:sz w:val="26"/>
          <w:szCs w:val="26"/>
        </w:rPr>
        <w:t>s</w:t>
      </w:r>
      <w:r w:rsidRPr="00AB43F8">
        <w:rPr>
          <w:sz w:val="26"/>
          <w:szCs w:val="26"/>
        </w:rPr>
        <w:t xml:space="preserve">.  </w:t>
      </w:r>
      <w:r w:rsidRPr="00AB43F8">
        <w:rPr>
          <w:i/>
          <w:sz w:val="26"/>
          <w:szCs w:val="26"/>
        </w:rPr>
        <w:t>See</w:t>
      </w:r>
      <w:r w:rsidRPr="00AB43F8">
        <w:rPr>
          <w:sz w:val="26"/>
          <w:szCs w:val="26"/>
        </w:rPr>
        <w:t xml:space="preserve"> 52 Pa. Code § 1.2(c); </w:t>
      </w:r>
      <w:r w:rsidRPr="00AB43F8">
        <w:rPr>
          <w:i/>
          <w:sz w:val="26"/>
          <w:szCs w:val="26"/>
        </w:rPr>
        <w:t>see also</w:t>
      </w:r>
      <w:r w:rsidRPr="00AB43F8">
        <w:rPr>
          <w:sz w:val="26"/>
          <w:szCs w:val="26"/>
        </w:rPr>
        <w:t xml:space="preserve"> </w:t>
      </w:r>
      <w:r w:rsidRPr="00AB43F8">
        <w:rPr>
          <w:i/>
          <w:sz w:val="26"/>
          <w:szCs w:val="26"/>
        </w:rPr>
        <w:t>C.S. Warthman Funeral Home v. GTE North, Incorporated</w:t>
      </w:r>
      <w:r w:rsidRPr="00AB43F8">
        <w:rPr>
          <w:sz w:val="26"/>
          <w:szCs w:val="26"/>
        </w:rPr>
        <w:t>, Docket No. C-00924416 (Order entered June 4, 1993).</w:t>
      </w:r>
    </w:p>
    <w:p w:rsidR="00AB43F8" w:rsidRPr="00AB43F8" w:rsidRDefault="00AB43F8" w:rsidP="00AB43F8">
      <w:pPr>
        <w:widowControl/>
        <w:spacing w:line="360" w:lineRule="auto"/>
        <w:ind w:firstLine="1440"/>
        <w:rPr>
          <w:sz w:val="26"/>
          <w:szCs w:val="26"/>
        </w:rPr>
      </w:pPr>
    </w:p>
    <w:p w:rsidR="00100E2F" w:rsidRDefault="00634219" w:rsidP="00B90FEE">
      <w:pPr>
        <w:widowControl/>
        <w:spacing w:line="360" w:lineRule="auto"/>
        <w:rPr>
          <w:sz w:val="26"/>
          <w:szCs w:val="26"/>
        </w:rPr>
      </w:pPr>
      <w:bookmarkStart w:id="0" w:name="OLE_LINK1"/>
      <w:bookmarkStart w:id="1" w:name="OLE_LINK2"/>
      <w:r>
        <w:rPr>
          <w:b/>
          <w:sz w:val="26"/>
          <w:szCs w:val="26"/>
        </w:rPr>
        <w:tab/>
      </w:r>
      <w:r>
        <w:rPr>
          <w:b/>
          <w:sz w:val="26"/>
          <w:szCs w:val="26"/>
        </w:rPr>
        <w:tab/>
      </w:r>
      <w:r w:rsidR="002C34B0">
        <w:rPr>
          <w:sz w:val="26"/>
          <w:szCs w:val="26"/>
        </w:rPr>
        <w:t>For the reasons more fully discussed below, we shall decline to answer the material questions.</w:t>
      </w:r>
    </w:p>
    <w:p w:rsidR="001A23CB" w:rsidRDefault="001A23CB" w:rsidP="00B90FEE">
      <w:pPr>
        <w:widowControl/>
        <w:spacing w:line="360" w:lineRule="auto"/>
        <w:rPr>
          <w:sz w:val="26"/>
          <w:szCs w:val="26"/>
        </w:rPr>
      </w:pPr>
    </w:p>
    <w:p w:rsidR="001A23CB" w:rsidRPr="000D6208" w:rsidRDefault="00AD3895" w:rsidP="00E44628">
      <w:pPr>
        <w:pStyle w:val="Heading1"/>
      </w:pPr>
      <w:bookmarkStart w:id="2" w:name="_Toc462297966"/>
      <w:r w:rsidRPr="000D6208">
        <w:t>I.</w:t>
      </w:r>
      <w:r w:rsidRPr="000D6208">
        <w:tab/>
      </w:r>
      <w:r w:rsidR="001A23CB" w:rsidRPr="000D6208">
        <w:t>Background</w:t>
      </w:r>
      <w:bookmarkEnd w:id="2"/>
    </w:p>
    <w:p w:rsidR="001A23CB" w:rsidRDefault="001A23CB" w:rsidP="001A23CB">
      <w:pPr>
        <w:widowControl/>
        <w:spacing w:line="360" w:lineRule="auto"/>
        <w:rPr>
          <w:sz w:val="26"/>
          <w:szCs w:val="26"/>
        </w:rPr>
      </w:pPr>
    </w:p>
    <w:p w:rsidR="001742F7" w:rsidRDefault="001A23CB" w:rsidP="001A23CB">
      <w:pPr>
        <w:widowControl/>
        <w:spacing w:line="360" w:lineRule="auto"/>
        <w:ind w:firstLine="1440"/>
        <w:rPr>
          <w:sz w:val="26"/>
          <w:szCs w:val="26"/>
        </w:rPr>
      </w:pPr>
      <w:r>
        <w:rPr>
          <w:sz w:val="26"/>
          <w:szCs w:val="26"/>
        </w:rPr>
        <w:t>On or around January 8, 2009, a motor vehicle collided with a utility pole owned and/or maintained by Duquesne</w:t>
      </w:r>
      <w:r w:rsidR="008D7D95">
        <w:rPr>
          <w:sz w:val="26"/>
          <w:szCs w:val="26"/>
        </w:rPr>
        <w:t>.  The</w:t>
      </w:r>
      <w:r w:rsidRPr="001A23CB">
        <w:rPr>
          <w:sz w:val="26"/>
          <w:szCs w:val="26"/>
        </w:rPr>
        <w:t xml:space="preserve"> collision caused an electrical outage for customers on Forward and Murray Avenues</w:t>
      </w:r>
      <w:r>
        <w:rPr>
          <w:sz w:val="26"/>
          <w:szCs w:val="26"/>
        </w:rPr>
        <w:t xml:space="preserve"> in Pittsburgh, Pennsylvania</w:t>
      </w:r>
      <w:r w:rsidRPr="001A23CB">
        <w:rPr>
          <w:sz w:val="26"/>
          <w:szCs w:val="26"/>
        </w:rPr>
        <w:t xml:space="preserve">, including but not limited to </w:t>
      </w:r>
      <w:r w:rsidR="008D7D95">
        <w:rPr>
          <w:sz w:val="26"/>
          <w:szCs w:val="26"/>
        </w:rPr>
        <w:t xml:space="preserve">service to </w:t>
      </w:r>
      <w:r w:rsidR="00764058" w:rsidRPr="00764058">
        <w:rPr>
          <w:sz w:val="26"/>
          <w:szCs w:val="26"/>
        </w:rPr>
        <w:t>the Burton L. Hirsch Funeral Home (Funeral Home)</w:t>
      </w:r>
      <w:r w:rsidR="008D7D95">
        <w:rPr>
          <w:sz w:val="26"/>
          <w:szCs w:val="26"/>
        </w:rPr>
        <w:t>,</w:t>
      </w:r>
      <w:r w:rsidR="008D7D95" w:rsidRPr="008D7D95">
        <w:rPr>
          <w:sz w:val="26"/>
          <w:szCs w:val="26"/>
        </w:rPr>
        <w:t xml:space="preserve"> a property owned by Alderwoods</w:t>
      </w:r>
      <w:r>
        <w:rPr>
          <w:sz w:val="26"/>
          <w:szCs w:val="26"/>
        </w:rPr>
        <w:t xml:space="preserve">.  </w:t>
      </w:r>
      <w:r w:rsidR="00764058">
        <w:rPr>
          <w:sz w:val="26"/>
          <w:szCs w:val="26"/>
        </w:rPr>
        <w:t>Following restoration of power to the Funeral Home, a fire originated</w:t>
      </w:r>
      <w:r w:rsidR="008D02AC">
        <w:rPr>
          <w:sz w:val="26"/>
          <w:szCs w:val="26"/>
        </w:rPr>
        <w:t xml:space="preserve"> in the </w:t>
      </w:r>
      <w:r w:rsidR="0002389C">
        <w:rPr>
          <w:sz w:val="26"/>
          <w:szCs w:val="26"/>
        </w:rPr>
        <w:t>property</w:t>
      </w:r>
      <w:r w:rsidR="008D02AC">
        <w:rPr>
          <w:sz w:val="26"/>
          <w:szCs w:val="26"/>
        </w:rPr>
        <w:t>’s electric panel and consumed the property</w:t>
      </w:r>
      <w:r w:rsidR="00764058">
        <w:rPr>
          <w:sz w:val="26"/>
          <w:szCs w:val="26"/>
        </w:rPr>
        <w:t xml:space="preserve">.  </w:t>
      </w:r>
    </w:p>
    <w:p w:rsidR="001742F7" w:rsidRDefault="001742F7" w:rsidP="001A23CB">
      <w:pPr>
        <w:widowControl/>
        <w:spacing w:line="360" w:lineRule="auto"/>
        <w:ind w:firstLine="1440"/>
        <w:rPr>
          <w:sz w:val="26"/>
          <w:szCs w:val="26"/>
        </w:rPr>
      </w:pPr>
    </w:p>
    <w:p w:rsidR="00764058" w:rsidRPr="00944C85" w:rsidRDefault="00764058" w:rsidP="001A23CB">
      <w:pPr>
        <w:widowControl/>
        <w:spacing w:line="360" w:lineRule="auto"/>
        <w:ind w:firstLine="1440"/>
        <w:rPr>
          <w:sz w:val="26"/>
          <w:szCs w:val="26"/>
        </w:rPr>
      </w:pPr>
      <w:r>
        <w:rPr>
          <w:sz w:val="26"/>
          <w:szCs w:val="26"/>
        </w:rPr>
        <w:t xml:space="preserve">Alderwoods filed a civil complaint </w:t>
      </w:r>
      <w:r w:rsidR="00655464">
        <w:rPr>
          <w:sz w:val="26"/>
          <w:szCs w:val="26"/>
        </w:rPr>
        <w:t xml:space="preserve">against Duquesne </w:t>
      </w:r>
      <w:r w:rsidR="00655464" w:rsidRPr="00655464">
        <w:rPr>
          <w:sz w:val="26"/>
          <w:szCs w:val="26"/>
        </w:rPr>
        <w:t>in August 2009 in the Court of Common Pleas of Allegheny County</w:t>
      </w:r>
      <w:r>
        <w:rPr>
          <w:sz w:val="26"/>
          <w:szCs w:val="26"/>
        </w:rPr>
        <w:t xml:space="preserve"> alleging, </w:t>
      </w:r>
      <w:r>
        <w:rPr>
          <w:i/>
          <w:sz w:val="26"/>
          <w:szCs w:val="26"/>
        </w:rPr>
        <w:t>inter alia</w:t>
      </w:r>
      <w:r>
        <w:rPr>
          <w:sz w:val="26"/>
          <w:szCs w:val="26"/>
        </w:rPr>
        <w:t>, various counts of negligence</w:t>
      </w:r>
      <w:r w:rsidR="001F214E">
        <w:rPr>
          <w:sz w:val="26"/>
          <w:szCs w:val="26"/>
        </w:rPr>
        <w:t xml:space="preserve"> and warranty</w:t>
      </w:r>
      <w:r>
        <w:rPr>
          <w:sz w:val="26"/>
          <w:szCs w:val="26"/>
        </w:rPr>
        <w:t>.  At the conclusion of discovery, Duquesne filed for summary judgment, which the trial court granted</w:t>
      </w:r>
      <w:r w:rsidR="00944C85">
        <w:rPr>
          <w:sz w:val="26"/>
          <w:szCs w:val="26"/>
        </w:rPr>
        <w:t xml:space="preserve"> on the basis that a utility has no duty to inspect its customers’ equipment</w:t>
      </w:r>
      <w:r>
        <w:rPr>
          <w:sz w:val="26"/>
          <w:szCs w:val="26"/>
        </w:rPr>
        <w:t xml:space="preserve">.  </w:t>
      </w:r>
      <w:r w:rsidR="00944C85">
        <w:rPr>
          <w:i/>
          <w:sz w:val="26"/>
          <w:szCs w:val="26"/>
        </w:rPr>
        <w:t>Alderwoods (Pa.), Inc. v. Duquesne Light Co.</w:t>
      </w:r>
      <w:r w:rsidR="00944C85">
        <w:rPr>
          <w:sz w:val="26"/>
          <w:szCs w:val="26"/>
        </w:rPr>
        <w:t xml:space="preserve">, No. G.D. 09-14720, </w:t>
      </w:r>
      <w:r w:rsidR="00944C85">
        <w:rPr>
          <w:i/>
          <w:sz w:val="26"/>
          <w:szCs w:val="26"/>
        </w:rPr>
        <w:t>slip op.,</w:t>
      </w:r>
      <w:r w:rsidR="00944C85">
        <w:rPr>
          <w:sz w:val="26"/>
          <w:szCs w:val="26"/>
        </w:rPr>
        <w:t xml:space="preserve"> 2011 WL 8614889 (C.P. Allegheny March 8, 2011).</w:t>
      </w:r>
    </w:p>
    <w:p w:rsidR="00764058" w:rsidRDefault="00764058" w:rsidP="001A23CB">
      <w:pPr>
        <w:widowControl/>
        <w:spacing w:line="360" w:lineRule="auto"/>
        <w:ind w:firstLine="1440"/>
        <w:rPr>
          <w:sz w:val="26"/>
          <w:szCs w:val="26"/>
        </w:rPr>
      </w:pPr>
    </w:p>
    <w:p w:rsidR="0093473A" w:rsidRPr="003B0780" w:rsidRDefault="00655464" w:rsidP="001A23CB">
      <w:pPr>
        <w:widowControl/>
        <w:spacing w:line="360" w:lineRule="auto"/>
        <w:ind w:firstLine="1440"/>
        <w:rPr>
          <w:sz w:val="26"/>
          <w:szCs w:val="26"/>
        </w:rPr>
      </w:pPr>
      <w:r>
        <w:rPr>
          <w:sz w:val="26"/>
          <w:szCs w:val="26"/>
        </w:rPr>
        <w:t>Alderwoods appealed, and in July 2012</w:t>
      </w:r>
      <w:r w:rsidR="003F3147">
        <w:rPr>
          <w:sz w:val="26"/>
          <w:szCs w:val="26"/>
        </w:rPr>
        <w:t>,</w:t>
      </w:r>
      <w:r>
        <w:rPr>
          <w:sz w:val="26"/>
          <w:szCs w:val="26"/>
        </w:rPr>
        <w:t xml:space="preserve"> the Superior Court </w:t>
      </w:r>
      <w:r w:rsidR="001F214E">
        <w:rPr>
          <w:sz w:val="26"/>
          <w:szCs w:val="26"/>
        </w:rPr>
        <w:t xml:space="preserve">reversed </w:t>
      </w:r>
      <w:r w:rsidR="0002389C">
        <w:rPr>
          <w:sz w:val="26"/>
          <w:szCs w:val="26"/>
        </w:rPr>
        <w:t xml:space="preserve">the summary judgment as to Alderwoods’ negligence counts </w:t>
      </w:r>
      <w:r w:rsidR="008D02AC">
        <w:rPr>
          <w:sz w:val="26"/>
          <w:szCs w:val="26"/>
        </w:rPr>
        <w:t xml:space="preserve">and remanded </w:t>
      </w:r>
      <w:r w:rsidR="0002389C">
        <w:rPr>
          <w:sz w:val="26"/>
          <w:szCs w:val="26"/>
        </w:rPr>
        <w:t xml:space="preserve">the proceeding to </w:t>
      </w:r>
      <w:r w:rsidR="001F214E">
        <w:rPr>
          <w:sz w:val="26"/>
          <w:szCs w:val="26"/>
        </w:rPr>
        <w:t xml:space="preserve">the </w:t>
      </w:r>
      <w:r w:rsidR="0014754C">
        <w:rPr>
          <w:sz w:val="26"/>
          <w:szCs w:val="26"/>
        </w:rPr>
        <w:t>trial court</w:t>
      </w:r>
      <w:r w:rsidR="001F214E">
        <w:rPr>
          <w:sz w:val="26"/>
          <w:szCs w:val="26"/>
        </w:rPr>
        <w:t xml:space="preserve">.  </w:t>
      </w:r>
      <w:r w:rsidR="001F214E">
        <w:rPr>
          <w:i/>
          <w:sz w:val="26"/>
          <w:szCs w:val="26"/>
        </w:rPr>
        <w:t>Alderwoods (Pennsylvania),</w:t>
      </w:r>
      <w:r w:rsidR="0093473A">
        <w:rPr>
          <w:i/>
          <w:sz w:val="26"/>
          <w:szCs w:val="26"/>
        </w:rPr>
        <w:t xml:space="preserve"> Inc.</w:t>
      </w:r>
      <w:r w:rsidR="001F214E" w:rsidRPr="001F214E">
        <w:rPr>
          <w:i/>
          <w:sz w:val="26"/>
          <w:szCs w:val="26"/>
        </w:rPr>
        <w:t xml:space="preserve"> v. Duquesne Light Co.</w:t>
      </w:r>
      <w:r w:rsidR="001F214E">
        <w:rPr>
          <w:i/>
          <w:sz w:val="26"/>
          <w:szCs w:val="26"/>
        </w:rPr>
        <w:t xml:space="preserve">, </w:t>
      </w:r>
      <w:r w:rsidR="0014754C">
        <w:rPr>
          <w:sz w:val="26"/>
          <w:szCs w:val="26"/>
        </w:rPr>
        <w:t>52 A.3d 347 (Pa. Super. 2012) (</w:t>
      </w:r>
      <w:r w:rsidR="0014754C">
        <w:rPr>
          <w:i/>
          <w:sz w:val="26"/>
          <w:szCs w:val="26"/>
        </w:rPr>
        <w:t xml:space="preserve">Alderwoods </w:t>
      </w:r>
      <w:r w:rsidR="0014754C" w:rsidRPr="0014754C">
        <w:rPr>
          <w:i/>
          <w:sz w:val="26"/>
          <w:szCs w:val="26"/>
        </w:rPr>
        <w:t>2012</w:t>
      </w:r>
      <w:r w:rsidR="003B0780">
        <w:rPr>
          <w:sz w:val="26"/>
          <w:szCs w:val="26"/>
        </w:rPr>
        <w:t xml:space="preserve">).  </w:t>
      </w:r>
      <w:r w:rsidR="000556CF">
        <w:rPr>
          <w:sz w:val="26"/>
          <w:szCs w:val="26"/>
        </w:rPr>
        <w:t xml:space="preserve">Reviewing the standard of care in negligence actions, </w:t>
      </w:r>
      <w:r w:rsidR="0093473A">
        <w:rPr>
          <w:sz w:val="26"/>
          <w:szCs w:val="26"/>
        </w:rPr>
        <w:lastRenderedPageBreak/>
        <w:t xml:space="preserve">and </w:t>
      </w:r>
      <w:r w:rsidR="000556CF">
        <w:rPr>
          <w:sz w:val="26"/>
          <w:szCs w:val="26"/>
        </w:rPr>
        <w:t>specifically in cases involving utilities</w:t>
      </w:r>
      <w:r w:rsidR="0093473A" w:rsidRPr="0093473A">
        <w:rPr>
          <w:sz w:val="26"/>
          <w:szCs w:val="26"/>
        </w:rPr>
        <w:t xml:space="preserve"> and the “dangerous instrumentality” involved in the transmission of electricity</w:t>
      </w:r>
      <w:r w:rsidR="000556CF">
        <w:rPr>
          <w:sz w:val="26"/>
          <w:szCs w:val="26"/>
        </w:rPr>
        <w:t xml:space="preserve">, the Superior Court </w:t>
      </w:r>
      <w:r w:rsidR="0093473A">
        <w:rPr>
          <w:sz w:val="26"/>
          <w:szCs w:val="26"/>
        </w:rPr>
        <w:t xml:space="preserve">affirmed </w:t>
      </w:r>
      <w:r w:rsidR="000556CF">
        <w:rPr>
          <w:sz w:val="26"/>
          <w:szCs w:val="26"/>
        </w:rPr>
        <w:t xml:space="preserve">that </w:t>
      </w:r>
      <w:r w:rsidR="00165CFE">
        <w:rPr>
          <w:sz w:val="26"/>
          <w:szCs w:val="26"/>
        </w:rPr>
        <w:t>a</w:t>
      </w:r>
      <w:r w:rsidR="0093473A">
        <w:rPr>
          <w:sz w:val="26"/>
          <w:szCs w:val="26"/>
        </w:rPr>
        <w:t xml:space="preserve"> standard of care</w:t>
      </w:r>
      <w:r w:rsidR="00944C85">
        <w:rPr>
          <w:sz w:val="26"/>
          <w:szCs w:val="26"/>
        </w:rPr>
        <w:t xml:space="preserve"> </w:t>
      </w:r>
      <w:r w:rsidR="00900695">
        <w:rPr>
          <w:sz w:val="26"/>
          <w:szCs w:val="26"/>
        </w:rPr>
        <w:t>in</w:t>
      </w:r>
      <w:r w:rsidR="00944C85">
        <w:rPr>
          <w:sz w:val="26"/>
          <w:szCs w:val="26"/>
        </w:rPr>
        <w:t xml:space="preserve"> a negligence </w:t>
      </w:r>
      <w:r w:rsidR="00900695">
        <w:rPr>
          <w:sz w:val="26"/>
          <w:szCs w:val="26"/>
        </w:rPr>
        <w:t xml:space="preserve">action </w:t>
      </w:r>
      <w:r w:rsidR="00944C85">
        <w:rPr>
          <w:sz w:val="26"/>
          <w:szCs w:val="26"/>
        </w:rPr>
        <w:t xml:space="preserve">is to </w:t>
      </w:r>
      <w:r w:rsidR="0093473A" w:rsidRPr="003F3147">
        <w:rPr>
          <w:sz w:val="26"/>
          <w:szCs w:val="26"/>
        </w:rPr>
        <w:t xml:space="preserve">exercise </w:t>
      </w:r>
      <w:r w:rsidR="00944C85" w:rsidRPr="003F3147">
        <w:rPr>
          <w:sz w:val="26"/>
          <w:szCs w:val="26"/>
        </w:rPr>
        <w:t xml:space="preserve">the </w:t>
      </w:r>
      <w:r w:rsidR="0093473A" w:rsidRPr="003F3147">
        <w:rPr>
          <w:sz w:val="26"/>
          <w:szCs w:val="26"/>
        </w:rPr>
        <w:t xml:space="preserve">care </w:t>
      </w:r>
      <w:r w:rsidR="00944C85" w:rsidRPr="003F3147">
        <w:rPr>
          <w:sz w:val="26"/>
          <w:szCs w:val="26"/>
        </w:rPr>
        <w:t xml:space="preserve">due </w:t>
      </w:r>
      <w:r w:rsidR="0093473A" w:rsidRPr="003F3147">
        <w:rPr>
          <w:sz w:val="26"/>
          <w:szCs w:val="26"/>
        </w:rPr>
        <w:t>under the circumstances</w:t>
      </w:r>
      <w:r w:rsidR="00165CFE">
        <w:rPr>
          <w:sz w:val="26"/>
          <w:szCs w:val="26"/>
        </w:rPr>
        <w:t>.</w:t>
      </w:r>
      <w:r w:rsidR="003B0780">
        <w:rPr>
          <w:sz w:val="26"/>
          <w:szCs w:val="26"/>
        </w:rPr>
        <w:t xml:space="preserve">  </w:t>
      </w:r>
      <w:r w:rsidR="003B0780">
        <w:rPr>
          <w:i/>
          <w:sz w:val="26"/>
          <w:szCs w:val="26"/>
        </w:rPr>
        <w:t xml:space="preserve">Id. </w:t>
      </w:r>
      <w:r w:rsidR="003B0780">
        <w:rPr>
          <w:sz w:val="26"/>
          <w:szCs w:val="26"/>
        </w:rPr>
        <w:t>at 357.</w:t>
      </w:r>
    </w:p>
    <w:p w:rsidR="0093473A" w:rsidRDefault="0093473A" w:rsidP="001A23CB">
      <w:pPr>
        <w:widowControl/>
        <w:spacing w:line="360" w:lineRule="auto"/>
        <w:ind w:firstLine="1440"/>
        <w:rPr>
          <w:sz w:val="26"/>
          <w:szCs w:val="26"/>
        </w:rPr>
      </w:pPr>
    </w:p>
    <w:p w:rsidR="009E41E5" w:rsidRDefault="0093473A" w:rsidP="009E41E5">
      <w:pPr>
        <w:widowControl/>
        <w:spacing w:line="360" w:lineRule="auto"/>
        <w:ind w:firstLine="1440"/>
        <w:rPr>
          <w:sz w:val="26"/>
          <w:szCs w:val="26"/>
        </w:rPr>
      </w:pPr>
      <w:r>
        <w:rPr>
          <w:sz w:val="26"/>
          <w:szCs w:val="26"/>
        </w:rPr>
        <w:t>Duquesne appealed to the Supreme Court</w:t>
      </w:r>
      <w:r w:rsidR="00E304D6">
        <w:rPr>
          <w:sz w:val="26"/>
          <w:szCs w:val="26"/>
        </w:rPr>
        <w:t>,</w:t>
      </w:r>
      <w:r>
        <w:rPr>
          <w:sz w:val="26"/>
          <w:szCs w:val="26"/>
        </w:rPr>
        <w:t xml:space="preserve"> which affirmed the Superior Court.  </w:t>
      </w:r>
      <w:r w:rsidR="00E304D6" w:rsidRPr="00E304D6">
        <w:rPr>
          <w:i/>
          <w:sz w:val="26"/>
          <w:szCs w:val="26"/>
        </w:rPr>
        <w:t>Alderwoods (Pennsylvania) Inc. v. Duquesne Light Co.</w:t>
      </w:r>
      <w:r w:rsidR="00E304D6" w:rsidRPr="00E304D6">
        <w:rPr>
          <w:sz w:val="26"/>
          <w:szCs w:val="26"/>
        </w:rPr>
        <w:t>, 106 A.3d 27 (Pa. 2014) (</w:t>
      </w:r>
      <w:r w:rsidR="00E304D6" w:rsidRPr="00E304D6">
        <w:rPr>
          <w:i/>
          <w:sz w:val="26"/>
          <w:szCs w:val="26"/>
        </w:rPr>
        <w:t>Alderwoods 2014</w:t>
      </w:r>
      <w:r w:rsidR="00E304D6" w:rsidRPr="00626B43">
        <w:rPr>
          <w:sz w:val="26"/>
          <w:szCs w:val="26"/>
        </w:rPr>
        <w:t>)</w:t>
      </w:r>
      <w:r w:rsidR="00E304D6">
        <w:rPr>
          <w:i/>
          <w:sz w:val="26"/>
          <w:szCs w:val="26"/>
        </w:rPr>
        <w:t xml:space="preserve">.  </w:t>
      </w:r>
      <w:r w:rsidR="003B0780">
        <w:rPr>
          <w:sz w:val="26"/>
          <w:szCs w:val="26"/>
        </w:rPr>
        <w:t xml:space="preserve">The Supreme Court affirmed the viability of a common law cause of action in </w:t>
      </w:r>
      <w:r w:rsidR="00154A88">
        <w:rPr>
          <w:sz w:val="26"/>
          <w:szCs w:val="26"/>
        </w:rPr>
        <w:t>negligence against a regulated utility under the facts presented</w:t>
      </w:r>
      <w:r w:rsidR="003B0780">
        <w:rPr>
          <w:sz w:val="26"/>
          <w:szCs w:val="26"/>
        </w:rPr>
        <w:t xml:space="preserve"> and </w:t>
      </w:r>
      <w:r w:rsidR="005E1829">
        <w:rPr>
          <w:sz w:val="26"/>
          <w:szCs w:val="26"/>
        </w:rPr>
        <w:t>affirmed the Superior Court’s remand</w:t>
      </w:r>
      <w:r w:rsidR="00165CFE">
        <w:rPr>
          <w:sz w:val="26"/>
          <w:szCs w:val="26"/>
        </w:rPr>
        <w:t xml:space="preserve"> of the negligence counts to the trial court</w:t>
      </w:r>
      <w:r w:rsidR="005E1829">
        <w:rPr>
          <w:sz w:val="26"/>
          <w:szCs w:val="26"/>
        </w:rPr>
        <w:t>.</w:t>
      </w:r>
    </w:p>
    <w:p w:rsidR="00165CFE" w:rsidRDefault="00165CFE" w:rsidP="009E41E5">
      <w:pPr>
        <w:widowControl/>
        <w:spacing w:line="360" w:lineRule="auto"/>
        <w:ind w:firstLine="1440"/>
        <w:rPr>
          <w:sz w:val="26"/>
          <w:szCs w:val="26"/>
        </w:rPr>
      </w:pPr>
    </w:p>
    <w:p w:rsidR="00165CFE" w:rsidRPr="00165CFE" w:rsidRDefault="00165CFE" w:rsidP="009E41E5">
      <w:pPr>
        <w:widowControl/>
        <w:spacing w:line="360" w:lineRule="auto"/>
        <w:ind w:firstLine="1440"/>
        <w:rPr>
          <w:sz w:val="26"/>
          <w:szCs w:val="26"/>
        </w:rPr>
      </w:pPr>
      <w:r>
        <w:rPr>
          <w:sz w:val="26"/>
          <w:szCs w:val="26"/>
        </w:rPr>
        <w:t xml:space="preserve">On remand, Duquesne filed a motion to bifurcate the liability issue and transfer it to the Commission.  </w:t>
      </w:r>
      <w:r w:rsidR="0079492E">
        <w:rPr>
          <w:sz w:val="26"/>
          <w:szCs w:val="26"/>
        </w:rPr>
        <w:t>T</w:t>
      </w:r>
      <w:r>
        <w:rPr>
          <w:sz w:val="26"/>
          <w:szCs w:val="26"/>
        </w:rPr>
        <w:t xml:space="preserve">he trial court granted the motion, which </w:t>
      </w:r>
      <w:r w:rsidR="00A64738">
        <w:rPr>
          <w:sz w:val="26"/>
          <w:szCs w:val="26"/>
        </w:rPr>
        <w:t xml:space="preserve">was upheld by </w:t>
      </w:r>
      <w:r>
        <w:rPr>
          <w:sz w:val="26"/>
          <w:szCs w:val="26"/>
        </w:rPr>
        <w:t xml:space="preserve">the Superior Court.  Alderwoods’ filing of </w:t>
      </w:r>
      <w:r w:rsidR="0098091F">
        <w:rPr>
          <w:sz w:val="26"/>
          <w:szCs w:val="26"/>
        </w:rPr>
        <w:t>the</w:t>
      </w:r>
      <w:r>
        <w:rPr>
          <w:sz w:val="26"/>
          <w:szCs w:val="26"/>
        </w:rPr>
        <w:t xml:space="preserve"> Complaint </w:t>
      </w:r>
      <w:r w:rsidR="0098091F">
        <w:rPr>
          <w:sz w:val="26"/>
          <w:szCs w:val="26"/>
        </w:rPr>
        <w:t xml:space="preserve">before us </w:t>
      </w:r>
      <w:r>
        <w:rPr>
          <w:sz w:val="26"/>
          <w:szCs w:val="26"/>
        </w:rPr>
        <w:t>followed.</w:t>
      </w:r>
    </w:p>
    <w:p w:rsidR="00A45B91" w:rsidRDefault="00A45B91" w:rsidP="00A45B91">
      <w:pPr>
        <w:widowControl/>
        <w:spacing w:line="360" w:lineRule="auto"/>
        <w:rPr>
          <w:sz w:val="26"/>
          <w:szCs w:val="26"/>
        </w:rPr>
      </w:pPr>
    </w:p>
    <w:p w:rsidR="00A35299" w:rsidRPr="0005618F" w:rsidRDefault="00AD3895" w:rsidP="00E44628">
      <w:pPr>
        <w:pStyle w:val="Heading1"/>
        <w:keepNext/>
      </w:pPr>
      <w:bookmarkStart w:id="3" w:name="_Toc462297967"/>
      <w:r>
        <w:t>II.</w:t>
      </w:r>
      <w:r>
        <w:tab/>
      </w:r>
      <w:r w:rsidR="00D66CEE">
        <w:t>Hi</w:t>
      </w:r>
      <w:r w:rsidR="00CA43A5" w:rsidRPr="00CA43A5">
        <w:t xml:space="preserve">story </w:t>
      </w:r>
      <w:r w:rsidR="00ED76FE">
        <w:t>o</w:t>
      </w:r>
      <w:r w:rsidR="00CA43A5" w:rsidRPr="00CA43A5">
        <w:t xml:space="preserve">f </w:t>
      </w:r>
      <w:r w:rsidR="00ED76FE">
        <w:t>t</w:t>
      </w:r>
      <w:r w:rsidR="00CA43A5" w:rsidRPr="00CA43A5">
        <w:t>he Proceeding</w:t>
      </w:r>
      <w:bookmarkEnd w:id="0"/>
      <w:bookmarkEnd w:id="1"/>
      <w:bookmarkEnd w:id="3"/>
    </w:p>
    <w:p w:rsidR="00C47435" w:rsidRDefault="00C47435" w:rsidP="000D6208">
      <w:pPr>
        <w:keepNext/>
        <w:widowControl/>
        <w:spacing w:line="360" w:lineRule="auto"/>
        <w:rPr>
          <w:sz w:val="26"/>
          <w:szCs w:val="26"/>
        </w:rPr>
      </w:pPr>
    </w:p>
    <w:p w:rsidR="00D20532" w:rsidRDefault="00923812" w:rsidP="00B90FEE">
      <w:pPr>
        <w:widowControl/>
        <w:spacing w:line="360" w:lineRule="auto"/>
        <w:ind w:firstLine="1440"/>
        <w:rPr>
          <w:sz w:val="26"/>
        </w:rPr>
      </w:pPr>
      <w:r>
        <w:rPr>
          <w:sz w:val="26"/>
        </w:rPr>
        <w:t xml:space="preserve">On January 7, 2016, Alderwoods filed a Complaint against Duquesne, the </w:t>
      </w:r>
      <w:r w:rsidR="00D20532">
        <w:rPr>
          <w:sz w:val="26"/>
        </w:rPr>
        <w:t xml:space="preserve">electric distribution company (EDC) serving </w:t>
      </w:r>
      <w:r>
        <w:rPr>
          <w:sz w:val="26"/>
        </w:rPr>
        <w:t xml:space="preserve">the </w:t>
      </w:r>
      <w:r w:rsidR="003923D0">
        <w:rPr>
          <w:sz w:val="26"/>
        </w:rPr>
        <w:t>Funeral Home</w:t>
      </w:r>
      <w:r w:rsidR="000F14BA">
        <w:rPr>
          <w:sz w:val="26"/>
        </w:rPr>
        <w:t xml:space="preserve">, </w:t>
      </w:r>
      <w:r w:rsidR="00DE74BE">
        <w:rPr>
          <w:sz w:val="26"/>
        </w:rPr>
        <w:t xml:space="preserve">which was </w:t>
      </w:r>
      <w:r w:rsidR="000F14BA">
        <w:rPr>
          <w:sz w:val="26"/>
        </w:rPr>
        <w:t xml:space="preserve">docketed at </w:t>
      </w:r>
      <w:r w:rsidR="000F14BA" w:rsidRPr="000F14BA">
        <w:rPr>
          <w:sz w:val="26"/>
        </w:rPr>
        <w:t>C-2016-2522634</w:t>
      </w:r>
      <w:r>
        <w:rPr>
          <w:sz w:val="26"/>
        </w:rPr>
        <w:t xml:space="preserve">.  </w:t>
      </w:r>
      <w:r w:rsidR="003923D0">
        <w:rPr>
          <w:sz w:val="26"/>
        </w:rPr>
        <w:t>In its Complaint</w:t>
      </w:r>
      <w:r w:rsidR="001765BA">
        <w:rPr>
          <w:sz w:val="26"/>
        </w:rPr>
        <w:t xml:space="preserve"> </w:t>
      </w:r>
      <w:r w:rsidR="003923D0">
        <w:rPr>
          <w:sz w:val="26"/>
        </w:rPr>
        <w:t xml:space="preserve">Alderwoods described </w:t>
      </w:r>
      <w:r w:rsidR="001A23CB">
        <w:rPr>
          <w:sz w:val="26"/>
        </w:rPr>
        <w:t xml:space="preserve">the January 2009 </w:t>
      </w:r>
      <w:r w:rsidR="003923D0">
        <w:rPr>
          <w:sz w:val="26"/>
        </w:rPr>
        <w:t>motor vehicle accident</w:t>
      </w:r>
      <w:r w:rsidR="000F14BA">
        <w:rPr>
          <w:sz w:val="26"/>
        </w:rPr>
        <w:t>, alleging</w:t>
      </w:r>
      <w:r w:rsidR="003923D0">
        <w:rPr>
          <w:sz w:val="26"/>
        </w:rPr>
        <w:t xml:space="preserve"> that the collision caused three-phase, high-voltage lines to come into contact with single-phase, low-voltage lines below them.  According to Alderwoods, this contact sent “a surge of high-voltage current into the Funeral Home’s low-voltage equipment, rendering the Funeral Home’s low voltage equipment unable to safely regulate the flow of electricity” produced following Duquesne’s restoration of power.  Complaint at 3.  </w:t>
      </w:r>
    </w:p>
    <w:p w:rsidR="00D20532" w:rsidRDefault="00D20532" w:rsidP="00B90FEE">
      <w:pPr>
        <w:widowControl/>
        <w:spacing w:line="360" w:lineRule="auto"/>
        <w:ind w:firstLine="1440"/>
        <w:rPr>
          <w:sz w:val="26"/>
        </w:rPr>
      </w:pPr>
    </w:p>
    <w:p w:rsidR="00DC0A5A" w:rsidRDefault="003923D0" w:rsidP="00B90FEE">
      <w:pPr>
        <w:widowControl/>
        <w:spacing w:line="360" w:lineRule="auto"/>
        <w:ind w:firstLine="1440"/>
        <w:rPr>
          <w:sz w:val="26"/>
        </w:rPr>
      </w:pPr>
      <w:r>
        <w:rPr>
          <w:sz w:val="26"/>
        </w:rPr>
        <w:t xml:space="preserve">Alderwoods claimed that at the time of service restoration to the Funeral Home, “Duquesne had actual and/or constructive knowledge that the Funeral Home’s low-voltage </w:t>
      </w:r>
      <w:r w:rsidR="007C44F7">
        <w:rPr>
          <w:sz w:val="26"/>
        </w:rPr>
        <w:t xml:space="preserve">equipment had been compromised and was no longer able to safely handle </w:t>
      </w:r>
      <w:r w:rsidR="007C44F7">
        <w:rPr>
          <w:sz w:val="26"/>
        </w:rPr>
        <w:lastRenderedPageBreak/>
        <w:t xml:space="preserve">the flow of electricity.”  </w:t>
      </w:r>
      <w:r w:rsidR="007C44F7">
        <w:rPr>
          <w:i/>
          <w:sz w:val="26"/>
        </w:rPr>
        <w:t>Id.</w:t>
      </w:r>
      <w:r w:rsidR="007C44F7">
        <w:rPr>
          <w:sz w:val="26"/>
        </w:rPr>
        <w:t xml:space="preserve">  Despite this knowledge, alleged Alderwoods, Duquesne did nothing to </w:t>
      </w:r>
      <w:r w:rsidR="00D20532">
        <w:rPr>
          <w:sz w:val="26"/>
        </w:rPr>
        <w:t xml:space="preserve">warn the Complainant or </w:t>
      </w:r>
      <w:r w:rsidR="007C44F7">
        <w:rPr>
          <w:sz w:val="26"/>
        </w:rPr>
        <w:t>prevent the surge that, according to Alderwoods, caused the fire that totally destroyed all real and personal property at the Funeral Home.</w:t>
      </w:r>
      <w:r w:rsidR="00D20532">
        <w:rPr>
          <w:rStyle w:val="FootnoteReference"/>
          <w:sz w:val="26"/>
        </w:rPr>
        <w:footnoteReference w:id="1"/>
      </w:r>
    </w:p>
    <w:p w:rsidR="00D20532" w:rsidRDefault="00D20532" w:rsidP="00B90FEE">
      <w:pPr>
        <w:widowControl/>
        <w:spacing w:line="360" w:lineRule="auto"/>
        <w:ind w:firstLine="1440"/>
        <w:rPr>
          <w:sz w:val="26"/>
        </w:rPr>
      </w:pPr>
    </w:p>
    <w:p w:rsidR="00D20532" w:rsidRDefault="00D20532" w:rsidP="00B90FEE">
      <w:pPr>
        <w:widowControl/>
        <w:spacing w:line="360" w:lineRule="auto"/>
        <w:ind w:firstLine="1440"/>
        <w:rPr>
          <w:sz w:val="26"/>
        </w:rPr>
      </w:pPr>
      <w:r>
        <w:rPr>
          <w:sz w:val="26"/>
        </w:rPr>
        <w:t>Alderwoods filed two counts of negligence.  In the first Alderwoods claimed that the fire and damage at the Funeral Home “resulted from the negligent, careless and/or reckless acts and/or omissions and/or other liabi</w:t>
      </w:r>
      <w:r w:rsidR="000D3BBF">
        <w:rPr>
          <w:sz w:val="26"/>
        </w:rPr>
        <w:t>lity-producing conduct of Duque</w:t>
      </w:r>
      <w:r>
        <w:rPr>
          <w:sz w:val="26"/>
        </w:rPr>
        <w:t>s</w:t>
      </w:r>
      <w:r w:rsidR="000D3BBF">
        <w:rPr>
          <w:sz w:val="26"/>
        </w:rPr>
        <w:t>n</w:t>
      </w:r>
      <w:r>
        <w:rPr>
          <w:sz w:val="26"/>
        </w:rPr>
        <w:t>e</w:t>
      </w:r>
      <w:r w:rsidR="00691FC3">
        <w:rPr>
          <w:sz w:val="26"/>
        </w:rPr>
        <w:t>[.]</w:t>
      </w:r>
      <w:r>
        <w:rPr>
          <w:sz w:val="26"/>
        </w:rPr>
        <w:t xml:space="preserve">” </w:t>
      </w:r>
      <w:r w:rsidR="00691FC3">
        <w:rPr>
          <w:sz w:val="26"/>
        </w:rPr>
        <w:t xml:space="preserve"> </w:t>
      </w:r>
      <w:r w:rsidR="000F14BA">
        <w:rPr>
          <w:sz w:val="26"/>
        </w:rPr>
        <w:t xml:space="preserve">Complaint </w:t>
      </w:r>
      <w:r w:rsidR="00691FC3">
        <w:rPr>
          <w:sz w:val="26"/>
        </w:rPr>
        <w:t xml:space="preserve">at 4.  </w:t>
      </w:r>
      <w:r w:rsidR="00C809E5">
        <w:rPr>
          <w:sz w:val="26"/>
        </w:rPr>
        <w:t>A</w:t>
      </w:r>
      <w:r w:rsidR="00691FC3">
        <w:rPr>
          <w:sz w:val="26"/>
        </w:rPr>
        <w:t>ccording to Alderwoods</w:t>
      </w:r>
      <w:r w:rsidR="00C809E5">
        <w:rPr>
          <w:sz w:val="26"/>
        </w:rPr>
        <w:t>,</w:t>
      </w:r>
      <w:r w:rsidR="00691FC3">
        <w:rPr>
          <w:sz w:val="26"/>
        </w:rPr>
        <w:t xml:space="preserve"> th</w:t>
      </w:r>
      <w:r w:rsidR="00DE74BE">
        <w:rPr>
          <w:sz w:val="26"/>
        </w:rPr>
        <w:t>e</w:t>
      </w:r>
      <w:r w:rsidR="00691FC3">
        <w:rPr>
          <w:sz w:val="26"/>
        </w:rPr>
        <w:t xml:space="preserve"> negligence </w:t>
      </w:r>
      <w:r>
        <w:rPr>
          <w:sz w:val="26"/>
        </w:rPr>
        <w:t>result</w:t>
      </w:r>
      <w:r w:rsidR="00DE74BE">
        <w:rPr>
          <w:sz w:val="26"/>
        </w:rPr>
        <w:t>ed from</w:t>
      </w:r>
      <w:r>
        <w:rPr>
          <w:sz w:val="26"/>
        </w:rPr>
        <w:t xml:space="preserve"> Duquesne’s failure to adequately assess or examine the </w:t>
      </w:r>
      <w:r w:rsidR="00691FC3">
        <w:rPr>
          <w:sz w:val="26"/>
        </w:rPr>
        <w:t xml:space="preserve">electrical conditions resulting from the collision and subsequent wire contact, failure to properly instruct and supervise its employees and agents regarding the restoration under the circumstances at hand, and failure to take reasonable measures to avert harm where Duquesne “had actual or constructive knowledge of a dangerous condition[.]”  </w:t>
      </w:r>
      <w:r w:rsidR="000F14BA">
        <w:rPr>
          <w:i/>
          <w:sz w:val="26"/>
        </w:rPr>
        <w:t>Id.</w:t>
      </w:r>
      <w:r w:rsidR="00691FC3">
        <w:rPr>
          <w:sz w:val="26"/>
        </w:rPr>
        <w:t xml:space="preserve"> at 6.</w:t>
      </w:r>
    </w:p>
    <w:p w:rsidR="00691FC3" w:rsidRDefault="00691FC3" w:rsidP="00B90FEE">
      <w:pPr>
        <w:widowControl/>
        <w:spacing w:line="360" w:lineRule="auto"/>
        <w:ind w:firstLine="1440"/>
        <w:rPr>
          <w:sz w:val="26"/>
        </w:rPr>
      </w:pPr>
    </w:p>
    <w:p w:rsidR="00691FC3" w:rsidRPr="001765BA" w:rsidRDefault="00691FC3" w:rsidP="00B90FEE">
      <w:pPr>
        <w:widowControl/>
        <w:spacing w:line="360" w:lineRule="auto"/>
        <w:ind w:firstLine="1440"/>
        <w:rPr>
          <w:sz w:val="26"/>
        </w:rPr>
      </w:pPr>
      <w:r>
        <w:rPr>
          <w:sz w:val="26"/>
        </w:rPr>
        <w:t>In its second count of negligence, Alderwoods asserted that Duquesne was negligent in reconnecting and re-establishing electrical service to the Funeral Home</w:t>
      </w:r>
      <w:r w:rsidR="006D76E2">
        <w:rPr>
          <w:sz w:val="26"/>
        </w:rPr>
        <w:t xml:space="preserve">.  According to Alderwoods, </w:t>
      </w:r>
      <w:r>
        <w:rPr>
          <w:sz w:val="26"/>
        </w:rPr>
        <w:t>a fire resulting from restoration of service</w:t>
      </w:r>
      <w:r w:rsidR="006D76E2">
        <w:rPr>
          <w:sz w:val="26"/>
        </w:rPr>
        <w:t>,</w:t>
      </w:r>
      <w:r>
        <w:rPr>
          <w:sz w:val="26"/>
        </w:rPr>
        <w:t xml:space="preserve"> where Duquesne </w:t>
      </w:r>
      <w:r w:rsidR="001765BA">
        <w:rPr>
          <w:sz w:val="26"/>
        </w:rPr>
        <w:t>knew the Funeral Home’s panel box was compromised by a high-voltage surge</w:t>
      </w:r>
      <w:r w:rsidR="00B55237">
        <w:rPr>
          <w:sz w:val="26"/>
        </w:rPr>
        <w:t>,</w:t>
      </w:r>
      <w:r w:rsidR="001765BA">
        <w:rPr>
          <w:sz w:val="26"/>
        </w:rPr>
        <w:t xml:space="preserve"> does not occur in the absence of negligence, and negligent restoration </w:t>
      </w:r>
      <w:r w:rsidR="00F366F2">
        <w:rPr>
          <w:sz w:val="26"/>
        </w:rPr>
        <w:t xml:space="preserve">of service </w:t>
      </w:r>
      <w:r w:rsidR="001765BA">
        <w:rPr>
          <w:sz w:val="26"/>
        </w:rPr>
        <w:t xml:space="preserve">was within Duquesne’s scope of duty to Alderwoods.  </w:t>
      </w:r>
      <w:r w:rsidR="001765BA">
        <w:rPr>
          <w:i/>
          <w:sz w:val="26"/>
        </w:rPr>
        <w:t xml:space="preserve">Id. </w:t>
      </w:r>
      <w:r w:rsidR="001765BA">
        <w:rPr>
          <w:sz w:val="26"/>
        </w:rPr>
        <w:t>at 6-7.</w:t>
      </w:r>
    </w:p>
    <w:p w:rsidR="00691FC3" w:rsidRDefault="00691FC3" w:rsidP="00B90FEE">
      <w:pPr>
        <w:widowControl/>
        <w:spacing w:line="360" w:lineRule="auto"/>
        <w:ind w:firstLine="1440"/>
        <w:rPr>
          <w:sz w:val="26"/>
        </w:rPr>
      </w:pPr>
    </w:p>
    <w:p w:rsidR="00691FC3" w:rsidRDefault="00691FC3" w:rsidP="00B90FEE">
      <w:pPr>
        <w:widowControl/>
        <w:spacing w:line="360" w:lineRule="auto"/>
        <w:ind w:firstLine="1440"/>
        <w:rPr>
          <w:sz w:val="26"/>
        </w:rPr>
      </w:pPr>
      <w:r>
        <w:rPr>
          <w:sz w:val="26"/>
        </w:rPr>
        <w:t>Following each count, Alderwoods demanded entry of judgment in its favor and against Duquesne in an amount in excess of $1 million plus interest and other relief the Commission deemed proper.</w:t>
      </w:r>
    </w:p>
    <w:p w:rsidR="00691FC3" w:rsidRPr="00691FC3" w:rsidRDefault="00691FC3" w:rsidP="00B90FEE">
      <w:pPr>
        <w:widowControl/>
        <w:spacing w:line="360" w:lineRule="auto"/>
        <w:ind w:firstLine="1440"/>
        <w:rPr>
          <w:sz w:val="26"/>
        </w:rPr>
      </w:pPr>
    </w:p>
    <w:p w:rsidR="00D45F06" w:rsidRDefault="00752843" w:rsidP="00B90FEE">
      <w:pPr>
        <w:widowControl/>
        <w:spacing w:line="360" w:lineRule="auto"/>
        <w:ind w:firstLine="1440"/>
        <w:rPr>
          <w:sz w:val="26"/>
        </w:rPr>
      </w:pPr>
      <w:r>
        <w:rPr>
          <w:sz w:val="26"/>
        </w:rPr>
        <w:t>O</w:t>
      </w:r>
      <w:r w:rsidRPr="00752843">
        <w:rPr>
          <w:sz w:val="26"/>
        </w:rPr>
        <w:t xml:space="preserve">n January 8, 2016, </w:t>
      </w:r>
      <w:r>
        <w:rPr>
          <w:sz w:val="26"/>
        </w:rPr>
        <w:t xml:space="preserve">one day after filing its Complaint, Alderwoods filed a Preliminary Objection </w:t>
      </w:r>
      <w:r w:rsidR="00FB55CF">
        <w:rPr>
          <w:sz w:val="26"/>
        </w:rPr>
        <w:t>(P</w:t>
      </w:r>
      <w:r w:rsidR="00FD7A62">
        <w:rPr>
          <w:sz w:val="26"/>
        </w:rPr>
        <w:t>.</w:t>
      </w:r>
      <w:r w:rsidR="00FB55CF">
        <w:rPr>
          <w:sz w:val="26"/>
        </w:rPr>
        <w:t>O</w:t>
      </w:r>
      <w:r w:rsidR="00FD7A62">
        <w:rPr>
          <w:sz w:val="26"/>
        </w:rPr>
        <w:t>.</w:t>
      </w:r>
      <w:r w:rsidR="00FB55CF">
        <w:rPr>
          <w:sz w:val="26"/>
        </w:rPr>
        <w:t xml:space="preserve">) </w:t>
      </w:r>
      <w:r>
        <w:rPr>
          <w:sz w:val="26"/>
        </w:rPr>
        <w:t xml:space="preserve">to </w:t>
      </w:r>
      <w:r w:rsidR="0079492E">
        <w:rPr>
          <w:i/>
          <w:sz w:val="26"/>
        </w:rPr>
        <w:t xml:space="preserve">its own </w:t>
      </w:r>
      <w:r w:rsidRPr="007625D6">
        <w:rPr>
          <w:i/>
          <w:sz w:val="26"/>
        </w:rPr>
        <w:t>Complaint</w:t>
      </w:r>
      <w:r w:rsidR="00D45F06">
        <w:rPr>
          <w:sz w:val="26"/>
        </w:rPr>
        <w:t xml:space="preserve"> raising, </w:t>
      </w:r>
      <w:r w:rsidR="00D45F06">
        <w:rPr>
          <w:i/>
          <w:sz w:val="26"/>
        </w:rPr>
        <w:t>inter alia</w:t>
      </w:r>
      <w:r w:rsidR="00D45F06">
        <w:rPr>
          <w:sz w:val="26"/>
        </w:rPr>
        <w:t xml:space="preserve">, the Commission’s </w:t>
      </w:r>
      <w:r w:rsidR="00F366F2">
        <w:rPr>
          <w:sz w:val="26"/>
        </w:rPr>
        <w:lastRenderedPageBreak/>
        <w:t xml:space="preserve">lack of </w:t>
      </w:r>
      <w:r w:rsidR="00D45F06">
        <w:rPr>
          <w:sz w:val="26"/>
        </w:rPr>
        <w:t xml:space="preserve">jurisdiction to hear this claim for damages based upon an </w:t>
      </w:r>
      <w:r w:rsidR="005704A7">
        <w:rPr>
          <w:sz w:val="26"/>
        </w:rPr>
        <w:t>underlying ac</w:t>
      </w:r>
      <w:r w:rsidR="00D45F06">
        <w:rPr>
          <w:sz w:val="26"/>
        </w:rPr>
        <w:t xml:space="preserve">tion </w:t>
      </w:r>
      <w:r w:rsidR="005704A7">
        <w:rPr>
          <w:sz w:val="26"/>
        </w:rPr>
        <w:t xml:space="preserve">in </w:t>
      </w:r>
      <w:r w:rsidR="00D45F06">
        <w:rPr>
          <w:sz w:val="26"/>
        </w:rPr>
        <w:t>negligence and not any count invoking the particular expertise or primary jurisdiction of the Commission</w:t>
      </w:r>
      <w:r w:rsidR="005704A7">
        <w:rPr>
          <w:sz w:val="26"/>
        </w:rPr>
        <w:t xml:space="preserve"> over the provision of reasonable, safe, adequate, and reliable service generally</w:t>
      </w:r>
      <w:r>
        <w:rPr>
          <w:sz w:val="26"/>
        </w:rPr>
        <w:t xml:space="preserve">.  </w:t>
      </w:r>
    </w:p>
    <w:p w:rsidR="00353DDB" w:rsidRDefault="00353DDB" w:rsidP="00B90FEE">
      <w:pPr>
        <w:widowControl/>
        <w:spacing w:line="360" w:lineRule="auto"/>
        <w:ind w:firstLine="1440"/>
        <w:rPr>
          <w:sz w:val="26"/>
        </w:rPr>
      </w:pPr>
    </w:p>
    <w:p w:rsidR="00353DDB" w:rsidRPr="00353DDB" w:rsidRDefault="00353DDB" w:rsidP="00B90FEE">
      <w:pPr>
        <w:widowControl/>
        <w:spacing w:line="360" w:lineRule="auto"/>
        <w:ind w:firstLine="1440"/>
        <w:rPr>
          <w:b/>
          <w:sz w:val="26"/>
        </w:rPr>
      </w:pPr>
      <w:r w:rsidRPr="00353DDB">
        <w:rPr>
          <w:sz w:val="26"/>
        </w:rPr>
        <w:t>On January 11, 2016, Alderwoods filed a motion with the Office of Administrative Law Judge (OALJ) seeking to disqualify certain attorneys in the Commission’s Law Bureau from advising OALJ on any and all issues pertaining to the Complaint</w:t>
      </w:r>
      <w:r>
        <w:rPr>
          <w:sz w:val="26"/>
        </w:rPr>
        <w:t>.</w:t>
      </w:r>
      <w:r w:rsidR="00AF47A6">
        <w:rPr>
          <w:rStyle w:val="FootnoteReference"/>
          <w:sz w:val="26"/>
        </w:rPr>
        <w:footnoteReference w:id="2"/>
      </w:r>
      <w:r>
        <w:rPr>
          <w:sz w:val="26"/>
        </w:rPr>
        <w:t xml:space="preserve">  By Secretarial Letter issued February 25, 2015, </w:t>
      </w:r>
      <w:r w:rsidR="00AF47A6">
        <w:rPr>
          <w:sz w:val="26"/>
        </w:rPr>
        <w:t>the parties were advised that “</w:t>
      </w:r>
      <w:r w:rsidR="00AF47A6" w:rsidRPr="00AF47A6">
        <w:rPr>
          <w:sz w:val="26"/>
        </w:rPr>
        <w:t>mindful of our duties under the Public Utility Code</w:t>
      </w:r>
      <w:r w:rsidR="006656AA">
        <w:rPr>
          <w:sz w:val="26"/>
        </w:rPr>
        <w:t xml:space="preserve"> (Code)</w:t>
      </w:r>
      <w:r w:rsidR="00AF47A6" w:rsidRPr="00AF47A6">
        <w:rPr>
          <w:sz w:val="26"/>
        </w:rPr>
        <w:t xml:space="preserve">, 66 Pa. C.S. § 308.2, and out of an abundance of caution, the four Law Bureau attorneys that worked on the </w:t>
      </w:r>
      <w:r w:rsidR="00AF47A6" w:rsidRPr="00AF47A6">
        <w:rPr>
          <w:i/>
          <w:sz w:val="26"/>
        </w:rPr>
        <w:t xml:space="preserve">amicus curiae </w:t>
      </w:r>
      <w:r w:rsidR="00AF47A6" w:rsidRPr="00AF47A6">
        <w:rPr>
          <w:sz w:val="26"/>
        </w:rPr>
        <w:t xml:space="preserve">brief will not provide advice to either OALJ </w:t>
      </w:r>
      <w:r w:rsidR="00AF47A6" w:rsidRPr="00F85F1A">
        <w:rPr>
          <w:sz w:val="26"/>
        </w:rPr>
        <w:t>or the Commission</w:t>
      </w:r>
      <w:r w:rsidR="00AF47A6" w:rsidRPr="00AF47A6">
        <w:rPr>
          <w:sz w:val="26"/>
        </w:rPr>
        <w:t xml:space="preserve"> regarding the merits of the Complaint</w:t>
      </w:r>
      <w:r w:rsidR="00AF47A6">
        <w:rPr>
          <w:sz w:val="26"/>
        </w:rPr>
        <w:t>[.]”</w:t>
      </w:r>
      <w:r w:rsidR="00AF47A6">
        <w:rPr>
          <w:rStyle w:val="FootnoteReference"/>
          <w:sz w:val="26"/>
        </w:rPr>
        <w:footnoteReference w:id="3"/>
      </w:r>
    </w:p>
    <w:p w:rsidR="00D45F06" w:rsidRDefault="00D45F06" w:rsidP="00D45F06">
      <w:pPr>
        <w:widowControl/>
        <w:spacing w:line="360" w:lineRule="auto"/>
        <w:rPr>
          <w:sz w:val="26"/>
        </w:rPr>
      </w:pPr>
    </w:p>
    <w:p w:rsidR="00635308" w:rsidRDefault="005704A7" w:rsidP="005704A7">
      <w:pPr>
        <w:widowControl/>
        <w:spacing w:line="360" w:lineRule="auto"/>
        <w:ind w:firstLine="1440"/>
        <w:rPr>
          <w:sz w:val="26"/>
        </w:rPr>
      </w:pPr>
      <w:r w:rsidRPr="005704A7">
        <w:rPr>
          <w:sz w:val="26"/>
        </w:rPr>
        <w:t xml:space="preserve">On January 19, 2016, Duquesne filed </w:t>
      </w:r>
      <w:r w:rsidR="003524F3">
        <w:rPr>
          <w:sz w:val="26"/>
        </w:rPr>
        <w:t>an</w:t>
      </w:r>
      <w:r w:rsidRPr="005704A7">
        <w:rPr>
          <w:sz w:val="26"/>
        </w:rPr>
        <w:t xml:space="preserve"> Answer </w:t>
      </w:r>
      <w:r w:rsidR="003524F3">
        <w:rPr>
          <w:sz w:val="26"/>
        </w:rPr>
        <w:t>in Opposition to Complainant’s Preliminary Objections to Jurisdiction (Answer to P.O.)</w:t>
      </w:r>
      <w:r w:rsidRPr="005704A7">
        <w:rPr>
          <w:sz w:val="26"/>
        </w:rPr>
        <w:t xml:space="preserve">.  </w:t>
      </w:r>
      <w:r w:rsidR="003524F3">
        <w:rPr>
          <w:sz w:val="26"/>
        </w:rPr>
        <w:t>D</w:t>
      </w:r>
      <w:r w:rsidR="0089729B">
        <w:rPr>
          <w:sz w:val="26"/>
        </w:rPr>
        <w:t xml:space="preserve">uquesne agreed that </w:t>
      </w:r>
      <w:r w:rsidR="003524F3">
        <w:rPr>
          <w:sz w:val="26"/>
        </w:rPr>
        <w:t xml:space="preserve">on January 9, 2009, a vehicle crashed into </w:t>
      </w:r>
      <w:r w:rsidR="0089729B">
        <w:rPr>
          <w:sz w:val="26"/>
        </w:rPr>
        <w:t>a utility pole</w:t>
      </w:r>
      <w:r w:rsidR="003524F3">
        <w:rPr>
          <w:sz w:val="26"/>
        </w:rPr>
        <w:t xml:space="preserve"> carrying Duquesne’s lines causing a power outage, and that after power was restored, a fire broke out at the Funeral Home.  </w:t>
      </w:r>
      <w:r w:rsidR="0089729B">
        <w:rPr>
          <w:sz w:val="26"/>
        </w:rPr>
        <w:t xml:space="preserve">Duquesne </w:t>
      </w:r>
      <w:r w:rsidR="003524F3">
        <w:rPr>
          <w:sz w:val="26"/>
        </w:rPr>
        <w:t xml:space="preserve">asserted, however, that it made all the proper connections to </w:t>
      </w:r>
      <w:r w:rsidR="003524F3">
        <w:rPr>
          <w:sz w:val="26"/>
        </w:rPr>
        <w:lastRenderedPageBreak/>
        <w:t>restore power; despite length</w:t>
      </w:r>
      <w:r w:rsidR="00B55237">
        <w:rPr>
          <w:sz w:val="26"/>
        </w:rPr>
        <w:t xml:space="preserve">y discovery, </w:t>
      </w:r>
      <w:r w:rsidR="006676D0">
        <w:rPr>
          <w:sz w:val="26"/>
        </w:rPr>
        <w:t>Alderwoods</w:t>
      </w:r>
      <w:r w:rsidR="00B55237">
        <w:rPr>
          <w:sz w:val="26"/>
        </w:rPr>
        <w:t xml:space="preserve"> had</w:t>
      </w:r>
      <w:r w:rsidR="003524F3">
        <w:rPr>
          <w:sz w:val="26"/>
        </w:rPr>
        <w:t xml:space="preserve"> not adduced facts demonstrating Duquesne had actual or constructive knowledge of any problem with </w:t>
      </w:r>
      <w:r w:rsidR="00214B98">
        <w:rPr>
          <w:sz w:val="26"/>
        </w:rPr>
        <w:t xml:space="preserve">the Funeral Home’s </w:t>
      </w:r>
      <w:r w:rsidR="003524F3">
        <w:rPr>
          <w:sz w:val="26"/>
        </w:rPr>
        <w:t xml:space="preserve">panel box; </w:t>
      </w:r>
      <w:r w:rsidR="00214B98">
        <w:rPr>
          <w:sz w:val="26"/>
        </w:rPr>
        <w:t>the Company</w:t>
      </w:r>
      <w:r w:rsidR="003524F3">
        <w:rPr>
          <w:sz w:val="26"/>
        </w:rPr>
        <w:t xml:space="preserve"> had no duty to enter the locked Funeral Home and inspect </w:t>
      </w:r>
      <w:r w:rsidR="00214B98">
        <w:rPr>
          <w:sz w:val="26"/>
        </w:rPr>
        <w:t>Alderwoods’</w:t>
      </w:r>
      <w:r w:rsidR="003524F3">
        <w:rPr>
          <w:sz w:val="26"/>
        </w:rPr>
        <w:t xml:space="preserve"> property; and Duquesne used reasonable care in restoring power to the Funeral Home.  </w:t>
      </w:r>
      <w:r w:rsidR="00635308">
        <w:rPr>
          <w:sz w:val="26"/>
        </w:rPr>
        <w:t xml:space="preserve">Answer to P.O. at 7-8.  </w:t>
      </w:r>
      <w:r w:rsidR="00BD33B8">
        <w:rPr>
          <w:sz w:val="26"/>
        </w:rPr>
        <w:t xml:space="preserve">Responding to Alderwoods’ allegations </w:t>
      </w:r>
      <w:r w:rsidR="006676D0">
        <w:rPr>
          <w:sz w:val="26"/>
        </w:rPr>
        <w:t>stating</w:t>
      </w:r>
      <w:r w:rsidR="00BD33B8">
        <w:rPr>
          <w:sz w:val="26"/>
        </w:rPr>
        <w:t xml:space="preserve"> the case’s civil</w:t>
      </w:r>
      <w:r w:rsidR="00635308" w:rsidRPr="00BD33B8">
        <w:rPr>
          <w:sz w:val="26"/>
        </w:rPr>
        <w:t xml:space="preserve"> history, Duquesne contended that the documents spoke for themselves.</w:t>
      </w:r>
      <w:r w:rsidR="00635308">
        <w:rPr>
          <w:sz w:val="26"/>
        </w:rPr>
        <w:t xml:space="preserve">  </w:t>
      </w:r>
      <w:r w:rsidR="00635308">
        <w:rPr>
          <w:i/>
          <w:sz w:val="26"/>
        </w:rPr>
        <w:t>Id.</w:t>
      </w:r>
      <w:r w:rsidR="00635308">
        <w:rPr>
          <w:sz w:val="26"/>
        </w:rPr>
        <w:t xml:space="preserve"> at 8-14.  </w:t>
      </w:r>
    </w:p>
    <w:p w:rsidR="00635308" w:rsidRDefault="00635308" w:rsidP="005704A7">
      <w:pPr>
        <w:widowControl/>
        <w:spacing w:line="360" w:lineRule="auto"/>
        <w:ind w:firstLine="1440"/>
        <w:rPr>
          <w:sz w:val="26"/>
        </w:rPr>
      </w:pPr>
    </w:p>
    <w:p w:rsidR="00635308" w:rsidRDefault="00886F6C" w:rsidP="005704A7">
      <w:pPr>
        <w:widowControl/>
        <w:spacing w:line="360" w:lineRule="auto"/>
        <w:ind w:firstLine="1440"/>
        <w:rPr>
          <w:sz w:val="26"/>
        </w:rPr>
      </w:pPr>
      <w:r>
        <w:rPr>
          <w:sz w:val="26"/>
        </w:rPr>
        <w:t>In response to</w:t>
      </w:r>
      <w:r w:rsidR="00214B98">
        <w:rPr>
          <w:sz w:val="26"/>
        </w:rPr>
        <w:t xml:space="preserve"> Alderwoods’ </w:t>
      </w:r>
      <w:r w:rsidR="00635308">
        <w:rPr>
          <w:sz w:val="26"/>
        </w:rPr>
        <w:t>allegation</w:t>
      </w:r>
      <w:r>
        <w:rPr>
          <w:sz w:val="26"/>
        </w:rPr>
        <w:t>s</w:t>
      </w:r>
      <w:r w:rsidR="00635308">
        <w:rPr>
          <w:sz w:val="26"/>
        </w:rPr>
        <w:t xml:space="preserve"> of negligence, Duquesne contended that the “frequent references to actual or constructive notice have no evidentiary foundation” and that </w:t>
      </w:r>
      <w:r w:rsidR="00361706">
        <w:rPr>
          <w:sz w:val="26"/>
        </w:rPr>
        <w:t>Alderwoods’</w:t>
      </w:r>
      <w:r w:rsidR="00635308">
        <w:rPr>
          <w:sz w:val="26"/>
        </w:rPr>
        <w:t xml:space="preserve"> case “relies on after-the-fact theories about how the fire might have started, no</w:t>
      </w:r>
      <w:r>
        <w:rPr>
          <w:sz w:val="26"/>
        </w:rPr>
        <w:t>t</w:t>
      </w:r>
      <w:r w:rsidR="00635308">
        <w:rPr>
          <w:sz w:val="26"/>
        </w:rPr>
        <w:t xml:space="preserve"> on any evidence” of Duque</w:t>
      </w:r>
      <w:r>
        <w:rPr>
          <w:sz w:val="26"/>
        </w:rPr>
        <w:t>s</w:t>
      </w:r>
      <w:r w:rsidR="00635308">
        <w:rPr>
          <w:sz w:val="26"/>
        </w:rPr>
        <w:t xml:space="preserve">ne’s actual or constructive knowledge.  </w:t>
      </w:r>
      <w:r w:rsidR="00884BDF">
        <w:rPr>
          <w:sz w:val="26"/>
        </w:rPr>
        <w:t xml:space="preserve">Answer to P.O. </w:t>
      </w:r>
      <w:r w:rsidR="00635308">
        <w:rPr>
          <w:sz w:val="26"/>
        </w:rPr>
        <w:t xml:space="preserve">at 13.  Accordingly, argued Duquesne, </w:t>
      </w:r>
      <w:r w:rsidR="00361706">
        <w:rPr>
          <w:sz w:val="26"/>
        </w:rPr>
        <w:t>Alderwoods’</w:t>
      </w:r>
      <w:r w:rsidR="00635308">
        <w:rPr>
          <w:sz w:val="26"/>
        </w:rPr>
        <w:t xml:space="preserve"> case is “nothing more than surmise, speculation, and conjecture” under which Duquesne owed no duty to </w:t>
      </w:r>
      <w:r w:rsidR="00361706">
        <w:rPr>
          <w:sz w:val="26"/>
        </w:rPr>
        <w:t xml:space="preserve">Alderwoods </w:t>
      </w:r>
      <w:r w:rsidR="00635308">
        <w:rPr>
          <w:sz w:val="26"/>
        </w:rPr>
        <w:t xml:space="preserve">to ensure that either </w:t>
      </w:r>
      <w:r w:rsidR="00361706">
        <w:rPr>
          <w:sz w:val="26"/>
        </w:rPr>
        <w:t>Alderwoods’</w:t>
      </w:r>
      <w:r w:rsidR="00635308">
        <w:rPr>
          <w:sz w:val="26"/>
        </w:rPr>
        <w:t xml:space="preserve"> or Duquesne’s equipment in the Funeral Home was capable of handling power when restored.  </w:t>
      </w:r>
      <w:r w:rsidR="00635308">
        <w:rPr>
          <w:i/>
          <w:sz w:val="26"/>
        </w:rPr>
        <w:t>Id.</w:t>
      </w:r>
      <w:r w:rsidR="00635308">
        <w:rPr>
          <w:sz w:val="26"/>
        </w:rPr>
        <w:t xml:space="preserve">  </w:t>
      </w:r>
    </w:p>
    <w:p w:rsidR="00635308" w:rsidRDefault="00635308" w:rsidP="005704A7">
      <w:pPr>
        <w:widowControl/>
        <w:spacing w:line="360" w:lineRule="auto"/>
        <w:ind w:firstLine="1440"/>
        <w:rPr>
          <w:sz w:val="26"/>
        </w:rPr>
      </w:pPr>
    </w:p>
    <w:p w:rsidR="005704A7" w:rsidRDefault="0089729B" w:rsidP="005704A7">
      <w:pPr>
        <w:widowControl/>
        <w:spacing w:line="360" w:lineRule="auto"/>
        <w:ind w:firstLine="1440"/>
        <w:rPr>
          <w:sz w:val="26"/>
        </w:rPr>
      </w:pPr>
      <w:r>
        <w:rPr>
          <w:sz w:val="26"/>
        </w:rPr>
        <w:t xml:space="preserve">Duquesne contended </w:t>
      </w:r>
      <w:r w:rsidR="00635308">
        <w:rPr>
          <w:sz w:val="26"/>
        </w:rPr>
        <w:t xml:space="preserve">instead </w:t>
      </w:r>
      <w:r>
        <w:rPr>
          <w:sz w:val="26"/>
        </w:rPr>
        <w:t xml:space="preserve">that the issues raised by </w:t>
      </w:r>
      <w:r w:rsidR="00B55237">
        <w:rPr>
          <w:sz w:val="26"/>
        </w:rPr>
        <w:t>Alderwoods</w:t>
      </w:r>
      <w:r>
        <w:rPr>
          <w:sz w:val="26"/>
        </w:rPr>
        <w:t xml:space="preserve"> properly belonged before the Commission</w:t>
      </w:r>
      <w:r w:rsidR="00635308">
        <w:rPr>
          <w:sz w:val="26"/>
        </w:rPr>
        <w:t xml:space="preserve"> under the doctrine of primary jurisdiction established </w:t>
      </w:r>
      <w:r w:rsidR="00F4156A">
        <w:rPr>
          <w:sz w:val="26"/>
        </w:rPr>
        <w:t xml:space="preserve">by the Supreme Court </w:t>
      </w:r>
      <w:r w:rsidR="00635308">
        <w:rPr>
          <w:sz w:val="26"/>
        </w:rPr>
        <w:t xml:space="preserve">in </w:t>
      </w:r>
      <w:r w:rsidR="00635308" w:rsidRPr="00635308">
        <w:rPr>
          <w:i/>
          <w:sz w:val="26"/>
        </w:rPr>
        <w:t>Elkin v. Bell of PA</w:t>
      </w:r>
      <w:r w:rsidR="00635308" w:rsidRPr="00635308">
        <w:rPr>
          <w:sz w:val="26"/>
        </w:rPr>
        <w:t>, 491 Pa. 123, 420 A.2d 371 (1980) (</w:t>
      </w:r>
      <w:r w:rsidR="00635308" w:rsidRPr="00635308">
        <w:rPr>
          <w:i/>
          <w:sz w:val="26"/>
        </w:rPr>
        <w:t>Elkin</w:t>
      </w:r>
      <w:r w:rsidR="00635308" w:rsidRPr="00635308">
        <w:rPr>
          <w:sz w:val="26"/>
        </w:rPr>
        <w:t>)</w:t>
      </w:r>
      <w:r>
        <w:rPr>
          <w:sz w:val="26"/>
        </w:rPr>
        <w:t xml:space="preserve">.  </w:t>
      </w:r>
      <w:r w:rsidR="006D76E2">
        <w:rPr>
          <w:sz w:val="26"/>
        </w:rPr>
        <w:t>According to Duquesne, the trial court properly bifurcated the liability portion from Alderwoods’ civil complaint because the complaint essentially question</w:t>
      </w:r>
      <w:r>
        <w:rPr>
          <w:sz w:val="26"/>
        </w:rPr>
        <w:t>ed</w:t>
      </w:r>
      <w:r w:rsidR="006D76E2">
        <w:rPr>
          <w:sz w:val="26"/>
        </w:rPr>
        <w:t xml:space="preserve"> the safety and reasonableness of Duquesne’s service, matters </w:t>
      </w:r>
      <w:r>
        <w:rPr>
          <w:sz w:val="26"/>
        </w:rPr>
        <w:t xml:space="preserve">that are </w:t>
      </w:r>
      <w:r w:rsidR="006D76E2">
        <w:rPr>
          <w:sz w:val="26"/>
        </w:rPr>
        <w:t>“within the exclusive jurisdiction of the PUC</w:t>
      </w:r>
      <w:r w:rsidR="00884BDF">
        <w:rPr>
          <w:sz w:val="26"/>
        </w:rPr>
        <w:t>,</w:t>
      </w:r>
      <w:r w:rsidR="006D76E2">
        <w:rPr>
          <w:sz w:val="26"/>
        </w:rPr>
        <w:t xml:space="preserve">” </w:t>
      </w:r>
      <w:r w:rsidR="00F4156A">
        <w:rPr>
          <w:sz w:val="26"/>
        </w:rPr>
        <w:t xml:space="preserve">and that </w:t>
      </w:r>
      <w:r w:rsidR="00884BDF">
        <w:rPr>
          <w:sz w:val="26"/>
        </w:rPr>
        <w:t>Alderwoods’</w:t>
      </w:r>
      <w:r w:rsidR="00F4156A">
        <w:rPr>
          <w:sz w:val="26"/>
        </w:rPr>
        <w:t xml:space="preserve"> reference to the Commission’s inability to award damages </w:t>
      </w:r>
      <w:r w:rsidR="00884BDF">
        <w:rPr>
          <w:sz w:val="26"/>
        </w:rPr>
        <w:t>was</w:t>
      </w:r>
      <w:r w:rsidR="00F4156A">
        <w:rPr>
          <w:sz w:val="26"/>
        </w:rPr>
        <w:t xml:space="preserve"> merely a red herring</w:t>
      </w:r>
      <w:r w:rsidR="006D76E2">
        <w:rPr>
          <w:sz w:val="26"/>
        </w:rPr>
        <w:t xml:space="preserve">.  </w:t>
      </w:r>
      <w:r w:rsidR="00B55237" w:rsidRPr="00B55237">
        <w:rPr>
          <w:sz w:val="26"/>
        </w:rPr>
        <w:t>Answer to P.O. at 3</w:t>
      </w:r>
      <w:r w:rsidR="00B55237">
        <w:rPr>
          <w:sz w:val="26"/>
        </w:rPr>
        <w:t>,</w:t>
      </w:r>
      <w:r w:rsidR="00F4156A">
        <w:rPr>
          <w:sz w:val="26"/>
        </w:rPr>
        <w:t xml:space="preserve"> 14.  </w:t>
      </w:r>
      <w:r w:rsidR="006D76E2">
        <w:rPr>
          <w:sz w:val="26"/>
        </w:rPr>
        <w:t xml:space="preserve">Duquesne contended that </w:t>
      </w:r>
      <w:r w:rsidR="00F4156A">
        <w:rPr>
          <w:sz w:val="26"/>
        </w:rPr>
        <w:t xml:space="preserve">“[i]ssues regarding service interruptions and restorations are within the PUC’s </w:t>
      </w:r>
      <w:r w:rsidR="00F4156A" w:rsidRPr="006676D0">
        <w:rPr>
          <w:sz w:val="26"/>
        </w:rPr>
        <w:t>exclusive jurisdiction to regulate the reasonableness and safety of electrical service and are the subject of a comprehensive regulatory scheme administered</w:t>
      </w:r>
      <w:r w:rsidR="00F4156A">
        <w:rPr>
          <w:sz w:val="26"/>
        </w:rPr>
        <w:t xml:space="preserve"> by the Commission” which scheme is directly implicated by Alderwoods’ theory of liability.  </w:t>
      </w:r>
      <w:r w:rsidR="00F4156A">
        <w:rPr>
          <w:i/>
          <w:sz w:val="26"/>
        </w:rPr>
        <w:t>Id.</w:t>
      </w:r>
      <w:r w:rsidR="00F4156A">
        <w:rPr>
          <w:sz w:val="26"/>
        </w:rPr>
        <w:t xml:space="preserve"> at 15.</w:t>
      </w:r>
    </w:p>
    <w:p w:rsidR="00F4156A" w:rsidRDefault="00F4156A" w:rsidP="005704A7">
      <w:pPr>
        <w:widowControl/>
        <w:spacing w:line="360" w:lineRule="auto"/>
        <w:ind w:firstLine="1440"/>
        <w:rPr>
          <w:sz w:val="26"/>
        </w:rPr>
      </w:pPr>
    </w:p>
    <w:p w:rsidR="00F4156A" w:rsidRDefault="002C79C8" w:rsidP="005704A7">
      <w:pPr>
        <w:widowControl/>
        <w:spacing w:line="360" w:lineRule="auto"/>
        <w:ind w:firstLine="1440"/>
        <w:rPr>
          <w:sz w:val="26"/>
        </w:rPr>
      </w:pPr>
      <w:r>
        <w:rPr>
          <w:sz w:val="26"/>
        </w:rPr>
        <w:t xml:space="preserve">In addition to its Answer to </w:t>
      </w:r>
      <w:r w:rsidR="006676D0">
        <w:rPr>
          <w:sz w:val="26"/>
        </w:rPr>
        <w:t>Alderwoods</w:t>
      </w:r>
      <w:r>
        <w:rPr>
          <w:sz w:val="26"/>
        </w:rPr>
        <w:t>’ Preliminary Objection, Duquesne also filed on January 19, 2016, a Motion to Strike the Complainant’s Preliminary Objection</w:t>
      </w:r>
      <w:r w:rsidRPr="002C79C8">
        <w:rPr>
          <w:sz w:val="26"/>
        </w:rPr>
        <w:t xml:space="preserve"> pursuant to Section 5.103 of our Regulations, 52 Pa. Code § </w:t>
      </w:r>
      <w:r>
        <w:rPr>
          <w:sz w:val="26"/>
        </w:rPr>
        <w:t>5.103</w:t>
      </w:r>
      <w:r w:rsidR="00014EFB">
        <w:rPr>
          <w:sz w:val="26"/>
        </w:rPr>
        <w:t xml:space="preserve">, </w:t>
      </w:r>
      <w:r>
        <w:rPr>
          <w:sz w:val="26"/>
        </w:rPr>
        <w:t>assert</w:t>
      </w:r>
      <w:r w:rsidR="000F14BA">
        <w:rPr>
          <w:sz w:val="26"/>
        </w:rPr>
        <w:t>ing</w:t>
      </w:r>
      <w:r>
        <w:rPr>
          <w:sz w:val="26"/>
        </w:rPr>
        <w:t xml:space="preserve"> that the Preliminary Objection itself was “legally insufficient on [its] face within the meaning of 52 Pa. Code § 5.101.”</w:t>
      </w:r>
    </w:p>
    <w:p w:rsidR="00014EFB" w:rsidRDefault="00014EFB" w:rsidP="005704A7">
      <w:pPr>
        <w:widowControl/>
        <w:spacing w:line="360" w:lineRule="auto"/>
        <w:ind w:firstLine="1440"/>
        <w:rPr>
          <w:sz w:val="26"/>
        </w:rPr>
      </w:pPr>
    </w:p>
    <w:p w:rsidR="0036574F" w:rsidRDefault="0036574F" w:rsidP="005704A7">
      <w:pPr>
        <w:widowControl/>
        <w:spacing w:line="360" w:lineRule="auto"/>
        <w:ind w:firstLine="1440"/>
        <w:rPr>
          <w:sz w:val="26"/>
        </w:rPr>
      </w:pPr>
      <w:r>
        <w:rPr>
          <w:sz w:val="26"/>
        </w:rPr>
        <w:t xml:space="preserve">On January 25, 2016, Alderwoods filed </w:t>
      </w:r>
      <w:r w:rsidR="001C63BE">
        <w:rPr>
          <w:sz w:val="26"/>
        </w:rPr>
        <w:t>two</w:t>
      </w:r>
      <w:r>
        <w:rPr>
          <w:sz w:val="26"/>
        </w:rPr>
        <w:t xml:space="preserve"> document</w:t>
      </w:r>
      <w:r w:rsidR="001C63BE">
        <w:rPr>
          <w:sz w:val="26"/>
        </w:rPr>
        <w:t>s</w:t>
      </w:r>
      <w:r w:rsidR="006676D0">
        <w:rPr>
          <w:sz w:val="26"/>
        </w:rPr>
        <w:t xml:space="preserve">, </w:t>
      </w:r>
      <w:r>
        <w:rPr>
          <w:sz w:val="26"/>
        </w:rPr>
        <w:t xml:space="preserve">“Complainant’s Response in Opposition to Respondent’s Motion to Strike Complainant’s Preliminary Objection to Jurisdiction” (Answer to Motion) and “Complainant’s Reply to Respondent’s Answer in Opposition to Complainant’s Preliminary Objection to Jurisdiction” </w:t>
      </w:r>
      <w:r w:rsidR="00B31264">
        <w:rPr>
          <w:sz w:val="26"/>
        </w:rPr>
        <w:t>(</w:t>
      </w:r>
      <w:r w:rsidR="009F7669">
        <w:rPr>
          <w:sz w:val="26"/>
        </w:rPr>
        <w:t>Reply</w:t>
      </w:r>
      <w:r w:rsidR="00B31264">
        <w:rPr>
          <w:sz w:val="26"/>
        </w:rPr>
        <w:t xml:space="preserve"> to Answer). </w:t>
      </w:r>
      <w:r>
        <w:rPr>
          <w:sz w:val="26"/>
        </w:rPr>
        <w:t xml:space="preserve"> In its Answer to Motion, Alderwoods challenged the validity of </w:t>
      </w:r>
      <w:r w:rsidR="006676D0">
        <w:rPr>
          <w:sz w:val="26"/>
        </w:rPr>
        <w:t>Duquesne’s</w:t>
      </w:r>
      <w:r>
        <w:rPr>
          <w:sz w:val="26"/>
        </w:rPr>
        <w:t xml:space="preserve"> motion as </w:t>
      </w:r>
      <w:r w:rsidR="00B31264">
        <w:rPr>
          <w:sz w:val="26"/>
        </w:rPr>
        <w:t xml:space="preserve">presenting </w:t>
      </w:r>
      <w:r>
        <w:rPr>
          <w:sz w:val="26"/>
        </w:rPr>
        <w:t xml:space="preserve">a preliminary objection to a preliminary objection, a filing </w:t>
      </w:r>
      <w:r w:rsidR="00CA4EFF">
        <w:rPr>
          <w:sz w:val="26"/>
        </w:rPr>
        <w:t xml:space="preserve">proscribed </w:t>
      </w:r>
      <w:r>
        <w:rPr>
          <w:sz w:val="26"/>
        </w:rPr>
        <w:t>under our Regulations.  Alderwoods also responded to Duquesne’s legal arguments regarding the doctrine</w:t>
      </w:r>
      <w:r w:rsidR="001C63BE">
        <w:rPr>
          <w:sz w:val="26"/>
        </w:rPr>
        <w:t>s</w:t>
      </w:r>
      <w:r>
        <w:rPr>
          <w:sz w:val="26"/>
        </w:rPr>
        <w:t xml:space="preserve"> of primary jurisdiction </w:t>
      </w:r>
      <w:r w:rsidR="001C63BE">
        <w:rPr>
          <w:sz w:val="26"/>
        </w:rPr>
        <w:t xml:space="preserve">and </w:t>
      </w:r>
      <w:r>
        <w:rPr>
          <w:sz w:val="26"/>
        </w:rPr>
        <w:t xml:space="preserve">of the law of the case.  </w:t>
      </w:r>
      <w:r w:rsidR="00B31264">
        <w:rPr>
          <w:sz w:val="26"/>
        </w:rPr>
        <w:t xml:space="preserve">In its </w:t>
      </w:r>
      <w:r w:rsidR="009F7669">
        <w:rPr>
          <w:sz w:val="26"/>
        </w:rPr>
        <w:t>Reply</w:t>
      </w:r>
      <w:r w:rsidR="00B31264">
        <w:rPr>
          <w:sz w:val="26"/>
        </w:rPr>
        <w:t xml:space="preserve"> to Answer, Alderwoods reargue</w:t>
      </w:r>
      <w:r w:rsidR="00CA4EFF">
        <w:rPr>
          <w:sz w:val="26"/>
        </w:rPr>
        <w:t>d</w:t>
      </w:r>
      <w:r w:rsidR="00B31264">
        <w:rPr>
          <w:sz w:val="26"/>
        </w:rPr>
        <w:t xml:space="preserve"> the </w:t>
      </w:r>
      <w:r w:rsidR="00CA4EFF">
        <w:rPr>
          <w:sz w:val="26"/>
        </w:rPr>
        <w:t xml:space="preserve">cases and </w:t>
      </w:r>
      <w:r w:rsidR="00B31264">
        <w:rPr>
          <w:sz w:val="26"/>
        </w:rPr>
        <w:t>position presented in its Preliminary Objection</w:t>
      </w:r>
      <w:r w:rsidR="00CA4EFF">
        <w:rPr>
          <w:sz w:val="26"/>
        </w:rPr>
        <w:t>, namely that “the mere existence of regulations governing certain aspects of public utility operation does not constrain the referral of all negligence claims against utilities” to the Commission.</w:t>
      </w:r>
      <w:r w:rsidR="001137E4" w:rsidRPr="001137E4">
        <w:rPr>
          <w:sz w:val="26"/>
          <w:vertAlign w:val="superscript"/>
        </w:rPr>
        <w:footnoteReference w:id="4"/>
      </w:r>
      <w:r w:rsidR="00CA4EFF">
        <w:rPr>
          <w:sz w:val="26"/>
        </w:rPr>
        <w:t xml:space="preserve">  </w:t>
      </w:r>
      <w:r w:rsidR="009F7669">
        <w:rPr>
          <w:sz w:val="26"/>
        </w:rPr>
        <w:t>Reply</w:t>
      </w:r>
      <w:r w:rsidR="00CA4EFF">
        <w:rPr>
          <w:sz w:val="26"/>
        </w:rPr>
        <w:t xml:space="preserve"> to Answer at 4</w:t>
      </w:r>
      <w:r w:rsidR="00B31264">
        <w:rPr>
          <w:sz w:val="26"/>
        </w:rPr>
        <w:t>.</w:t>
      </w:r>
    </w:p>
    <w:p w:rsidR="007625D6" w:rsidRDefault="007625D6" w:rsidP="005704A7">
      <w:pPr>
        <w:widowControl/>
        <w:spacing w:line="360" w:lineRule="auto"/>
        <w:ind w:firstLine="1440"/>
        <w:rPr>
          <w:sz w:val="26"/>
        </w:rPr>
      </w:pPr>
    </w:p>
    <w:p w:rsidR="00B26882" w:rsidRDefault="005704A7" w:rsidP="00054814">
      <w:pPr>
        <w:widowControl/>
        <w:spacing w:line="360" w:lineRule="auto"/>
        <w:ind w:firstLine="1440"/>
        <w:rPr>
          <w:sz w:val="26"/>
        </w:rPr>
      </w:pPr>
      <w:r w:rsidRPr="005704A7">
        <w:rPr>
          <w:sz w:val="26"/>
        </w:rPr>
        <w:lastRenderedPageBreak/>
        <w:t xml:space="preserve">On January 29, </w:t>
      </w:r>
      <w:r w:rsidR="00054814">
        <w:rPr>
          <w:sz w:val="26"/>
        </w:rPr>
        <w:t xml:space="preserve">2016, </w:t>
      </w:r>
      <w:r w:rsidRPr="005704A7">
        <w:rPr>
          <w:sz w:val="26"/>
        </w:rPr>
        <w:t>Duquesne filed its Answer and New Matter to Alderwood</w:t>
      </w:r>
      <w:r w:rsidR="00630ED7">
        <w:rPr>
          <w:sz w:val="26"/>
        </w:rPr>
        <w:t>s</w:t>
      </w:r>
      <w:r w:rsidRPr="005704A7">
        <w:rPr>
          <w:sz w:val="26"/>
        </w:rPr>
        <w:t>’ Complaint</w:t>
      </w:r>
      <w:r w:rsidR="00884BDF">
        <w:rPr>
          <w:sz w:val="26"/>
        </w:rPr>
        <w:t xml:space="preserve"> </w:t>
      </w:r>
      <w:r w:rsidR="00884BDF" w:rsidRPr="00884BDF">
        <w:rPr>
          <w:sz w:val="26"/>
        </w:rPr>
        <w:t>(Answer to Complaint)</w:t>
      </w:r>
      <w:r w:rsidRPr="005704A7">
        <w:rPr>
          <w:sz w:val="26"/>
        </w:rPr>
        <w:t xml:space="preserve">.  </w:t>
      </w:r>
      <w:r w:rsidR="006676D0">
        <w:rPr>
          <w:sz w:val="26"/>
        </w:rPr>
        <w:t>E</w:t>
      </w:r>
      <w:r w:rsidR="008D24B7">
        <w:rPr>
          <w:sz w:val="26"/>
        </w:rPr>
        <w:t xml:space="preserve">xcept </w:t>
      </w:r>
      <w:r w:rsidR="006676D0">
        <w:rPr>
          <w:sz w:val="26"/>
        </w:rPr>
        <w:t>for</w:t>
      </w:r>
      <w:r w:rsidR="001C63BE">
        <w:rPr>
          <w:sz w:val="26"/>
        </w:rPr>
        <w:t xml:space="preserve"> </w:t>
      </w:r>
      <w:r w:rsidR="001137E4">
        <w:rPr>
          <w:sz w:val="26"/>
        </w:rPr>
        <w:t xml:space="preserve">the </w:t>
      </w:r>
      <w:r w:rsidR="001C63BE">
        <w:rPr>
          <w:sz w:val="26"/>
        </w:rPr>
        <w:t xml:space="preserve">allegations </w:t>
      </w:r>
      <w:r w:rsidR="006676D0">
        <w:rPr>
          <w:sz w:val="26"/>
        </w:rPr>
        <w:t xml:space="preserve">of the collision with </w:t>
      </w:r>
      <w:r w:rsidR="008D24B7">
        <w:rPr>
          <w:sz w:val="26"/>
        </w:rPr>
        <w:t>a utility pole interrupting electricity to customer</w:t>
      </w:r>
      <w:r w:rsidR="00302C52">
        <w:rPr>
          <w:sz w:val="26"/>
        </w:rPr>
        <w:t>s including but not limited to the Funeral Home</w:t>
      </w:r>
      <w:r w:rsidR="007B68EE">
        <w:rPr>
          <w:sz w:val="26"/>
        </w:rPr>
        <w:t xml:space="preserve"> and </w:t>
      </w:r>
      <w:r w:rsidR="001137E4">
        <w:rPr>
          <w:sz w:val="26"/>
        </w:rPr>
        <w:t>the</w:t>
      </w:r>
      <w:r w:rsidR="007B68EE">
        <w:rPr>
          <w:sz w:val="26"/>
        </w:rPr>
        <w:t xml:space="preserve"> resultant fire at the Funeral Home</w:t>
      </w:r>
      <w:r w:rsidR="006676D0">
        <w:rPr>
          <w:sz w:val="26"/>
        </w:rPr>
        <w:t xml:space="preserve">, </w:t>
      </w:r>
      <w:r w:rsidR="006676D0" w:rsidRPr="006676D0">
        <w:rPr>
          <w:sz w:val="26"/>
        </w:rPr>
        <w:t>Duquesne denied Alderwoods’ factual allegations</w:t>
      </w:r>
      <w:r w:rsidR="007B68EE">
        <w:rPr>
          <w:sz w:val="26"/>
        </w:rPr>
        <w:t>.</w:t>
      </w:r>
      <w:r w:rsidR="00302C52">
        <w:rPr>
          <w:sz w:val="26"/>
        </w:rPr>
        <w:t xml:space="preserve">  Answer to Complaint at 1-2</w:t>
      </w:r>
      <w:r w:rsidR="007B68EE">
        <w:rPr>
          <w:sz w:val="26"/>
        </w:rPr>
        <w:t>, 4</w:t>
      </w:r>
      <w:r w:rsidR="00302C52">
        <w:rPr>
          <w:sz w:val="26"/>
        </w:rPr>
        <w:t>.  Duquesne specifically denied that it had any actual or constructive knowledge that the Funeral Home’s equipment had been compromised</w:t>
      </w:r>
      <w:r w:rsidR="007B68EE">
        <w:rPr>
          <w:sz w:val="26"/>
        </w:rPr>
        <w:t xml:space="preserve"> and that there was any factual basis to warn or advise the Funeral Home about any condition before restoring power.  As repeatedly contended by Duquesne, </w:t>
      </w:r>
      <w:r w:rsidR="00302C52">
        <w:rPr>
          <w:sz w:val="26"/>
        </w:rPr>
        <w:t xml:space="preserve">“discovery to date in this action has adduced no evidence” to support Alderwoods’ </w:t>
      </w:r>
      <w:r w:rsidR="007B68EE">
        <w:rPr>
          <w:sz w:val="26"/>
        </w:rPr>
        <w:t>assertions to establish liability on Duquesne’s part.</w:t>
      </w:r>
      <w:r w:rsidR="00302C52">
        <w:rPr>
          <w:sz w:val="26"/>
        </w:rPr>
        <w:t xml:space="preserve">  </w:t>
      </w:r>
      <w:r w:rsidR="006676D0">
        <w:rPr>
          <w:i/>
          <w:sz w:val="26"/>
        </w:rPr>
        <w:t>Id</w:t>
      </w:r>
      <w:r w:rsidR="006676D0" w:rsidRPr="006676D0">
        <w:rPr>
          <w:sz w:val="26"/>
        </w:rPr>
        <w:t>.</w:t>
      </w:r>
      <w:r w:rsidR="00302C52">
        <w:rPr>
          <w:sz w:val="26"/>
        </w:rPr>
        <w:t xml:space="preserve"> at 2</w:t>
      </w:r>
      <w:r w:rsidR="00595A75">
        <w:rPr>
          <w:sz w:val="26"/>
        </w:rPr>
        <w:t>-4</w:t>
      </w:r>
      <w:r w:rsidR="00302C52">
        <w:rPr>
          <w:sz w:val="26"/>
        </w:rPr>
        <w:t>.</w:t>
      </w:r>
    </w:p>
    <w:p w:rsidR="00B26882" w:rsidRDefault="00B26882" w:rsidP="00054814">
      <w:pPr>
        <w:widowControl/>
        <w:spacing w:line="360" w:lineRule="auto"/>
        <w:ind w:firstLine="1440"/>
        <w:rPr>
          <w:sz w:val="26"/>
        </w:rPr>
      </w:pPr>
    </w:p>
    <w:p w:rsidR="00B26882" w:rsidRDefault="000F14BA" w:rsidP="00054814">
      <w:pPr>
        <w:widowControl/>
        <w:spacing w:line="360" w:lineRule="auto"/>
        <w:ind w:firstLine="1440"/>
        <w:rPr>
          <w:sz w:val="26"/>
        </w:rPr>
      </w:pPr>
      <w:r>
        <w:rPr>
          <w:sz w:val="26"/>
        </w:rPr>
        <w:t>I</w:t>
      </w:r>
      <w:r w:rsidR="007B68EE">
        <w:rPr>
          <w:sz w:val="26"/>
        </w:rPr>
        <w:t>n response to Alderwoods’ negligence</w:t>
      </w:r>
      <w:r>
        <w:rPr>
          <w:sz w:val="26"/>
        </w:rPr>
        <w:t xml:space="preserve"> claims</w:t>
      </w:r>
      <w:r w:rsidR="007B68EE">
        <w:rPr>
          <w:sz w:val="26"/>
        </w:rPr>
        <w:t>, Duquesne contended that it “was not negligent, careless and/or reckless, either by act or omission</w:t>
      </w:r>
      <w:r w:rsidR="00595A75">
        <w:rPr>
          <w:sz w:val="26"/>
        </w:rPr>
        <w:t>.</w:t>
      </w:r>
      <w:r w:rsidR="007B68EE">
        <w:rPr>
          <w:sz w:val="26"/>
        </w:rPr>
        <w:t>”</w:t>
      </w:r>
      <w:r w:rsidR="00595A75">
        <w:rPr>
          <w:sz w:val="26"/>
        </w:rPr>
        <w:t xml:space="preserve"> </w:t>
      </w:r>
      <w:r w:rsidR="007B68EE">
        <w:rPr>
          <w:sz w:val="26"/>
        </w:rPr>
        <w:t xml:space="preserve"> </w:t>
      </w:r>
      <w:r w:rsidR="007B68EE">
        <w:rPr>
          <w:i/>
          <w:sz w:val="26"/>
        </w:rPr>
        <w:t xml:space="preserve">Id. </w:t>
      </w:r>
      <w:r w:rsidR="007B68EE">
        <w:rPr>
          <w:sz w:val="26"/>
        </w:rPr>
        <w:t>at 4</w:t>
      </w:r>
      <w:r w:rsidR="00595A75">
        <w:rPr>
          <w:sz w:val="26"/>
        </w:rPr>
        <w:t xml:space="preserve">.  </w:t>
      </w:r>
      <w:r w:rsidR="00B26882">
        <w:rPr>
          <w:sz w:val="26"/>
        </w:rPr>
        <w:t>The Company</w:t>
      </w:r>
      <w:r w:rsidR="00595A75">
        <w:rPr>
          <w:sz w:val="26"/>
        </w:rPr>
        <w:t xml:space="preserve"> again averred that it had no factual basis to warn or advise the Funeral Home that the home’s equipment was compromised, that Duquesne adequately supervised its employees and/or agents, that Duquesne took reasonable care and measures to avert harm, and that the Funeral Home lacked factual evidence to support its claims.  </w:t>
      </w:r>
      <w:r w:rsidR="00595A75">
        <w:rPr>
          <w:i/>
          <w:sz w:val="26"/>
        </w:rPr>
        <w:t>Id.</w:t>
      </w:r>
      <w:r w:rsidR="00595A75">
        <w:rPr>
          <w:sz w:val="26"/>
        </w:rPr>
        <w:t xml:space="preserve"> at 4-7</w:t>
      </w:r>
    </w:p>
    <w:p w:rsidR="00B26882" w:rsidRDefault="00B26882" w:rsidP="00054814">
      <w:pPr>
        <w:widowControl/>
        <w:spacing w:line="360" w:lineRule="auto"/>
        <w:ind w:firstLine="1440"/>
        <w:rPr>
          <w:sz w:val="26"/>
        </w:rPr>
      </w:pPr>
    </w:p>
    <w:p w:rsidR="005704A7" w:rsidRDefault="00884BDF" w:rsidP="00054814">
      <w:pPr>
        <w:widowControl/>
        <w:spacing w:line="360" w:lineRule="auto"/>
        <w:ind w:firstLine="1440"/>
        <w:rPr>
          <w:sz w:val="26"/>
        </w:rPr>
      </w:pPr>
      <w:r>
        <w:rPr>
          <w:sz w:val="26"/>
        </w:rPr>
        <w:t>Duquesne alleged that Alderwoods</w:t>
      </w:r>
      <w:r w:rsidR="00595A75">
        <w:rPr>
          <w:sz w:val="26"/>
        </w:rPr>
        <w:t xml:space="preserve"> failed to state a claim upon which relief may be granted because </w:t>
      </w:r>
      <w:r>
        <w:rPr>
          <w:sz w:val="26"/>
        </w:rPr>
        <w:t>Alderwoods’</w:t>
      </w:r>
      <w:r w:rsidR="00595A75">
        <w:rPr>
          <w:sz w:val="26"/>
        </w:rPr>
        <w:t xml:space="preserve"> own negligence contributed to or was a cause of its loss and that under the law, the Company owed no duty to examine Alderwoods’ equipment, to warn Alderwoods that its equipment may have been compromised, or to advise Alderwoods to have its equipment inspected.  </w:t>
      </w:r>
      <w:r w:rsidRPr="00884BDF">
        <w:rPr>
          <w:sz w:val="26"/>
        </w:rPr>
        <w:t>Answer to Complaint</w:t>
      </w:r>
      <w:r w:rsidR="00595A75">
        <w:rPr>
          <w:sz w:val="26"/>
        </w:rPr>
        <w:t xml:space="preserve"> at 7-8.  Instead, argued Duquesne, the matter complained of involved its service under Section 1501 of the Code and Commission Regulations addressing service restoration</w:t>
      </w:r>
      <w:r w:rsidR="00B26882">
        <w:rPr>
          <w:sz w:val="26"/>
        </w:rPr>
        <w:t xml:space="preserve">, and that </w:t>
      </w:r>
      <w:r>
        <w:rPr>
          <w:sz w:val="26"/>
        </w:rPr>
        <w:t>Alderwoods</w:t>
      </w:r>
      <w:r w:rsidR="00B26882">
        <w:rPr>
          <w:sz w:val="26"/>
        </w:rPr>
        <w:t xml:space="preserve"> inappropriately sought to impose upon Duquesne duties that would conflict with its regulatory obligations.  </w:t>
      </w:r>
      <w:r w:rsidR="006C114F">
        <w:rPr>
          <w:sz w:val="26"/>
        </w:rPr>
        <w:t xml:space="preserve">In support, </w:t>
      </w:r>
      <w:r w:rsidR="00B26882">
        <w:rPr>
          <w:sz w:val="26"/>
        </w:rPr>
        <w:t xml:space="preserve">Duquesne referenced a </w:t>
      </w:r>
      <w:r w:rsidR="00FB79C0">
        <w:rPr>
          <w:sz w:val="26"/>
        </w:rPr>
        <w:t>Commission-</w:t>
      </w:r>
      <w:r w:rsidR="00B26882">
        <w:rPr>
          <w:sz w:val="26"/>
        </w:rPr>
        <w:t>proposed rulemaking order issued November 19, 2015, address</w:t>
      </w:r>
      <w:r w:rsidR="006C114F">
        <w:rPr>
          <w:sz w:val="26"/>
        </w:rPr>
        <w:t>ing</w:t>
      </w:r>
      <w:r w:rsidR="00B26882">
        <w:rPr>
          <w:sz w:val="26"/>
        </w:rPr>
        <w:t xml:space="preserve"> the rights and obligations of </w:t>
      </w:r>
      <w:r w:rsidR="006C114F">
        <w:rPr>
          <w:sz w:val="26"/>
        </w:rPr>
        <w:lastRenderedPageBreak/>
        <w:t xml:space="preserve">electric </w:t>
      </w:r>
      <w:r w:rsidR="00B26882">
        <w:rPr>
          <w:sz w:val="26"/>
        </w:rPr>
        <w:t>utilities and customers, including a utility’s “reasonable effort to properly warn and protect the public from danger[.]”</w:t>
      </w:r>
      <w:r w:rsidR="006C114F">
        <w:rPr>
          <w:sz w:val="26"/>
        </w:rPr>
        <w:t xml:space="preserve">  </w:t>
      </w:r>
      <w:r w:rsidR="00B26882">
        <w:rPr>
          <w:i/>
          <w:sz w:val="26"/>
        </w:rPr>
        <w:t>Id.</w:t>
      </w:r>
      <w:r w:rsidR="00B26882">
        <w:rPr>
          <w:sz w:val="26"/>
        </w:rPr>
        <w:t xml:space="preserve"> at 9-10, 11.</w:t>
      </w:r>
    </w:p>
    <w:p w:rsidR="00B07D88" w:rsidRDefault="00B07D88" w:rsidP="00054814">
      <w:pPr>
        <w:widowControl/>
        <w:spacing w:line="360" w:lineRule="auto"/>
        <w:ind w:firstLine="1440"/>
        <w:rPr>
          <w:sz w:val="26"/>
        </w:rPr>
      </w:pPr>
    </w:p>
    <w:p w:rsidR="00B26882" w:rsidRDefault="006676D0" w:rsidP="00054814">
      <w:pPr>
        <w:widowControl/>
        <w:spacing w:line="360" w:lineRule="auto"/>
        <w:ind w:firstLine="1440"/>
        <w:rPr>
          <w:sz w:val="26"/>
        </w:rPr>
      </w:pPr>
      <w:r>
        <w:rPr>
          <w:sz w:val="26"/>
        </w:rPr>
        <w:t xml:space="preserve">In his </w:t>
      </w:r>
      <w:r w:rsidR="000B3E16">
        <w:rPr>
          <w:sz w:val="26"/>
        </w:rPr>
        <w:t>April 5, 2016</w:t>
      </w:r>
      <w:r>
        <w:rPr>
          <w:sz w:val="26"/>
        </w:rPr>
        <w:t xml:space="preserve"> Order</w:t>
      </w:r>
      <w:r w:rsidR="000B3E16">
        <w:rPr>
          <w:sz w:val="26"/>
        </w:rPr>
        <w:t>, the ALJ sustained in part and denied in part the Complainant’s Preliminary Objection.  As stated above, on April 22, 2016, Alderwoods filed the subject Petition for Interlocutory Review and Answer to Material Questions, and on May 2, 2016, both parties filed briefs in response to the Petition.</w:t>
      </w:r>
    </w:p>
    <w:p w:rsidR="00B07D88" w:rsidRDefault="00B07D88" w:rsidP="00054814">
      <w:pPr>
        <w:widowControl/>
        <w:spacing w:line="360" w:lineRule="auto"/>
        <w:ind w:firstLine="1440"/>
        <w:rPr>
          <w:sz w:val="26"/>
        </w:rPr>
      </w:pPr>
    </w:p>
    <w:p w:rsidR="00B07D88" w:rsidRDefault="00B07D88" w:rsidP="00054814">
      <w:pPr>
        <w:widowControl/>
        <w:spacing w:line="360" w:lineRule="auto"/>
        <w:ind w:firstLine="1440"/>
        <w:rPr>
          <w:sz w:val="26"/>
        </w:rPr>
      </w:pPr>
      <w:r w:rsidRPr="00B07D88">
        <w:rPr>
          <w:sz w:val="26"/>
        </w:rPr>
        <w:t xml:space="preserve">Upon the motion of the parties, by </w:t>
      </w:r>
      <w:r w:rsidR="006676D0">
        <w:rPr>
          <w:sz w:val="26"/>
        </w:rPr>
        <w:t>o</w:t>
      </w:r>
      <w:r w:rsidRPr="00B07D88">
        <w:rPr>
          <w:sz w:val="26"/>
        </w:rPr>
        <w:t>rder dated June 9, 2016, the ALJ deferred any further action on the Complaint pending resolution of this outstanding Petition.</w:t>
      </w:r>
    </w:p>
    <w:p w:rsidR="000B3E16" w:rsidRDefault="000B3E16" w:rsidP="000B3E16">
      <w:pPr>
        <w:widowControl/>
        <w:spacing w:line="360" w:lineRule="auto"/>
        <w:rPr>
          <w:sz w:val="26"/>
        </w:rPr>
      </w:pPr>
    </w:p>
    <w:p w:rsidR="005704A7" w:rsidRDefault="00AD3895" w:rsidP="00E44628">
      <w:pPr>
        <w:pStyle w:val="Heading1"/>
        <w:keepNext/>
      </w:pPr>
      <w:bookmarkStart w:id="4" w:name="_Toc462297968"/>
      <w:r>
        <w:t>III.</w:t>
      </w:r>
      <w:r>
        <w:tab/>
      </w:r>
      <w:r w:rsidR="00F74935">
        <w:t xml:space="preserve">Positions </w:t>
      </w:r>
      <w:r w:rsidR="00ED76FE">
        <w:t>o</w:t>
      </w:r>
      <w:r w:rsidR="00F74935">
        <w:t xml:space="preserve">f </w:t>
      </w:r>
      <w:r w:rsidR="00ED76FE">
        <w:t>t</w:t>
      </w:r>
      <w:r w:rsidR="00F74935">
        <w:t xml:space="preserve">he Parties </w:t>
      </w:r>
      <w:r w:rsidR="006C114F">
        <w:t>B</w:t>
      </w:r>
      <w:r w:rsidR="00F74935">
        <w:t xml:space="preserve">efore </w:t>
      </w:r>
      <w:r w:rsidR="00ED76FE">
        <w:t>t</w:t>
      </w:r>
      <w:r w:rsidR="00F74935">
        <w:t>he ALJ</w:t>
      </w:r>
      <w:bookmarkEnd w:id="4"/>
    </w:p>
    <w:p w:rsidR="000B3E16" w:rsidRDefault="000B3E16" w:rsidP="00E44628">
      <w:pPr>
        <w:keepNext/>
        <w:widowControl/>
        <w:spacing w:line="360" w:lineRule="auto"/>
        <w:jc w:val="center"/>
        <w:rPr>
          <w:sz w:val="26"/>
        </w:rPr>
      </w:pPr>
    </w:p>
    <w:p w:rsidR="00B874E3" w:rsidRPr="000D6208" w:rsidRDefault="00AD3895" w:rsidP="00E44628">
      <w:pPr>
        <w:pStyle w:val="Heading2"/>
        <w:keepNext/>
      </w:pPr>
      <w:bookmarkStart w:id="5" w:name="_Toc462297969"/>
      <w:r w:rsidRPr="000D6208">
        <w:t>A.</w:t>
      </w:r>
      <w:r w:rsidRPr="000D6208">
        <w:tab/>
      </w:r>
      <w:r w:rsidR="00B874E3" w:rsidRPr="000D6208">
        <w:t>Alderwoods’ Preliminary Objection</w:t>
      </w:r>
      <w:bookmarkEnd w:id="5"/>
    </w:p>
    <w:p w:rsidR="00D45F06" w:rsidRDefault="00D45F06" w:rsidP="00E44628">
      <w:pPr>
        <w:keepNext/>
        <w:widowControl/>
        <w:spacing w:line="360" w:lineRule="auto"/>
        <w:rPr>
          <w:sz w:val="26"/>
        </w:rPr>
      </w:pPr>
    </w:p>
    <w:p w:rsidR="0027006C" w:rsidRDefault="00FB55CF" w:rsidP="00B90FEE">
      <w:pPr>
        <w:widowControl/>
        <w:spacing w:line="360" w:lineRule="auto"/>
        <w:ind w:firstLine="1440"/>
        <w:rPr>
          <w:sz w:val="26"/>
        </w:rPr>
      </w:pPr>
      <w:r>
        <w:rPr>
          <w:sz w:val="26"/>
        </w:rPr>
        <w:t xml:space="preserve">In </w:t>
      </w:r>
      <w:r w:rsidR="00D45F06">
        <w:rPr>
          <w:sz w:val="26"/>
        </w:rPr>
        <w:t xml:space="preserve">its Preliminary Objection, </w:t>
      </w:r>
      <w:r>
        <w:rPr>
          <w:sz w:val="26"/>
        </w:rPr>
        <w:t xml:space="preserve">Alderwoods </w:t>
      </w:r>
      <w:r w:rsidR="001137E4">
        <w:rPr>
          <w:sz w:val="26"/>
        </w:rPr>
        <w:t xml:space="preserve">again </w:t>
      </w:r>
      <w:r w:rsidR="0027006C">
        <w:rPr>
          <w:sz w:val="26"/>
        </w:rPr>
        <w:t xml:space="preserve">recounted </w:t>
      </w:r>
      <w:r>
        <w:rPr>
          <w:sz w:val="26"/>
        </w:rPr>
        <w:t xml:space="preserve">the history of </w:t>
      </w:r>
      <w:r w:rsidR="001137E4">
        <w:rPr>
          <w:sz w:val="26"/>
        </w:rPr>
        <w:t xml:space="preserve">the </w:t>
      </w:r>
      <w:r w:rsidR="00385D4B">
        <w:rPr>
          <w:sz w:val="26"/>
        </w:rPr>
        <w:t xml:space="preserve">2009 </w:t>
      </w:r>
      <w:r w:rsidR="001137E4">
        <w:rPr>
          <w:sz w:val="26"/>
        </w:rPr>
        <w:t xml:space="preserve">accident and the seven-year history of its </w:t>
      </w:r>
      <w:r w:rsidR="00385D4B">
        <w:rPr>
          <w:sz w:val="26"/>
        </w:rPr>
        <w:t xml:space="preserve">civil </w:t>
      </w:r>
      <w:r>
        <w:rPr>
          <w:sz w:val="26"/>
        </w:rPr>
        <w:t>complaint against Duquesne</w:t>
      </w:r>
      <w:r w:rsidR="00997AE1">
        <w:rPr>
          <w:sz w:val="26"/>
        </w:rPr>
        <w:t xml:space="preserve"> </w:t>
      </w:r>
      <w:r w:rsidR="001137E4">
        <w:rPr>
          <w:sz w:val="26"/>
        </w:rPr>
        <w:t xml:space="preserve">that culminated in </w:t>
      </w:r>
      <w:r w:rsidR="00997AE1">
        <w:rPr>
          <w:sz w:val="26"/>
        </w:rPr>
        <w:t xml:space="preserve">the Company’s </w:t>
      </w:r>
      <w:r w:rsidR="00997AE1" w:rsidRPr="00997AE1">
        <w:rPr>
          <w:sz w:val="26"/>
        </w:rPr>
        <w:t xml:space="preserve">motion for bifurcation.  </w:t>
      </w:r>
      <w:r w:rsidR="0027006C">
        <w:rPr>
          <w:sz w:val="26"/>
        </w:rPr>
        <w:t>P</w:t>
      </w:r>
      <w:r w:rsidR="00FD7A62">
        <w:rPr>
          <w:sz w:val="26"/>
        </w:rPr>
        <w:t>.</w:t>
      </w:r>
      <w:r w:rsidR="0027006C">
        <w:rPr>
          <w:sz w:val="26"/>
        </w:rPr>
        <w:t>O</w:t>
      </w:r>
      <w:r w:rsidR="00FD7A62">
        <w:rPr>
          <w:sz w:val="26"/>
        </w:rPr>
        <w:t>.</w:t>
      </w:r>
      <w:r w:rsidR="0027006C">
        <w:rPr>
          <w:sz w:val="26"/>
        </w:rPr>
        <w:t xml:space="preserve"> at </w:t>
      </w:r>
      <w:r w:rsidR="00997AE1">
        <w:rPr>
          <w:sz w:val="26"/>
        </w:rPr>
        <w:t>1</w:t>
      </w:r>
      <w:r w:rsidR="0027006C">
        <w:rPr>
          <w:sz w:val="26"/>
        </w:rPr>
        <w:t>-</w:t>
      </w:r>
      <w:r w:rsidR="001137E4">
        <w:rPr>
          <w:sz w:val="26"/>
        </w:rPr>
        <w:t>9</w:t>
      </w:r>
      <w:r w:rsidR="0027006C">
        <w:rPr>
          <w:sz w:val="26"/>
        </w:rPr>
        <w:t>.</w:t>
      </w:r>
    </w:p>
    <w:p w:rsidR="0027006C" w:rsidRDefault="0027006C" w:rsidP="00B90FEE">
      <w:pPr>
        <w:widowControl/>
        <w:spacing w:line="360" w:lineRule="auto"/>
        <w:ind w:firstLine="1440"/>
        <w:rPr>
          <w:sz w:val="26"/>
        </w:rPr>
      </w:pPr>
    </w:p>
    <w:p w:rsidR="003A58B4" w:rsidRDefault="00C472FE" w:rsidP="00B90FEE">
      <w:pPr>
        <w:widowControl/>
        <w:spacing w:line="360" w:lineRule="auto"/>
        <w:ind w:firstLine="1440"/>
        <w:rPr>
          <w:sz w:val="26"/>
        </w:rPr>
      </w:pPr>
      <w:r>
        <w:rPr>
          <w:sz w:val="26"/>
        </w:rPr>
        <w:t>Alderwoods</w:t>
      </w:r>
      <w:r w:rsidR="006C114F">
        <w:rPr>
          <w:sz w:val="26"/>
        </w:rPr>
        <w:t>’</w:t>
      </w:r>
      <w:r>
        <w:rPr>
          <w:sz w:val="26"/>
        </w:rPr>
        <w:t xml:space="preserve"> </w:t>
      </w:r>
      <w:r w:rsidR="00FD7A62">
        <w:rPr>
          <w:sz w:val="26"/>
        </w:rPr>
        <w:t>fundamental argument in its Preliminary Objection addresse</w:t>
      </w:r>
      <w:r w:rsidR="00226A29">
        <w:rPr>
          <w:sz w:val="26"/>
        </w:rPr>
        <w:t>d</w:t>
      </w:r>
      <w:r w:rsidR="00FD7A62">
        <w:rPr>
          <w:sz w:val="26"/>
        </w:rPr>
        <w:t xml:space="preserve"> the </w:t>
      </w:r>
      <w:r w:rsidR="00891912">
        <w:rPr>
          <w:sz w:val="26"/>
        </w:rPr>
        <w:t>Commission</w:t>
      </w:r>
      <w:r w:rsidR="00FD7A62">
        <w:rPr>
          <w:sz w:val="26"/>
        </w:rPr>
        <w:t>’s jurisdiction, asserting that the Commission</w:t>
      </w:r>
      <w:r w:rsidR="00891912">
        <w:rPr>
          <w:sz w:val="26"/>
        </w:rPr>
        <w:t xml:space="preserve"> cannot adjudicate a claim for damages.  </w:t>
      </w:r>
      <w:r w:rsidR="00BA2D21">
        <w:rPr>
          <w:sz w:val="26"/>
        </w:rPr>
        <w:t>In support</w:t>
      </w:r>
      <w:r w:rsidR="006C114F">
        <w:rPr>
          <w:sz w:val="26"/>
        </w:rPr>
        <w:t xml:space="preserve">, Alderwoods relied on and quoted extensively from a line of cases finding against Commission jurisdiction, including </w:t>
      </w:r>
      <w:r w:rsidR="00C771B9" w:rsidRPr="00C771B9">
        <w:rPr>
          <w:i/>
          <w:sz w:val="26"/>
        </w:rPr>
        <w:t>Feingold v. Bell of PA</w:t>
      </w:r>
      <w:r w:rsidR="00C771B9" w:rsidRPr="00C771B9">
        <w:rPr>
          <w:sz w:val="26"/>
        </w:rPr>
        <w:t>, 477 Pa. 1, 383 A.2d 791 (1977) (</w:t>
      </w:r>
      <w:r w:rsidR="00C771B9" w:rsidRPr="00C771B9">
        <w:rPr>
          <w:i/>
          <w:sz w:val="26"/>
        </w:rPr>
        <w:t>Feingold</w:t>
      </w:r>
      <w:r w:rsidR="00C771B9" w:rsidRPr="00C771B9">
        <w:rPr>
          <w:sz w:val="26"/>
        </w:rPr>
        <w:t>)</w:t>
      </w:r>
      <w:r w:rsidR="00194EC1">
        <w:rPr>
          <w:sz w:val="26"/>
        </w:rPr>
        <w:t>;</w:t>
      </w:r>
      <w:r w:rsidR="00C771B9">
        <w:rPr>
          <w:sz w:val="26"/>
        </w:rPr>
        <w:t xml:space="preserve"> </w:t>
      </w:r>
      <w:r w:rsidR="00C771B9">
        <w:rPr>
          <w:i/>
          <w:sz w:val="26"/>
        </w:rPr>
        <w:t>Elkin</w:t>
      </w:r>
      <w:r w:rsidR="00194EC1">
        <w:rPr>
          <w:sz w:val="26"/>
        </w:rPr>
        <w:t>;</w:t>
      </w:r>
      <w:r w:rsidR="00924AAD">
        <w:rPr>
          <w:sz w:val="26"/>
        </w:rPr>
        <w:t xml:space="preserve"> </w:t>
      </w:r>
      <w:r w:rsidR="00924AAD">
        <w:rPr>
          <w:i/>
          <w:sz w:val="26"/>
        </w:rPr>
        <w:t xml:space="preserve">DeFrancesco v. Western Pennsylvania Water </w:t>
      </w:r>
      <w:r w:rsidR="00924AAD" w:rsidRPr="00924AAD">
        <w:rPr>
          <w:i/>
          <w:sz w:val="26"/>
        </w:rPr>
        <w:t>Company</w:t>
      </w:r>
      <w:r w:rsidR="00924AAD">
        <w:rPr>
          <w:sz w:val="26"/>
        </w:rPr>
        <w:t>, 499 Pa. 374, 453 A.2d 595 (1982) (</w:t>
      </w:r>
      <w:r w:rsidR="00924AAD" w:rsidRPr="00924AAD">
        <w:rPr>
          <w:i/>
          <w:sz w:val="26"/>
        </w:rPr>
        <w:t>DeFrancesco</w:t>
      </w:r>
      <w:r w:rsidR="00924AAD">
        <w:rPr>
          <w:sz w:val="26"/>
        </w:rPr>
        <w:t>)</w:t>
      </w:r>
      <w:r w:rsidR="00194EC1">
        <w:rPr>
          <w:sz w:val="26"/>
        </w:rPr>
        <w:t xml:space="preserve">; </w:t>
      </w:r>
      <w:r w:rsidR="00194EC1">
        <w:rPr>
          <w:i/>
          <w:sz w:val="26"/>
        </w:rPr>
        <w:t>Schriner v. Pennsylvania Power and Light Co.</w:t>
      </w:r>
      <w:r w:rsidR="00194EC1">
        <w:rPr>
          <w:sz w:val="26"/>
        </w:rPr>
        <w:t>, 348 Pa. Super. 177, 501 A.2d 1128 (1985) (</w:t>
      </w:r>
      <w:r w:rsidR="00194EC1">
        <w:rPr>
          <w:i/>
          <w:sz w:val="26"/>
        </w:rPr>
        <w:t>Schriner</w:t>
      </w:r>
      <w:r w:rsidR="00194EC1">
        <w:rPr>
          <w:sz w:val="26"/>
        </w:rPr>
        <w:t xml:space="preserve">); and </w:t>
      </w:r>
      <w:r w:rsidR="00194EC1">
        <w:rPr>
          <w:i/>
          <w:sz w:val="26"/>
        </w:rPr>
        <w:lastRenderedPageBreak/>
        <w:t>Poorbaugh v. Pa. PUC</w:t>
      </w:r>
      <w:r w:rsidR="00194EC1">
        <w:rPr>
          <w:sz w:val="26"/>
        </w:rPr>
        <w:t>, 666 A.2d 744 (Pa. Cmwlth. 1994) (</w:t>
      </w:r>
      <w:r w:rsidR="00194EC1">
        <w:rPr>
          <w:i/>
          <w:sz w:val="26"/>
        </w:rPr>
        <w:t>Poorbaugh</w:t>
      </w:r>
      <w:r w:rsidR="00194EC1">
        <w:rPr>
          <w:sz w:val="26"/>
        </w:rPr>
        <w:t>)</w:t>
      </w:r>
      <w:r w:rsidR="00884BDF">
        <w:rPr>
          <w:sz w:val="26"/>
        </w:rPr>
        <w:t>.</w:t>
      </w:r>
      <w:r w:rsidR="00884BDF">
        <w:rPr>
          <w:rStyle w:val="FootnoteReference"/>
          <w:sz w:val="26"/>
        </w:rPr>
        <w:footnoteReference w:id="5"/>
      </w:r>
      <w:r w:rsidR="00884BDF">
        <w:rPr>
          <w:sz w:val="26"/>
        </w:rPr>
        <w:t xml:space="preserve">  </w:t>
      </w:r>
      <w:r w:rsidR="006C114F" w:rsidRPr="006C114F">
        <w:rPr>
          <w:sz w:val="26"/>
        </w:rPr>
        <w:t xml:space="preserve">Alderwoods </w:t>
      </w:r>
      <w:r w:rsidR="00997AE1">
        <w:rPr>
          <w:sz w:val="26"/>
        </w:rPr>
        <w:t xml:space="preserve">also </w:t>
      </w:r>
      <w:r w:rsidR="006C114F" w:rsidRPr="006C114F">
        <w:rPr>
          <w:sz w:val="26"/>
        </w:rPr>
        <w:t>distinguished th</w:t>
      </w:r>
      <w:r w:rsidR="006C114F">
        <w:rPr>
          <w:sz w:val="26"/>
        </w:rPr>
        <w:t>os</w:t>
      </w:r>
      <w:r w:rsidR="006C114F" w:rsidRPr="006C114F">
        <w:rPr>
          <w:sz w:val="26"/>
        </w:rPr>
        <w:t xml:space="preserve">e cases </w:t>
      </w:r>
      <w:r w:rsidR="00BA2D21">
        <w:rPr>
          <w:sz w:val="26"/>
        </w:rPr>
        <w:t xml:space="preserve">in which </w:t>
      </w:r>
      <w:r w:rsidR="006C114F">
        <w:rPr>
          <w:sz w:val="26"/>
        </w:rPr>
        <w:t xml:space="preserve">the courts referred </w:t>
      </w:r>
      <w:r w:rsidR="00BA2D21">
        <w:rPr>
          <w:sz w:val="26"/>
        </w:rPr>
        <w:t>jurisdiction to the Commission,</w:t>
      </w:r>
      <w:r w:rsidR="006C114F">
        <w:rPr>
          <w:sz w:val="26"/>
        </w:rPr>
        <w:t xml:space="preserve"> including</w:t>
      </w:r>
      <w:r w:rsidR="00BA2D21">
        <w:rPr>
          <w:sz w:val="26"/>
        </w:rPr>
        <w:t xml:space="preserve"> </w:t>
      </w:r>
      <w:r w:rsidR="00BA2D21" w:rsidRPr="00BA2D21">
        <w:rPr>
          <w:i/>
          <w:sz w:val="26"/>
        </w:rPr>
        <w:t>Optimum Image, Inc. v. Philadelphia Electric Co.</w:t>
      </w:r>
      <w:r w:rsidR="00BA2D21" w:rsidRPr="00BA2D21">
        <w:rPr>
          <w:sz w:val="26"/>
        </w:rPr>
        <w:t>, 410 Pa. Super. 475, 600 A.2d 553 (1991) (</w:t>
      </w:r>
      <w:r w:rsidR="00BA2D21" w:rsidRPr="00BA2D21">
        <w:rPr>
          <w:i/>
          <w:sz w:val="26"/>
        </w:rPr>
        <w:t>Optimum Image</w:t>
      </w:r>
      <w:r w:rsidR="00BA2D21" w:rsidRPr="00BA2D21">
        <w:rPr>
          <w:sz w:val="26"/>
        </w:rPr>
        <w:t xml:space="preserve">) </w:t>
      </w:r>
      <w:r w:rsidR="0032575B">
        <w:rPr>
          <w:sz w:val="26"/>
        </w:rPr>
        <w:t xml:space="preserve">(finding the allegations to raise complex, technical claims of subpar service over an extended period of time and in violation of the utility’s regulatory standards) </w:t>
      </w:r>
      <w:r w:rsidR="00BA2D21" w:rsidRPr="00BA2D21">
        <w:rPr>
          <w:sz w:val="26"/>
        </w:rPr>
        <w:t xml:space="preserve">and </w:t>
      </w:r>
      <w:r w:rsidR="00BA2D21" w:rsidRPr="00BA2D21">
        <w:rPr>
          <w:i/>
          <w:sz w:val="26"/>
        </w:rPr>
        <w:t>Vertis Group, Inc. v. Pa. PUC</w:t>
      </w:r>
      <w:r w:rsidR="00BA2D21" w:rsidRPr="00BA2D21">
        <w:rPr>
          <w:sz w:val="26"/>
        </w:rPr>
        <w:t>, 840 A.2d 390 (Pa. Cmwlth. 2003) (</w:t>
      </w:r>
      <w:r w:rsidR="00BA2D21" w:rsidRPr="00BA2D21">
        <w:rPr>
          <w:i/>
          <w:sz w:val="26"/>
        </w:rPr>
        <w:t>Vertis Group</w:t>
      </w:r>
      <w:r w:rsidR="00BA2D21" w:rsidRPr="00BA2D21">
        <w:rPr>
          <w:sz w:val="26"/>
        </w:rPr>
        <w:t>)</w:t>
      </w:r>
      <w:r w:rsidR="00FA5663">
        <w:rPr>
          <w:sz w:val="26"/>
        </w:rPr>
        <w:t xml:space="preserve"> (</w:t>
      </w:r>
      <w:r w:rsidR="0032575B">
        <w:rPr>
          <w:sz w:val="26"/>
        </w:rPr>
        <w:t xml:space="preserve">invoking the utility’s tariff and the </w:t>
      </w:r>
      <w:r w:rsidR="00FA5663">
        <w:rPr>
          <w:sz w:val="26"/>
        </w:rPr>
        <w:t xml:space="preserve">consistency of service </w:t>
      </w:r>
      <w:r w:rsidR="0032575B">
        <w:rPr>
          <w:sz w:val="26"/>
        </w:rPr>
        <w:t>provided over a period of time</w:t>
      </w:r>
      <w:r w:rsidR="00FA5663">
        <w:rPr>
          <w:sz w:val="26"/>
        </w:rPr>
        <w:t>)</w:t>
      </w:r>
      <w:r w:rsidR="00194EC1">
        <w:rPr>
          <w:sz w:val="26"/>
        </w:rPr>
        <w:t xml:space="preserve">. </w:t>
      </w:r>
      <w:r>
        <w:rPr>
          <w:sz w:val="26"/>
        </w:rPr>
        <w:t xml:space="preserve"> </w:t>
      </w:r>
      <w:r w:rsidR="003A58B4">
        <w:rPr>
          <w:sz w:val="26"/>
        </w:rPr>
        <w:t>P.O. at 9-16.</w:t>
      </w:r>
    </w:p>
    <w:p w:rsidR="003A58B4" w:rsidRDefault="003A58B4" w:rsidP="00B90FEE">
      <w:pPr>
        <w:widowControl/>
        <w:spacing w:line="360" w:lineRule="auto"/>
        <w:ind w:firstLine="1440"/>
        <w:rPr>
          <w:sz w:val="26"/>
        </w:rPr>
      </w:pPr>
    </w:p>
    <w:p w:rsidR="00C472FE" w:rsidRDefault="00BA2D21" w:rsidP="00B90FEE">
      <w:pPr>
        <w:widowControl/>
        <w:spacing w:line="360" w:lineRule="auto"/>
        <w:ind w:firstLine="1440"/>
        <w:rPr>
          <w:sz w:val="26"/>
        </w:rPr>
      </w:pPr>
      <w:r>
        <w:rPr>
          <w:sz w:val="26"/>
        </w:rPr>
        <w:t xml:space="preserve">Alderwoods </w:t>
      </w:r>
      <w:r w:rsidR="0005427D">
        <w:rPr>
          <w:sz w:val="26"/>
        </w:rPr>
        <w:t>concluded that</w:t>
      </w:r>
      <w:r w:rsidR="00997AE1">
        <w:rPr>
          <w:sz w:val="26"/>
        </w:rPr>
        <w:t xml:space="preserve"> under </w:t>
      </w:r>
      <w:r w:rsidR="003A58B4">
        <w:rPr>
          <w:sz w:val="26"/>
        </w:rPr>
        <w:t xml:space="preserve">the cited </w:t>
      </w:r>
      <w:r w:rsidR="00997AE1">
        <w:rPr>
          <w:sz w:val="26"/>
        </w:rPr>
        <w:t>case law,</w:t>
      </w:r>
      <w:r w:rsidR="0005427D">
        <w:rPr>
          <w:sz w:val="26"/>
        </w:rPr>
        <w:t xml:space="preserve"> </w:t>
      </w:r>
      <w:r>
        <w:rPr>
          <w:sz w:val="26"/>
        </w:rPr>
        <w:t xml:space="preserve">the appropriate analysis to be undertaken </w:t>
      </w:r>
      <w:r w:rsidR="0005427D">
        <w:rPr>
          <w:sz w:val="26"/>
        </w:rPr>
        <w:t xml:space="preserve">is </w:t>
      </w:r>
      <w:r>
        <w:rPr>
          <w:sz w:val="26"/>
        </w:rPr>
        <w:t>as follows:</w:t>
      </w:r>
    </w:p>
    <w:p w:rsidR="00E738FF" w:rsidRDefault="00E738FF" w:rsidP="00B90FEE">
      <w:pPr>
        <w:widowControl/>
        <w:spacing w:line="360" w:lineRule="auto"/>
        <w:ind w:firstLine="1440"/>
        <w:rPr>
          <w:sz w:val="26"/>
        </w:rPr>
      </w:pPr>
    </w:p>
    <w:p w:rsidR="00E738FF" w:rsidRDefault="00E738FF" w:rsidP="00E738FF">
      <w:pPr>
        <w:widowControl/>
        <w:ind w:left="1440" w:right="1440" w:firstLine="720"/>
        <w:rPr>
          <w:sz w:val="26"/>
        </w:rPr>
      </w:pPr>
      <w:r>
        <w:rPr>
          <w:sz w:val="26"/>
        </w:rPr>
        <w:t>The lesson from the foregoing cases is clear. If the complainant alleges quality-of-service problems such as continually deficient telephone service [</w:t>
      </w:r>
      <w:r w:rsidR="006C114F" w:rsidRPr="006C114F">
        <w:rPr>
          <w:i/>
          <w:sz w:val="26"/>
        </w:rPr>
        <w:t>e.g</w:t>
      </w:r>
      <w:r w:rsidR="006C114F">
        <w:rPr>
          <w:sz w:val="26"/>
        </w:rPr>
        <w:t xml:space="preserve">., </w:t>
      </w:r>
      <w:r>
        <w:rPr>
          <w:i/>
          <w:sz w:val="26"/>
        </w:rPr>
        <w:t>Elkin</w:t>
      </w:r>
      <w:r>
        <w:rPr>
          <w:sz w:val="26"/>
        </w:rPr>
        <w:t>] or ongoing power surges [</w:t>
      </w:r>
      <w:r w:rsidR="006C114F" w:rsidRPr="006C114F">
        <w:rPr>
          <w:i/>
          <w:sz w:val="26"/>
        </w:rPr>
        <w:t>e.g</w:t>
      </w:r>
      <w:r w:rsidR="006C114F">
        <w:rPr>
          <w:sz w:val="26"/>
        </w:rPr>
        <w:t xml:space="preserve">., </w:t>
      </w:r>
      <w:r>
        <w:rPr>
          <w:i/>
          <w:sz w:val="26"/>
        </w:rPr>
        <w:t xml:space="preserve">Optimum </w:t>
      </w:r>
      <w:r w:rsidRPr="00E738FF">
        <w:rPr>
          <w:i/>
          <w:sz w:val="26"/>
        </w:rPr>
        <w:t>Image</w:t>
      </w:r>
      <w:r>
        <w:rPr>
          <w:sz w:val="26"/>
        </w:rPr>
        <w:t xml:space="preserve">] </w:t>
      </w:r>
      <w:r w:rsidRPr="00E738FF">
        <w:rPr>
          <w:sz w:val="26"/>
        </w:rPr>
        <w:t>or</w:t>
      </w:r>
      <w:r>
        <w:rPr>
          <w:sz w:val="26"/>
        </w:rPr>
        <w:t xml:space="preserve"> repeatedly irregular voltage [</w:t>
      </w:r>
      <w:r w:rsidR="006C114F" w:rsidRPr="006C114F">
        <w:rPr>
          <w:i/>
          <w:sz w:val="26"/>
        </w:rPr>
        <w:t>e.g</w:t>
      </w:r>
      <w:r w:rsidR="006C114F">
        <w:rPr>
          <w:sz w:val="26"/>
        </w:rPr>
        <w:t xml:space="preserve">., </w:t>
      </w:r>
      <w:r w:rsidR="00FA5663">
        <w:rPr>
          <w:i/>
          <w:sz w:val="26"/>
        </w:rPr>
        <w:t>Vertis</w:t>
      </w:r>
      <w:r>
        <w:rPr>
          <w:i/>
          <w:sz w:val="26"/>
        </w:rPr>
        <w:t xml:space="preserve"> Group</w:t>
      </w:r>
      <w:r>
        <w:rPr>
          <w:sz w:val="26"/>
        </w:rPr>
        <w:t>], affecting a widespread geographic area, or violations of the service provider’s tariff, the complaint should be routed to the P.U.C.  However, if the complainant alleges physical harm caused by a service provider on one particular occasion</w:t>
      </w:r>
      <w:r w:rsidR="006C114F">
        <w:rPr>
          <w:sz w:val="26"/>
        </w:rPr>
        <w:t xml:space="preserve"> [</w:t>
      </w:r>
      <w:r w:rsidR="006C114F" w:rsidRPr="006C114F">
        <w:rPr>
          <w:i/>
          <w:sz w:val="26"/>
        </w:rPr>
        <w:t>e.g</w:t>
      </w:r>
      <w:r w:rsidR="006C114F">
        <w:rPr>
          <w:sz w:val="26"/>
        </w:rPr>
        <w:t xml:space="preserve">., </w:t>
      </w:r>
      <w:r w:rsidR="006C114F">
        <w:rPr>
          <w:i/>
          <w:sz w:val="26"/>
        </w:rPr>
        <w:t>Schriner</w:t>
      </w:r>
      <w:r w:rsidR="006C114F">
        <w:rPr>
          <w:sz w:val="26"/>
        </w:rPr>
        <w:t xml:space="preserve">, </w:t>
      </w:r>
      <w:r w:rsidR="006C114F">
        <w:rPr>
          <w:i/>
          <w:sz w:val="26"/>
        </w:rPr>
        <w:t>Poorbaugh</w:t>
      </w:r>
      <w:r w:rsidR="006C114F">
        <w:rPr>
          <w:sz w:val="26"/>
        </w:rPr>
        <w:t>]</w:t>
      </w:r>
      <w:r>
        <w:rPr>
          <w:sz w:val="26"/>
        </w:rPr>
        <w:t>, the matter must remain in the trial court and must be submitted to the jury.</w:t>
      </w:r>
    </w:p>
    <w:p w:rsidR="00E738FF" w:rsidRDefault="00E738FF" w:rsidP="00E738FF">
      <w:pPr>
        <w:widowControl/>
        <w:spacing w:line="360" w:lineRule="auto"/>
        <w:rPr>
          <w:sz w:val="26"/>
        </w:rPr>
      </w:pPr>
    </w:p>
    <w:p w:rsidR="00B811B3" w:rsidRDefault="00E738FF" w:rsidP="00E738FF">
      <w:pPr>
        <w:widowControl/>
        <w:spacing w:line="360" w:lineRule="auto"/>
        <w:rPr>
          <w:sz w:val="26"/>
        </w:rPr>
      </w:pPr>
      <w:r>
        <w:rPr>
          <w:sz w:val="26"/>
        </w:rPr>
        <w:t>P</w:t>
      </w:r>
      <w:r w:rsidR="00FD7A62">
        <w:rPr>
          <w:sz w:val="26"/>
        </w:rPr>
        <w:t>.</w:t>
      </w:r>
      <w:r>
        <w:rPr>
          <w:sz w:val="26"/>
        </w:rPr>
        <w:t>O</w:t>
      </w:r>
      <w:r w:rsidR="00FD7A62">
        <w:rPr>
          <w:sz w:val="26"/>
        </w:rPr>
        <w:t>.</w:t>
      </w:r>
      <w:r>
        <w:rPr>
          <w:sz w:val="26"/>
        </w:rPr>
        <w:t xml:space="preserve"> at 17.</w:t>
      </w:r>
    </w:p>
    <w:p w:rsidR="00B811B3" w:rsidRDefault="00B811B3" w:rsidP="00E738FF">
      <w:pPr>
        <w:widowControl/>
        <w:spacing w:line="360" w:lineRule="auto"/>
        <w:rPr>
          <w:sz w:val="26"/>
        </w:rPr>
      </w:pPr>
    </w:p>
    <w:p w:rsidR="00E738FF" w:rsidRDefault="00AD17B2" w:rsidP="00B811B3">
      <w:pPr>
        <w:widowControl/>
        <w:spacing w:line="360" w:lineRule="auto"/>
        <w:ind w:firstLine="1440"/>
        <w:rPr>
          <w:sz w:val="26"/>
        </w:rPr>
      </w:pPr>
      <w:r>
        <w:rPr>
          <w:sz w:val="26"/>
        </w:rPr>
        <w:t>Alderwoods contended that i</w:t>
      </w:r>
      <w:r w:rsidR="0005427D">
        <w:rPr>
          <w:sz w:val="26"/>
        </w:rPr>
        <w:t>ts Complaint ha</w:t>
      </w:r>
      <w:r>
        <w:rPr>
          <w:sz w:val="26"/>
        </w:rPr>
        <w:t>d</w:t>
      </w:r>
      <w:r w:rsidR="0005427D">
        <w:rPr>
          <w:sz w:val="26"/>
        </w:rPr>
        <w:t xml:space="preserve"> nothing to do with an alleged violation of any Commission Statute, Regulation, Order, or utility tariff; </w:t>
      </w:r>
      <w:r w:rsidR="00B811B3">
        <w:rPr>
          <w:sz w:val="26"/>
        </w:rPr>
        <w:t xml:space="preserve">with </w:t>
      </w:r>
      <w:r w:rsidR="0005427D">
        <w:rPr>
          <w:sz w:val="26"/>
        </w:rPr>
        <w:t xml:space="preserve">any concern over the general reasonableness, adequacy or sufficiency of service by a public utility or its effect on the general public; or </w:t>
      </w:r>
      <w:r w:rsidR="00B811B3">
        <w:rPr>
          <w:sz w:val="26"/>
        </w:rPr>
        <w:t xml:space="preserve">with </w:t>
      </w:r>
      <w:r w:rsidR="0005427D">
        <w:rPr>
          <w:sz w:val="26"/>
        </w:rPr>
        <w:t xml:space="preserve">any issue falling arguably within the Commission’s expertise.  </w:t>
      </w:r>
      <w:r w:rsidR="00F85BF2">
        <w:rPr>
          <w:sz w:val="26"/>
        </w:rPr>
        <w:t>The Complaint was, according to A</w:t>
      </w:r>
      <w:r w:rsidR="0005427D">
        <w:rPr>
          <w:sz w:val="26"/>
        </w:rPr>
        <w:t xml:space="preserve">lderwoods, a matter of the </w:t>
      </w:r>
      <w:r w:rsidR="0005427D">
        <w:rPr>
          <w:sz w:val="26"/>
        </w:rPr>
        <w:lastRenderedPageBreak/>
        <w:t>supply of electricity to one customer on one occasion and</w:t>
      </w:r>
      <w:r w:rsidR="00F75407">
        <w:rPr>
          <w:sz w:val="26"/>
        </w:rPr>
        <w:t>,</w:t>
      </w:r>
      <w:r w:rsidR="0005427D">
        <w:rPr>
          <w:sz w:val="26"/>
        </w:rPr>
        <w:t xml:space="preserve"> therefore</w:t>
      </w:r>
      <w:r w:rsidR="00F75407">
        <w:rPr>
          <w:sz w:val="26"/>
        </w:rPr>
        <w:t>,</w:t>
      </w:r>
      <w:r w:rsidR="0005427D">
        <w:rPr>
          <w:sz w:val="26"/>
        </w:rPr>
        <w:t xml:space="preserve"> outside the Commission’s </w:t>
      </w:r>
      <w:r w:rsidR="00997AE1">
        <w:rPr>
          <w:sz w:val="26"/>
        </w:rPr>
        <w:t xml:space="preserve">primary </w:t>
      </w:r>
      <w:r w:rsidR="0005427D">
        <w:rPr>
          <w:sz w:val="26"/>
        </w:rPr>
        <w:t xml:space="preserve">jurisdiction.  </w:t>
      </w:r>
      <w:r w:rsidR="00B811B3">
        <w:rPr>
          <w:sz w:val="26"/>
        </w:rPr>
        <w:t xml:space="preserve">Further, </w:t>
      </w:r>
      <w:r w:rsidR="00997AE1">
        <w:rPr>
          <w:sz w:val="26"/>
        </w:rPr>
        <w:t xml:space="preserve">claimed Alderwoods, </w:t>
      </w:r>
      <w:r w:rsidR="00B811B3">
        <w:rPr>
          <w:sz w:val="26"/>
        </w:rPr>
        <w:t>b</w:t>
      </w:r>
      <w:r w:rsidR="0005427D">
        <w:rPr>
          <w:sz w:val="26"/>
        </w:rPr>
        <w:t xml:space="preserve">ifurcation </w:t>
      </w:r>
      <w:r w:rsidR="001B2019">
        <w:rPr>
          <w:sz w:val="26"/>
        </w:rPr>
        <w:t>was</w:t>
      </w:r>
      <w:r w:rsidR="00B811B3">
        <w:rPr>
          <w:sz w:val="26"/>
        </w:rPr>
        <w:t xml:space="preserve"> beyond the Commission’s jurisdiction because the Commission </w:t>
      </w:r>
      <w:r w:rsidR="00633810">
        <w:rPr>
          <w:sz w:val="26"/>
        </w:rPr>
        <w:t>is without jurisdiction t</w:t>
      </w:r>
      <w:r w:rsidR="00B811B3">
        <w:rPr>
          <w:sz w:val="26"/>
        </w:rPr>
        <w:t>o consider any implied request for reimbursement for property damage</w:t>
      </w:r>
      <w:r w:rsidR="00633810">
        <w:rPr>
          <w:sz w:val="26"/>
        </w:rPr>
        <w:t xml:space="preserve">. P.O. at 17-19 (quoting </w:t>
      </w:r>
      <w:r w:rsidR="00633810">
        <w:rPr>
          <w:i/>
          <w:sz w:val="26"/>
        </w:rPr>
        <w:t>Williamson v. Duquesne Light Co.</w:t>
      </w:r>
      <w:r w:rsidR="00633810">
        <w:rPr>
          <w:sz w:val="26"/>
        </w:rPr>
        <w:t>, Docket No. C-2009-2138578 (Order entered February 10, 2011)</w:t>
      </w:r>
      <w:r w:rsidR="007E6A13">
        <w:rPr>
          <w:sz w:val="26"/>
        </w:rPr>
        <w:t xml:space="preserve"> (</w:t>
      </w:r>
      <w:r w:rsidR="007E6A13">
        <w:rPr>
          <w:i/>
          <w:sz w:val="26"/>
        </w:rPr>
        <w:t>Williamson</w:t>
      </w:r>
      <w:r w:rsidR="007E6A13">
        <w:rPr>
          <w:sz w:val="26"/>
        </w:rPr>
        <w:t>)</w:t>
      </w:r>
      <w:r w:rsidR="00EB062D">
        <w:rPr>
          <w:sz w:val="26"/>
        </w:rPr>
        <w:t>)</w:t>
      </w:r>
      <w:r w:rsidR="00633810">
        <w:rPr>
          <w:sz w:val="26"/>
        </w:rPr>
        <w:t>.</w:t>
      </w:r>
      <w:r w:rsidR="0005427D">
        <w:rPr>
          <w:sz w:val="26"/>
        </w:rPr>
        <w:t xml:space="preserve"> </w:t>
      </w:r>
    </w:p>
    <w:p w:rsidR="00BA2D21" w:rsidRDefault="00BA2D21" w:rsidP="00E738FF">
      <w:pPr>
        <w:widowControl/>
        <w:spacing w:line="360" w:lineRule="auto"/>
        <w:rPr>
          <w:sz w:val="26"/>
        </w:rPr>
      </w:pPr>
    </w:p>
    <w:p w:rsidR="00EB7B58" w:rsidRDefault="00226A29" w:rsidP="00B90FEE">
      <w:pPr>
        <w:widowControl/>
        <w:spacing w:line="360" w:lineRule="auto"/>
        <w:ind w:firstLine="1440"/>
        <w:rPr>
          <w:sz w:val="26"/>
        </w:rPr>
      </w:pPr>
      <w:r>
        <w:rPr>
          <w:sz w:val="26"/>
        </w:rPr>
        <w:t xml:space="preserve">In its remaining </w:t>
      </w:r>
      <w:r w:rsidR="006777E3">
        <w:rPr>
          <w:sz w:val="26"/>
        </w:rPr>
        <w:t>argument</w:t>
      </w:r>
      <w:r w:rsidR="001B2019">
        <w:rPr>
          <w:sz w:val="26"/>
        </w:rPr>
        <w:t xml:space="preserve"> opposing </w:t>
      </w:r>
      <w:r w:rsidRPr="00226A29">
        <w:rPr>
          <w:sz w:val="26"/>
        </w:rPr>
        <w:t xml:space="preserve">the Commission’s exercise of jurisdiction </w:t>
      </w:r>
      <w:r>
        <w:rPr>
          <w:sz w:val="26"/>
        </w:rPr>
        <w:t xml:space="preserve">Alderwoods asserted </w:t>
      </w:r>
      <w:r w:rsidR="00EB7B58">
        <w:rPr>
          <w:sz w:val="26"/>
        </w:rPr>
        <w:t>the following additional grounds:</w:t>
      </w:r>
    </w:p>
    <w:p w:rsidR="00EB7B58" w:rsidRDefault="00EB7B58" w:rsidP="00B90FEE">
      <w:pPr>
        <w:widowControl/>
        <w:spacing w:line="360" w:lineRule="auto"/>
        <w:ind w:firstLine="1440"/>
        <w:rPr>
          <w:sz w:val="26"/>
        </w:rPr>
      </w:pPr>
    </w:p>
    <w:p w:rsidR="00EB7B58" w:rsidRDefault="00226A29" w:rsidP="00917536">
      <w:pPr>
        <w:widowControl/>
        <w:ind w:left="720" w:firstLine="720"/>
        <w:rPr>
          <w:sz w:val="26"/>
        </w:rPr>
      </w:pPr>
      <w:r>
        <w:rPr>
          <w:sz w:val="26"/>
        </w:rPr>
        <w:t xml:space="preserve">(1) Duquesne was judicially estopped from asserting the Commission has jurisdiction to consider a claim for money damages when </w:t>
      </w:r>
      <w:r w:rsidR="00896C1F">
        <w:rPr>
          <w:sz w:val="26"/>
        </w:rPr>
        <w:t>the utility</w:t>
      </w:r>
      <w:r>
        <w:rPr>
          <w:sz w:val="26"/>
        </w:rPr>
        <w:t xml:space="preserve"> specifically argued the Commission does not have such jurisdiction in </w:t>
      </w:r>
      <w:r>
        <w:rPr>
          <w:i/>
          <w:sz w:val="26"/>
        </w:rPr>
        <w:t>Lolly v. Duquesne Light Co.</w:t>
      </w:r>
      <w:r>
        <w:rPr>
          <w:sz w:val="26"/>
        </w:rPr>
        <w:t>, Docket No. C-2010-2167824 (Order entered May 9, 2011)</w:t>
      </w:r>
      <w:r w:rsidR="001B2019">
        <w:rPr>
          <w:sz w:val="26"/>
        </w:rPr>
        <w:t xml:space="preserve"> (</w:t>
      </w:r>
      <w:r w:rsidR="001B2019">
        <w:rPr>
          <w:i/>
          <w:sz w:val="26"/>
        </w:rPr>
        <w:t>Lolly)</w:t>
      </w:r>
      <w:r w:rsidR="000C6741">
        <w:rPr>
          <w:i/>
          <w:sz w:val="26"/>
        </w:rPr>
        <w:t>.</w:t>
      </w:r>
      <w:r w:rsidR="002042A3">
        <w:rPr>
          <w:sz w:val="26"/>
        </w:rPr>
        <w:t xml:space="preserve"> </w:t>
      </w:r>
      <w:r w:rsidR="000C6741">
        <w:rPr>
          <w:sz w:val="26"/>
        </w:rPr>
        <w:t xml:space="preserve"> </w:t>
      </w:r>
      <w:r w:rsidR="002042A3">
        <w:rPr>
          <w:sz w:val="26"/>
        </w:rPr>
        <w:t>P.O. at 19-21</w:t>
      </w:r>
      <w:r>
        <w:rPr>
          <w:sz w:val="26"/>
        </w:rPr>
        <w:t xml:space="preserve">; </w:t>
      </w:r>
    </w:p>
    <w:p w:rsidR="00EB7B58" w:rsidRDefault="00EB7B58" w:rsidP="00EB7B58">
      <w:pPr>
        <w:widowControl/>
        <w:ind w:firstLine="1440"/>
        <w:rPr>
          <w:sz w:val="26"/>
        </w:rPr>
      </w:pPr>
    </w:p>
    <w:p w:rsidR="00EB7B58" w:rsidRDefault="00226A29" w:rsidP="00917536">
      <w:pPr>
        <w:widowControl/>
        <w:ind w:left="720" w:firstLine="720"/>
        <w:rPr>
          <w:sz w:val="26"/>
        </w:rPr>
      </w:pPr>
      <w:r>
        <w:rPr>
          <w:sz w:val="26"/>
        </w:rPr>
        <w:t xml:space="preserve">(2) </w:t>
      </w:r>
      <w:r w:rsidR="002042A3">
        <w:rPr>
          <w:sz w:val="26"/>
        </w:rPr>
        <w:t xml:space="preserve">The premise </w:t>
      </w:r>
      <w:r w:rsidR="006777E3">
        <w:rPr>
          <w:sz w:val="26"/>
        </w:rPr>
        <w:t xml:space="preserve">underlying </w:t>
      </w:r>
      <w:r w:rsidR="002042A3">
        <w:rPr>
          <w:sz w:val="26"/>
        </w:rPr>
        <w:t>Duquesne’s motion to bifurcate, that the Supreme Court announced a new duty regarding restorations that the Commission must clarify, is false</w:t>
      </w:r>
      <w:r w:rsidR="00896C1F">
        <w:rPr>
          <w:sz w:val="26"/>
        </w:rPr>
        <w:t xml:space="preserve">, as the Court itself acknowledged </w:t>
      </w:r>
      <w:r w:rsidR="006777E3">
        <w:rPr>
          <w:sz w:val="26"/>
        </w:rPr>
        <w:t>in</w:t>
      </w:r>
      <w:r w:rsidR="00896C1F">
        <w:rPr>
          <w:sz w:val="26"/>
        </w:rPr>
        <w:t xml:space="preserve"> </w:t>
      </w:r>
      <w:r w:rsidR="002042A3">
        <w:rPr>
          <w:sz w:val="26"/>
        </w:rPr>
        <w:t>affirm</w:t>
      </w:r>
      <w:r w:rsidR="00896C1F">
        <w:rPr>
          <w:sz w:val="26"/>
        </w:rPr>
        <w:t>ing</w:t>
      </w:r>
      <w:r w:rsidR="002042A3">
        <w:rPr>
          <w:sz w:val="26"/>
        </w:rPr>
        <w:t xml:space="preserve"> a long-standing standard of a common law duty of care</w:t>
      </w:r>
      <w:r w:rsidR="00896C1F">
        <w:rPr>
          <w:sz w:val="26"/>
        </w:rPr>
        <w:t>,</w:t>
      </w:r>
      <w:r w:rsidR="005537E4">
        <w:rPr>
          <w:sz w:val="26"/>
        </w:rPr>
        <w:t xml:space="preserve"> and as the law of the case the Supreme Court’s opinion must control</w:t>
      </w:r>
      <w:r w:rsidR="000C6741">
        <w:rPr>
          <w:sz w:val="26"/>
        </w:rPr>
        <w:t xml:space="preserve">.  </w:t>
      </w:r>
      <w:r w:rsidR="00896C1F">
        <w:rPr>
          <w:sz w:val="26"/>
        </w:rPr>
        <w:t>P.O. at 21-24</w:t>
      </w:r>
      <w:r w:rsidR="002042A3">
        <w:rPr>
          <w:sz w:val="26"/>
        </w:rPr>
        <w:t xml:space="preserve">; </w:t>
      </w:r>
    </w:p>
    <w:p w:rsidR="00EB7B58" w:rsidRDefault="00EB7B58" w:rsidP="00EB7B58">
      <w:pPr>
        <w:widowControl/>
        <w:ind w:firstLine="1440"/>
        <w:rPr>
          <w:sz w:val="26"/>
        </w:rPr>
      </w:pPr>
    </w:p>
    <w:p w:rsidR="00EB7B58" w:rsidRDefault="00896C1F" w:rsidP="00917536">
      <w:pPr>
        <w:widowControl/>
        <w:ind w:left="720" w:firstLine="720"/>
        <w:rPr>
          <w:sz w:val="26"/>
        </w:rPr>
      </w:pPr>
      <w:r>
        <w:rPr>
          <w:sz w:val="26"/>
        </w:rPr>
        <w:t>(3)</w:t>
      </w:r>
      <w:r w:rsidR="005537E4">
        <w:rPr>
          <w:sz w:val="26"/>
        </w:rPr>
        <w:t xml:space="preserve"> The Commission Regulations cited by Duquesne </w:t>
      </w:r>
      <w:r w:rsidR="00890411">
        <w:rPr>
          <w:sz w:val="26"/>
        </w:rPr>
        <w:t xml:space="preserve">before the trial court </w:t>
      </w:r>
      <w:r w:rsidR="005537E4">
        <w:rPr>
          <w:sz w:val="26"/>
        </w:rPr>
        <w:t xml:space="preserve">to justify bifurcation are irrelevant </w:t>
      </w:r>
      <w:r w:rsidR="009D299D">
        <w:rPr>
          <w:sz w:val="26"/>
        </w:rPr>
        <w:t xml:space="preserve">and there is no pervasive regulatory scheme at risk because </w:t>
      </w:r>
      <w:r w:rsidR="005537E4">
        <w:rPr>
          <w:sz w:val="26"/>
        </w:rPr>
        <w:t xml:space="preserve">this case is not about the Commission’s jurisdiction over general reliability and safety of service or general restoration standards, but instead whether Duquesne, upon apprehending the unique situation affecting the one customer attached to the damaged pole who suffered overvoltage damage, </w:t>
      </w:r>
      <w:r w:rsidR="00890411">
        <w:rPr>
          <w:sz w:val="26"/>
        </w:rPr>
        <w:t>owed a reasonable duty of care to that customer</w:t>
      </w:r>
      <w:r w:rsidR="000C6741">
        <w:rPr>
          <w:sz w:val="26"/>
        </w:rPr>
        <w:t xml:space="preserve">.  </w:t>
      </w:r>
      <w:r w:rsidR="009D299D">
        <w:rPr>
          <w:sz w:val="26"/>
        </w:rPr>
        <w:t>P.O. at 24-2</w:t>
      </w:r>
      <w:r w:rsidR="00EB7B58">
        <w:rPr>
          <w:sz w:val="26"/>
        </w:rPr>
        <w:t>9</w:t>
      </w:r>
      <w:r w:rsidR="00890411">
        <w:rPr>
          <w:sz w:val="26"/>
        </w:rPr>
        <w:t xml:space="preserve">; </w:t>
      </w:r>
    </w:p>
    <w:p w:rsidR="00EB7B58" w:rsidRDefault="00EB7B58" w:rsidP="00EB7B58">
      <w:pPr>
        <w:widowControl/>
        <w:ind w:firstLine="1440"/>
        <w:rPr>
          <w:sz w:val="26"/>
        </w:rPr>
      </w:pPr>
    </w:p>
    <w:p w:rsidR="005537E4" w:rsidRDefault="009D299D" w:rsidP="00917536">
      <w:pPr>
        <w:widowControl/>
        <w:ind w:left="720" w:firstLine="720"/>
        <w:rPr>
          <w:sz w:val="26"/>
        </w:rPr>
      </w:pPr>
      <w:r>
        <w:rPr>
          <w:sz w:val="26"/>
        </w:rPr>
        <w:t xml:space="preserve">(4) </w:t>
      </w:r>
      <w:r w:rsidR="00EB7B58">
        <w:rPr>
          <w:sz w:val="26"/>
        </w:rPr>
        <w:t xml:space="preserve">While Alderwoods had not alleged questions of negligence </w:t>
      </w:r>
      <w:r w:rsidR="00EB7B58" w:rsidRPr="00EB7B58">
        <w:rPr>
          <w:i/>
          <w:sz w:val="26"/>
        </w:rPr>
        <w:t>per se</w:t>
      </w:r>
      <w:r w:rsidR="00EB7B58">
        <w:rPr>
          <w:sz w:val="26"/>
        </w:rPr>
        <w:t xml:space="preserve"> but rather plain negligence, even actions of negligence </w:t>
      </w:r>
      <w:r w:rsidR="00EB7B58" w:rsidRPr="00EB7B58">
        <w:rPr>
          <w:i/>
          <w:sz w:val="26"/>
        </w:rPr>
        <w:t>per se</w:t>
      </w:r>
      <w:r w:rsidR="00EB7B58">
        <w:rPr>
          <w:sz w:val="26"/>
        </w:rPr>
        <w:t xml:space="preserve"> are for juries to decide, not administrative law judges, because both actions require findings of proximate cause</w:t>
      </w:r>
      <w:r w:rsidR="000C6741">
        <w:rPr>
          <w:sz w:val="26"/>
        </w:rPr>
        <w:t>.</w:t>
      </w:r>
      <w:r w:rsidR="00EB7B58">
        <w:rPr>
          <w:sz w:val="26"/>
        </w:rPr>
        <w:t xml:space="preserve">  P.O. at 29-30; </w:t>
      </w:r>
    </w:p>
    <w:p w:rsidR="00EB7B58" w:rsidRDefault="00EB7B58" w:rsidP="00EB7B58">
      <w:pPr>
        <w:widowControl/>
        <w:ind w:firstLine="1440"/>
        <w:rPr>
          <w:sz w:val="26"/>
        </w:rPr>
      </w:pPr>
    </w:p>
    <w:p w:rsidR="00EB7B58" w:rsidRDefault="00EB7B58" w:rsidP="00917536">
      <w:pPr>
        <w:widowControl/>
        <w:ind w:left="720" w:firstLine="720"/>
        <w:rPr>
          <w:sz w:val="26"/>
        </w:rPr>
      </w:pPr>
      <w:r>
        <w:rPr>
          <w:sz w:val="26"/>
        </w:rPr>
        <w:t>(5) The question whether Duquesne had constructive knowledge of the electrical fault in the Funeral Home must be decided by a jury</w:t>
      </w:r>
      <w:r w:rsidR="000C6741">
        <w:rPr>
          <w:sz w:val="26"/>
        </w:rPr>
        <w:t xml:space="preserve">.  </w:t>
      </w:r>
      <w:r>
        <w:rPr>
          <w:sz w:val="26"/>
        </w:rPr>
        <w:t>P.O. at 30-31; and</w:t>
      </w:r>
    </w:p>
    <w:p w:rsidR="00EB7B58" w:rsidRDefault="00EB7B58" w:rsidP="00EB7B58">
      <w:pPr>
        <w:widowControl/>
        <w:ind w:firstLine="1440"/>
        <w:rPr>
          <w:sz w:val="26"/>
        </w:rPr>
      </w:pPr>
    </w:p>
    <w:p w:rsidR="00EB7B58" w:rsidRDefault="00EB7B58" w:rsidP="005704A7">
      <w:pPr>
        <w:widowControl/>
        <w:ind w:left="720" w:firstLine="720"/>
        <w:rPr>
          <w:sz w:val="26"/>
        </w:rPr>
      </w:pPr>
      <w:r>
        <w:rPr>
          <w:sz w:val="26"/>
        </w:rPr>
        <w:lastRenderedPageBreak/>
        <w:t>(6) Property damage litigation does not belong before a Commission Administrative Law Judge even where transferred there by a trial court because the coordinate jurisdiction rule, even if applicable, would not apply where the procedural posture before the two forums is different and the trial court’s order, unaccompanied by any explanation of jurisdictional law, is plainly erroneous</w:t>
      </w:r>
      <w:r w:rsidR="000C6741">
        <w:rPr>
          <w:sz w:val="26"/>
        </w:rPr>
        <w:t>.</w:t>
      </w:r>
      <w:r>
        <w:rPr>
          <w:sz w:val="26"/>
        </w:rPr>
        <w:t xml:space="preserve"> </w:t>
      </w:r>
      <w:r w:rsidR="003A58B4">
        <w:rPr>
          <w:sz w:val="26"/>
        </w:rPr>
        <w:t xml:space="preserve"> </w:t>
      </w:r>
      <w:r>
        <w:rPr>
          <w:sz w:val="26"/>
        </w:rPr>
        <w:t>P.O. at 32-33.</w:t>
      </w:r>
    </w:p>
    <w:p w:rsidR="00B874E3" w:rsidRDefault="00B874E3" w:rsidP="00B874E3">
      <w:pPr>
        <w:widowControl/>
        <w:rPr>
          <w:sz w:val="26"/>
        </w:rPr>
      </w:pPr>
    </w:p>
    <w:p w:rsidR="00B874E3" w:rsidRDefault="00B874E3" w:rsidP="00B874E3">
      <w:pPr>
        <w:widowControl/>
        <w:rPr>
          <w:sz w:val="26"/>
        </w:rPr>
      </w:pPr>
    </w:p>
    <w:p w:rsidR="00B874E3" w:rsidRDefault="00AD3895" w:rsidP="00E44628">
      <w:pPr>
        <w:pStyle w:val="Heading2"/>
      </w:pPr>
      <w:bookmarkStart w:id="6" w:name="_Toc462297970"/>
      <w:r>
        <w:t>B.</w:t>
      </w:r>
      <w:r>
        <w:tab/>
      </w:r>
      <w:r w:rsidR="00B874E3" w:rsidRPr="00B874E3">
        <w:t>Duquesne’s Answer to Alderwoods</w:t>
      </w:r>
      <w:r w:rsidR="000B3E16">
        <w:t>’</w:t>
      </w:r>
      <w:r w:rsidR="00B874E3" w:rsidRPr="00B874E3">
        <w:t xml:space="preserve"> Preliminary Objection</w:t>
      </w:r>
      <w:bookmarkEnd w:id="6"/>
    </w:p>
    <w:p w:rsidR="00B874E3" w:rsidRDefault="00B874E3" w:rsidP="00B874E3">
      <w:pPr>
        <w:widowControl/>
        <w:rPr>
          <w:sz w:val="26"/>
        </w:rPr>
      </w:pPr>
    </w:p>
    <w:p w:rsidR="00B874E3" w:rsidRDefault="00B874E3" w:rsidP="00B874E3">
      <w:pPr>
        <w:widowControl/>
        <w:rPr>
          <w:sz w:val="26"/>
        </w:rPr>
      </w:pPr>
    </w:p>
    <w:p w:rsidR="0026573F" w:rsidRDefault="005704A7" w:rsidP="003F5EDA">
      <w:pPr>
        <w:widowControl/>
        <w:spacing w:line="360" w:lineRule="auto"/>
        <w:ind w:firstLine="1440"/>
        <w:rPr>
          <w:sz w:val="26"/>
        </w:rPr>
      </w:pPr>
      <w:r>
        <w:rPr>
          <w:sz w:val="26"/>
        </w:rPr>
        <w:t>In its Answer to Alderwoods’ Preliminary Objection</w:t>
      </w:r>
      <w:r w:rsidR="00B874E3">
        <w:rPr>
          <w:sz w:val="26"/>
        </w:rPr>
        <w:t>,</w:t>
      </w:r>
      <w:r>
        <w:rPr>
          <w:sz w:val="26"/>
        </w:rPr>
        <w:t xml:space="preserve"> Duquesne contended that the trial court twice ordered this action to be bifurcated and transferred to the Commission, and that Alderwoods </w:t>
      </w:r>
      <w:r w:rsidR="00B874E3">
        <w:rPr>
          <w:sz w:val="26"/>
        </w:rPr>
        <w:t xml:space="preserve">continued to present </w:t>
      </w:r>
      <w:r>
        <w:rPr>
          <w:sz w:val="26"/>
        </w:rPr>
        <w:t>a jurisdictional argument that it repeatedly lost.  According to Duquesne, the doctrine of</w:t>
      </w:r>
      <w:r w:rsidR="00B874E3">
        <w:rPr>
          <w:sz w:val="26"/>
        </w:rPr>
        <w:t xml:space="preserve"> primary jurisdiction authorized</w:t>
      </w:r>
      <w:r>
        <w:rPr>
          <w:sz w:val="26"/>
        </w:rPr>
        <w:t xml:space="preserve"> the bifurcation of this case to the Commission because that doctrine “creates a workable relationship between the courts and administrative agencies wherein, in appropriate circumstances, the courts have the benefit of the agency’s views on issues within the agency’s competence.”  Answer to P.O. at 2, </w:t>
      </w:r>
      <w:r w:rsidRPr="005704A7">
        <w:rPr>
          <w:sz w:val="26"/>
        </w:rPr>
        <w:t xml:space="preserve">quoting </w:t>
      </w:r>
      <w:r w:rsidRPr="005704A7">
        <w:rPr>
          <w:i/>
          <w:sz w:val="26"/>
        </w:rPr>
        <w:t>Elkin</w:t>
      </w:r>
      <w:r>
        <w:rPr>
          <w:sz w:val="26"/>
        </w:rPr>
        <w:t xml:space="preserve">, 420 A.2d at 376.  </w:t>
      </w:r>
      <w:r w:rsidR="00B874E3">
        <w:rPr>
          <w:sz w:val="26"/>
        </w:rPr>
        <w:t>Duquesne characterized</w:t>
      </w:r>
      <w:r w:rsidR="0026573F">
        <w:rPr>
          <w:sz w:val="26"/>
        </w:rPr>
        <w:t xml:space="preserve"> Alderwoods’ Complaint as follows:</w:t>
      </w:r>
    </w:p>
    <w:p w:rsidR="0026573F" w:rsidRDefault="0026573F" w:rsidP="003F5EDA">
      <w:pPr>
        <w:widowControl/>
        <w:spacing w:line="360" w:lineRule="auto"/>
        <w:ind w:firstLine="1440"/>
        <w:rPr>
          <w:sz w:val="26"/>
        </w:rPr>
      </w:pPr>
    </w:p>
    <w:p w:rsidR="0026573F" w:rsidRDefault="0026573F" w:rsidP="0026573F">
      <w:pPr>
        <w:widowControl/>
        <w:ind w:left="1440" w:right="1440"/>
        <w:rPr>
          <w:sz w:val="26"/>
        </w:rPr>
      </w:pPr>
      <w:r>
        <w:rPr>
          <w:sz w:val="26"/>
        </w:rPr>
        <w:t xml:space="preserve">The thrust of Complainant’s claim is that it was unsafe and unreasonable for Duquesne </w:t>
      </w:r>
      <w:r w:rsidR="00EB062D">
        <w:rPr>
          <w:sz w:val="26"/>
        </w:rPr>
        <w:t>L</w:t>
      </w:r>
      <w:r>
        <w:rPr>
          <w:sz w:val="26"/>
        </w:rPr>
        <w:t>ight to restore service to the Funeral Home without first engaging in certain communications with its customer.  Such service-related issues are within the exclusive jurisdiction of the PUC.  The Pennsylvania Supreme Court has long recognized the PUC “as the appropriate forum for the adjudication of issues involving the reasonableness, adequacy and sufficiency of public utility services.”</w:t>
      </w:r>
    </w:p>
    <w:p w:rsidR="0026573F" w:rsidRDefault="0026573F" w:rsidP="0026573F">
      <w:pPr>
        <w:widowControl/>
        <w:ind w:left="1440" w:right="1440"/>
        <w:rPr>
          <w:sz w:val="26"/>
        </w:rPr>
      </w:pPr>
    </w:p>
    <w:p w:rsidR="0026573F" w:rsidRDefault="0026573F" w:rsidP="0026573F">
      <w:pPr>
        <w:widowControl/>
        <w:ind w:left="1440" w:right="1440"/>
        <w:rPr>
          <w:sz w:val="26"/>
        </w:rPr>
      </w:pPr>
    </w:p>
    <w:p w:rsidR="0026573F" w:rsidRDefault="0026573F" w:rsidP="0026573F">
      <w:pPr>
        <w:widowControl/>
        <w:spacing w:line="360" w:lineRule="auto"/>
        <w:rPr>
          <w:sz w:val="26"/>
        </w:rPr>
      </w:pPr>
      <w:r>
        <w:rPr>
          <w:i/>
          <w:sz w:val="26"/>
        </w:rPr>
        <w:t>Id.</w:t>
      </w:r>
      <w:r>
        <w:rPr>
          <w:sz w:val="26"/>
        </w:rPr>
        <w:t xml:space="preserve"> at 3 (</w:t>
      </w:r>
      <w:r w:rsidRPr="0026573F">
        <w:rPr>
          <w:sz w:val="26"/>
        </w:rPr>
        <w:t>citing</w:t>
      </w:r>
      <w:r>
        <w:rPr>
          <w:sz w:val="26"/>
        </w:rPr>
        <w:t xml:space="preserve">, </w:t>
      </w:r>
      <w:r>
        <w:rPr>
          <w:i/>
          <w:sz w:val="26"/>
        </w:rPr>
        <w:t xml:space="preserve">inter </w:t>
      </w:r>
      <w:r w:rsidRPr="0026573F">
        <w:rPr>
          <w:i/>
          <w:sz w:val="26"/>
        </w:rPr>
        <w:t>alia</w:t>
      </w:r>
      <w:r>
        <w:rPr>
          <w:sz w:val="26"/>
        </w:rPr>
        <w:t xml:space="preserve">, </w:t>
      </w:r>
      <w:r w:rsidRPr="0026573F">
        <w:rPr>
          <w:i/>
          <w:sz w:val="26"/>
        </w:rPr>
        <w:t>Elkin</w:t>
      </w:r>
      <w:r>
        <w:rPr>
          <w:sz w:val="26"/>
        </w:rPr>
        <w:t>).</w:t>
      </w:r>
    </w:p>
    <w:p w:rsidR="0026573F" w:rsidRDefault="0026573F" w:rsidP="0026573F">
      <w:pPr>
        <w:widowControl/>
        <w:spacing w:line="360" w:lineRule="auto"/>
        <w:rPr>
          <w:sz w:val="26"/>
        </w:rPr>
      </w:pPr>
    </w:p>
    <w:p w:rsidR="0026573F" w:rsidRPr="0026573F" w:rsidRDefault="0026573F" w:rsidP="0026573F">
      <w:pPr>
        <w:widowControl/>
        <w:spacing w:line="360" w:lineRule="auto"/>
        <w:ind w:firstLine="1440"/>
        <w:rPr>
          <w:sz w:val="26"/>
        </w:rPr>
      </w:pPr>
      <w:r>
        <w:rPr>
          <w:sz w:val="26"/>
        </w:rPr>
        <w:t>Quoting the Code</w:t>
      </w:r>
      <w:r w:rsidR="00CD3E09">
        <w:rPr>
          <w:sz w:val="26"/>
        </w:rPr>
        <w:t xml:space="preserve"> and our Regulations</w:t>
      </w:r>
      <w:r>
        <w:rPr>
          <w:sz w:val="26"/>
        </w:rPr>
        <w:t>, Duquesne contended that the Commission’s broad grant of authority over service place</w:t>
      </w:r>
      <w:r w:rsidR="00CD3E09">
        <w:rPr>
          <w:sz w:val="26"/>
        </w:rPr>
        <w:t>d</w:t>
      </w:r>
      <w:r>
        <w:rPr>
          <w:sz w:val="26"/>
        </w:rPr>
        <w:t xml:space="preserve"> the “heart of Complainant’s </w:t>
      </w:r>
      <w:r>
        <w:rPr>
          <w:sz w:val="26"/>
        </w:rPr>
        <w:lastRenderedPageBreak/>
        <w:t xml:space="preserve">case” within our service regulation.  </w:t>
      </w:r>
      <w:r>
        <w:rPr>
          <w:i/>
          <w:sz w:val="26"/>
        </w:rPr>
        <w:t>Id.</w:t>
      </w:r>
      <w:r>
        <w:rPr>
          <w:sz w:val="26"/>
        </w:rPr>
        <w:t xml:space="preserve"> at 4.  </w:t>
      </w:r>
      <w:r w:rsidR="00CD3E09">
        <w:rPr>
          <w:sz w:val="26"/>
        </w:rPr>
        <w:t xml:space="preserve">Duquesne </w:t>
      </w:r>
      <w:r w:rsidR="001137E4">
        <w:rPr>
          <w:sz w:val="26"/>
        </w:rPr>
        <w:t>argued</w:t>
      </w:r>
      <w:r w:rsidR="00997AE1">
        <w:rPr>
          <w:sz w:val="26"/>
        </w:rPr>
        <w:t xml:space="preserve"> that </w:t>
      </w:r>
      <w:r w:rsidR="00CD3E09">
        <w:rPr>
          <w:sz w:val="26"/>
        </w:rPr>
        <w:t>cases have already decided the Commission’s scope of authority over power interruptions and restorations as well as a utility’s responsibilities regarding customer equipment</w:t>
      </w:r>
      <w:r w:rsidR="00997AE1">
        <w:rPr>
          <w:sz w:val="26"/>
        </w:rPr>
        <w:t>, referring to</w:t>
      </w:r>
      <w:r w:rsidR="004130D7">
        <w:rPr>
          <w:sz w:val="26"/>
        </w:rPr>
        <w:t xml:space="preserve">, </w:t>
      </w:r>
      <w:r w:rsidR="004130D7">
        <w:rPr>
          <w:i/>
          <w:sz w:val="26"/>
        </w:rPr>
        <w:t>inter alia</w:t>
      </w:r>
      <w:r w:rsidR="004130D7">
        <w:rPr>
          <w:sz w:val="26"/>
        </w:rPr>
        <w:t xml:space="preserve">, </w:t>
      </w:r>
      <w:r w:rsidR="00CD3E09" w:rsidRPr="004130D7">
        <w:rPr>
          <w:i/>
          <w:sz w:val="26"/>
        </w:rPr>
        <w:t xml:space="preserve">Eckenrode </w:t>
      </w:r>
      <w:r w:rsidR="004130D7" w:rsidRPr="004130D7">
        <w:rPr>
          <w:i/>
          <w:sz w:val="26"/>
        </w:rPr>
        <w:t>v. PECO Energy Co</w:t>
      </w:r>
      <w:r w:rsidR="004130D7">
        <w:rPr>
          <w:sz w:val="26"/>
        </w:rPr>
        <w:t xml:space="preserve">., Docket No. </w:t>
      </w:r>
      <w:r w:rsidR="00EB062D">
        <w:rPr>
          <w:sz w:val="26"/>
        </w:rPr>
        <w:t>C</w:t>
      </w:r>
      <w:r w:rsidR="004130D7">
        <w:rPr>
          <w:sz w:val="26"/>
        </w:rPr>
        <w:t xml:space="preserve">-2013-2337839 (Order entered February 6, 2014) (addressing a utility’s </w:t>
      </w:r>
      <w:r w:rsidR="00CD3E09">
        <w:rPr>
          <w:sz w:val="26"/>
        </w:rPr>
        <w:t>promptness of restoration</w:t>
      </w:r>
      <w:r w:rsidR="004130D7">
        <w:rPr>
          <w:sz w:val="26"/>
        </w:rPr>
        <w:t>)</w:t>
      </w:r>
      <w:r w:rsidR="00CD3E09">
        <w:rPr>
          <w:sz w:val="26"/>
        </w:rPr>
        <w:t xml:space="preserve">, </w:t>
      </w:r>
      <w:r w:rsidR="00CD3E09" w:rsidRPr="004130D7">
        <w:rPr>
          <w:i/>
          <w:sz w:val="26"/>
        </w:rPr>
        <w:t>Maluchnik</w:t>
      </w:r>
      <w:r w:rsidR="004130D7">
        <w:rPr>
          <w:i/>
          <w:sz w:val="26"/>
        </w:rPr>
        <w:t xml:space="preserve"> v. Pennsylvania Electric Co</w:t>
      </w:r>
      <w:r w:rsidR="004130D7">
        <w:rPr>
          <w:sz w:val="26"/>
        </w:rPr>
        <w:t xml:space="preserve">., Docket No. C-2011-2245451 (Order entered March 14, 2013) (addressing </w:t>
      </w:r>
      <w:r w:rsidR="00CD3E09">
        <w:rPr>
          <w:sz w:val="26"/>
        </w:rPr>
        <w:t>the point where utility responsibility ends and customer responsibility begins</w:t>
      </w:r>
      <w:r w:rsidR="004130D7">
        <w:rPr>
          <w:sz w:val="26"/>
        </w:rPr>
        <w:t>)</w:t>
      </w:r>
      <w:r w:rsidR="00CD3E09">
        <w:rPr>
          <w:sz w:val="26"/>
        </w:rPr>
        <w:t xml:space="preserve">, and </w:t>
      </w:r>
      <w:r w:rsidR="00CD3E09" w:rsidRPr="004130D7">
        <w:rPr>
          <w:i/>
          <w:sz w:val="26"/>
        </w:rPr>
        <w:t>Lolly</w:t>
      </w:r>
      <w:r w:rsidR="00CD3E09">
        <w:rPr>
          <w:sz w:val="26"/>
        </w:rPr>
        <w:t xml:space="preserve"> </w:t>
      </w:r>
      <w:r w:rsidR="004130D7">
        <w:rPr>
          <w:sz w:val="26"/>
        </w:rPr>
        <w:t xml:space="preserve">(addressing a complainant’s request for damages within the context of an allegation of </w:t>
      </w:r>
      <w:r w:rsidR="00CD3E09">
        <w:rPr>
          <w:sz w:val="26"/>
        </w:rPr>
        <w:t>the failure t</w:t>
      </w:r>
      <w:r w:rsidR="004130D7">
        <w:rPr>
          <w:sz w:val="26"/>
        </w:rPr>
        <w:t>o</w:t>
      </w:r>
      <w:r w:rsidR="00CD3E09">
        <w:rPr>
          <w:sz w:val="26"/>
        </w:rPr>
        <w:t xml:space="preserve"> provide safe</w:t>
      </w:r>
      <w:r w:rsidR="004130D7">
        <w:rPr>
          <w:sz w:val="26"/>
        </w:rPr>
        <w:t xml:space="preserve">, </w:t>
      </w:r>
      <w:r w:rsidR="00CD3E09">
        <w:rPr>
          <w:sz w:val="26"/>
        </w:rPr>
        <w:t>adequa</w:t>
      </w:r>
      <w:r w:rsidR="004130D7">
        <w:rPr>
          <w:sz w:val="26"/>
        </w:rPr>
        <w:t>te,</w:t>
      </w:r>
      <w:r w:rsidR="00CD3E09">
        <w:rPr>
          <w:sz w:val="26"/>
        </w:rPr>
        <w:t xml:space="preserve"> reasonable</w:t>
      </w:r>
      <w:r w:rsidR="004130D7">
        <w:rPr>
          <w:sz w:val="26"/>
        </w:rPr>
        <w:t xml:space="preserve">, and </w:t>
      </w:r>
      <w:r w:rsidR="00CD3E09">
        <w:rPr>
          <w:sz w:val="26"/>
        </w:rPr>
        <w:t>efficien</w:t>
      </w:r>
      <w:r w:rsidR="004130D7">
        <w:rPr>
          <w:sz w:val="26"/>
        </w:rPr>
        <w:t xml:space="preserve">t </w:t>
      </w:r>
      <w:r w:rsidR="00CD3E09">
        <w:rPr>
          <w:sz w:val="26"/>
        </w:rPr>
        <w:t>service a</w:t>
      </w:r>
      <w:r w:rsidR="001137E4">
        <w:rPr>
          <w:sz w:val="26"/>
        </w:rPr>
        <w:t>s</w:t>
      </w:r>
      <w:r w:rsidR="00CD3E09">
        <w:rPr>
          <w:sz w:val="26"/>
        </w:rPr>
        <w:t xml:space="preserve"> within the Commission’s jurisdiction</w:t>
      </w:r>
      <w:r w:rsidR="006D76E2">
        <w:rPr>
          <w:sz w:val="26"/>
        </w:rPr>
        <w:t>)</w:t>
      </w:r>
      <w:r w:rsidR="00CD3E09">
        <w:rPr>
          <w:sz w:val="26"/>
        </w:rPr>
        <w:t xml:space="preserve">.  </w:t>
      </w:r>
      <w:r w:rsidR="004130D7">
        <w:rPr>
          <w:sz w:val="26"/>
        </w:rPr>
        <w:t>Duquesne also cited to our Regulations</w:t>
      </w:r>
      <w:r w:rsidR="00571F1B">
        <w:rPr>
          <w:sz w:val="26"/>
        </w:rPr>
        <w:t xml:space="preserve"> at</w:t>
      </w:r>
      <w:r w:rsidR="00F550AD">
        <w:rPr>
          <w:sz w:val="26"/>
        </w:rPr>
        <w:t xml:space="preserve"> </w:t>
      </w:r>
      <w:r w:rsidR="004130D7">
        <w:rPr>
          <w:sz w:val="26"/>
        </w:rPr>
        <w:t>52 Pa. Code §</w:t>
      </w:r>
      <w:r w:rsidR="00F550AD" w:rsidRPr="00F550AD">
        <w:rPr>
          <w:sz w:val="26"/>
        </w:rPr>
        <w:t>§</w:t>
      </w:r>
      <w:r w:rsidR="00B850F2">
        <w:rPr>
          <w:sz w:val="26"/>
        </w:rPr>
        <w:t> </w:t>
      </w:r>
      <w:r w:rsidR="004130D7">
        <w:rPr>
          <w:sz w:val="26"/>
        </w:rPr>
        <w:t>57.19</w:t>
      </w:r>
      <w:r w:rsidR="00F550AD">
        <w:rPr>
          <w:sz w:val="26"/>
        </w:rPr>
        <w:t xml:space="preserve">1, 57.194, </w:t>
      </w:r>
      <w:r w:rsidR="00F550AD" w:rsidRPr="00F550AD">
        <w:rPr>
          <w:sz w:val="26"/>
        </w:rPr>
        <w:t>57.19</w:t>
      </w:r>
      <w:r w:rsidR="00F550AD">
        <w:rPr>
          <w:sz w:val="26"/>
        </w:rPr>
        <w:t xml:space="preserve">7, and </w:t>
      </w:r>
      <w:r w:rsidR="00F550AD" w:rsidRPr="00F550AD">
        <w:rPr>
          <w:sz w:val="26"/>
        </w:rPr>
        <w:t>57.19</w:t>
      </w:r>
      <w:r w:rsidR="00F550AD">
        <w:rPr>
          <w:sz w:val="26"/>
        </w:rPr>
        <w:t>8</w:t>
      </w:r>
      <w:r w:rsidR="001137E4">
        <w:rPr>
          <w:sz w:val="26"/>
        </w:rPr>
        <w:t xml:space="preserve">, </w:t>
      </w:r>
      <w:r w:rsidR="004130D7">
        <w:rPr>
          <w:sz w:val="26"/>
        </w:rPr>
        <w:t xml:space="preserve">addressing </w:t>
      </w:r>
      <w:r w:rsidR="001137E4">
        <w:rPr>
          <w:sz w:val="26"/>
        </w:rPr>
        <w:t xml:space="preserve">service reliability </w:t>
      </w:r>
      <w:r w:rsidR="00F550AD">
        <w:rPr>
          <w:sz w:val="26"/>
        </w:rPr>
        <w:t>standards</w:t>
      </w:r>
      <w:r w:rsidR="001137E4">
        <w:rPr>
          <w:sz w:val="26"/>
        </w:rPr>
        <w:t>,</w:t>
      </w:r>
      <w:r w:rsidR="00B874E3">
        <w:rPr>
          <w:sz w:val="26"/>
        </w:rPr>
        <w:t xml:space="preserve"> and </w:t>
      </w:r>
      <w:r w:rsidR="001B2019">
        <w:rPr>
          <w:sz w:val="26"/>
        </w:rPr>
        <w:t xml:space="preserve">our policy statement at </w:t>
      </w:r>
      <w:r w:rsidR="00571F1B" w:rsidRPr="00571F1B">
        <w:rPr>
          <w:sz w:val="26"/>
        </w:rPr>
        <w:t>52 Pa. Code §</w:t>
      </w:r>
      <w:r w:rsidR="00571F1B">
        <w:rPr>
          <w:sz w:val="26"/>
        </w:rPr>
        <w:t xml:space="preserve"> </w:t>
      </w:r>
      <w:r w:rsidR="00B874E3">
        <w:rPr>
          <w:sz w:val="26"/>
        </w:rPr>
        <w:t>69.1902</w:t>
      </w:r>
      <w:r w:rsidR="001137E4">
        <w:rPr>
          <w:sz w:val="26"/>
        </w:rPr>
        <w:t xml:space="preserve">, </w:t>
      </w:r>
      <w:r w:rsidR="00B874E3" w:rsidRPr="00B874E3">
        <w:rPr>
          <w:sz w:val="26"/>
        </w:rPr>
        <w:t>provid</w:t>
      </w:r>
      <w:r w:rsidR="00B874E3">
        <w:rPr>
          <w:sz w:val="26"/>
        </w:rPr>
        <w:t>ing</w:t>
      </w:r>
      <w:r w:rsidR="00B874E3" w:rsidRPr="00B874E3">
        <w:rPr>
          <w:sz w:val="26"/>
        </w:rPr>
        <w:t xml:space="preserve"> guidelines to the electric distribution market regarding </w:t>
      </w:r>
      <w:r w:rsidR="00B874E3">
        <w:rPr>
          <w:sz w:val="26"/>
        </w:rPr>
        <w:t>service</w:t>
      </w:r>
      <w:r w:rsidR="00B874E3" w:rsidRPr="00B874E3">
        <w:rPr>
          <w:sz w:val="26"/>
        </w:rPr>
        <w:t xml:space="preserve"> restoration practices</w:t>
      </w:r>
      <w:r w:rsidR="001137E4">
        <w:rPr>
          <w:sz w:val="26"/>
        </w:rPr>
        <w:t>,</w:t>
      </w:r>
      <w:r w:rsidR="00B874E3">
        <w:rPr>
          <w:sz w:val="26"/>
        </w:rPr>
        <w:t xml:space="preserve"> </w:t>
      </w:r>
      <w:r w:rsidR="00571F1B">
        <w:rPr>
          <w:sz w:val="26"/>
        </w:rPr>
        <w:t xml:space="preserve">to support the Company’s claim that </w:t>
      </w:r>
      <w:r w:rsidR="00B874E3">
        <w:rPr>
          <w:sz w:val="26"/>
        </w:rPr>
        <w:t xml:space="preserve">the Commission </w:t>
      </w:r>
      <w:r w:rsidR="00571F1B">
        <w:rPr>
          <w:sz w:val="26"/>
        </w:rPr>
        <w:t xml:space="preserve">comprehensively regulated the subject at issue and thus </w:t>
      </w:r>
      <w:r w:rsidR="00B874E3">
        <w:rPr>
          <w:sz w:val="26"/>
        </w:rPr>
        <w:t>ha</w:t>
      </w:r>
      <w:r w:rsidR="001137E4">
        <w:rPr>
          <w:sz w:val="26"/>
        </w:rPr>
        <w:t>d</w:t>
      </w:r>
      <w:r w:rsidR="00B874E3">
        <w:rPr>
          <w:sz w:val="26"/>
        </w:rPr>
        <w:t xml:space="preserve"> exclusive jurisdiction over all matters involving service restoration.  Answer to</w:t>
      </w:r>
      <w:r w:rsidR="00906542">
        <w:rPr>
          <w:sz w:val="26"/>
        </w:rPr>
        <w:t xml:space="preserve"> P</w:t>
      </w:r>
      <w:r w:rsidR="00B874E3">
        <w:rPr>
          <w:sz w:val="26"/>
        </w:rPr>
        <w:t>.O.</w:t>
      </w:r>
      <w:r w:rsidR="00906542">
        <w:rPr>
          <w:sz w:val="26"/>
        </w:rPr>
        <w:t xml:space="preserve"> </w:t>
      </w:r>
      <w:r w:rsidR="00B874E3">
        <w:rPr>
          <w:sz w:val="26"/>
        </w:rPr>
        <w:t>at</w:t>
      </w:r>
      <w:r w:rsidR="00906542">
        <w:rPr>
          <w:sz w:val="26"/>
        </w:rPr>
        <w:t> </w:t>
      </w:r>
      <w:r w:rsidR="00B874E3">
        <w:rPr>
          <w:sz w:val="26"/>
        </w:rPr>
        <w:t>3</w:t>
      </w:r>
      <w:r w:rsidR="00906542">
        <w:rPr>
          <w:sz w:val="26"/>
        </w:rPr>
        <w:noBreakHyphen/>
      </w:r>
      <w:r w:rsidR="00B874E3">
        <w:rPr>
          <w:sz w:val="26"/>
        </w:rPr>
        <w:t>7.</w:t>
      </w:r>
      <w:r w:rsidR="00CD3E09">
        <w:rPr>
          <w:sz w:val="26"/>
        </w:rPr>
        <w:t xml:space="preserve"> </w:t>
      </w:r>
    </w:p>
    <w:p w:rsidR="0026573F" w:rsidRDefault="0026573F" w:rsidP="0026573F">
      <w:pPr>
        <w:widowControl/>
        <w:spacing w:line="360" w:lineRule="auto"/>
        <w:rPr>
          <w:sz w:val="26"/>
        </w:rPr>
      </w:pPr>
    </w:p>
    <w:p w:rsidR="00BB7810" w:rsidRDefault="00FB7A2A" w:rsidP="004044EA">
      <w:pPr>
        <w:widowControl/>
        <w:spacing w:line="360" w:lineRule="auto"/>
        <w:ind w:firstLine="1440"/>
        <w:rPr>
          <w:sz w:val="26"/>
        </w:rPr>
      </w:pPr>
      <w:r>
        <w:rPr>
          <w:sz w:val="26"/>
        </w:rPr>
        <w:t>In response to Alderwoods’ description of the outage, Duquesne agree</w:t>
      </w:r>
      <w:r w:rsidR="0092143E">
        <w:rPr>
          <w:sz w:val="26"/>
        </w:rPr>
        <w:t>d</w:t>
      </w:r>
      <w:r>
        <w:rPr>
          <w:sz w:val="26"/>
        </w:rPr>
        <w:t xml:space="preserve"> that it involved the crash of a motor vehicle into a utility pole</w:t>
      </w:r>
      <w:r w:rsidR="00571F1B">
        <w:rPr>
          <w:sz w:val="26"/>
        </w:rPr>
        <w:t>, but de</w:t>
      </w:r>
      <w:r>
        <w:rPr>
          <w:sz w:val="26"/>
        </w:rPr>
        <w:t>nie</w:t>
      </w:r>
      <w:r w:rsidR="0092143E">
        <w:rPr>
          <w:sz w:val="26"/>
        </w:rPr>
        <w:t>d</w:t>
      </w:r>
      <w:r>
        <w:rPr>
          <w:sz w:val="26"/>
        </w:rPr>
        <w:t xml:space="preserve"> that </w:t>
      </w:r>
      <w:r w:rsidR="000C6741">
        <w:rPr>
          <w:sz w:val="26"/>
        </w:rPr>
        <w:t>the Company</w:t>
      </w:r>
      <w:r>
        <w:rPr>
          <w:sz w:val="26"/>
        </w:rPr>
        <w:t xml:space="preserve"> was negligent or that its actions caused the fire.  </w:t>
      </w:r>
      <w:r w:rsidRPr="00571F1B">
        <w:rPr>
          <w:sz w:val="26"/>
        </w:rPr>
        <w:t>Duquesne contend</w:t>
      </w:r>
      <w:r w:rsidR="0092143E" w:rsidRPr="00571F1B">
        <w:rPr>
          <w:sz w:val="26"/>
        </w:rPr>
        <w:t>ed</w:t>
      </w:r>
      <w:r w:rsidRPr="00571F1B">
        <w:rPr>
          <w:sz w:val="26"/>
        </w:rPr>
        <w:t xml:space="preserve"> that Alderwoods failed to adduce any facts in discovery </w:t>
      </w:r>
      <w:r w:rsidR="00571F1B" w:rsidRPr="00571F1B">
        <w:rPr>
          <w:sz w:val="26"/>
        </w:rPr>
        <w:t xml:space="preserve">to support its claims and that </w:t>
      </w:r>
      <w:r w:rsidR="00460C18" w:rsidRPr="00571F1B">
        <w:rPr>
          <w:sz w:val="26"/>
        </w:rPr>
        <w:t>“no witness testified to seeing anything before the fire suggesting any danger to the customer’s equipment inside</w:t>
      </w:r>
      <w:r w:rsidR="00571F1B" w:rsidRPr="00571F1B">
        <w:rPr>
          <w:sz w:val="26"/>
        </w:rPr>
        <w:t>,</w:t>
      </w:r>
      <w:r w:rsidR="00460C18" w:rsidRPr="00571F1B">
        <w:rPr>
          <w:sz w:val="26"/>
        </w:rPr>
        <w:t xml:space="preserve">” </w:t>
      </w:r>
      <w:r w:rsidR="00571F1B" w:rsidRPr="00571F1B">
        <w:rPr>
          <w:sz w:val="26"/>
        </w:rPr>
        <w:t>thus</w:t>
      </w:r>
      <w:r w:rsidR="00460C18" w:rsidRPr="00571F1B">
        <w:rPr>
          <w:sz w:val="26"/>
        </w:rPr>
        <w:t xml:space="preserve"> Alderwoods’ references to actual or constructive notice </w:t>
      </w:r>
      <w:r w:rsidR="00571F1B" w:rsidRPr="00571F1B">
        <w:rPr>
          <w:sz w:val="26"/>
        </w:rPr>
        <w:t xml:space="preserve">lacked an </w:t>
      </w:r>
      <w:r w:rsidR="00460C18" w:rsidRPr="00571F1B">
        <w:rPr>
          <w:sz w:val="26"/>
        </w:rPr>
        <w:t>evidentiary foundation.</w:t>
      </w:r>
      <w:r w:rsidR="00AE67B3">
        <w:rPr>
          <w:sz w:val="26"/>
        </w:rPr>
        <w:t xml:space="preserve">  Answer to P.O. at 13.  </w:t>
      </w:r>
      <w:r>
        <w:rPr>
          <w:sz w:val="26"/>
        </w:rPr>
        <w:t>Duquesne acknowledge</w:t>
      </w:r>
      <w:r w:rsidR="00460C18">
        <w:rPr>
          <w:sz w:val="26"/>
        </w:rPr>
        <w:t>d</w:t>
      </w:r>
      <w:r>
        <w:rPr>
          <w:sz w:val="26"/>
        </w:rPr>
        <w:t xml:space="preserve"> it did not raise the matter of bifurcation through </w:t>
      </w:r>
      <w:r w:rsidR="00571F1B">
        <w:rPr>
          <w:sz w:val="26"/>
        </w:rPr>
        <w:t>its</w:t>
      </w:r>
      <w:r>
        <w:rPr>
          <w:sz w:val="26"/>
        </w:rPr>
        <w:t xml:space="preserve"> appeal</w:t>
      </w:r>
      <w:r w:rsidR="00571F1B">
        <w:rPr>
          <w:sz w:val="26"/>
        </w:rPr>
        <w:t>s</w:t>
      </w:r>
      <w:r>
        <w:rPr>
          <w:sz w:val="26"/>
        </w:rPr>
        <w:t xml:space="preserve"> and </w:t>
      </w:r>
      <w:r w:rsidR="001137E4">
        <w:rPr>
          <w:sz w:val="26"/>
        </w:rPr>
        <w:t xml:space="preserve">also noted </w:t>
      </w:r>
      <w:r>
        <w:rPr>
          <w:sz w:val="26"/>
        </w:rPr>
        <w:t xml:space="preserve">that the Supreme Court </w:t>
      </w:r>
      <w:r w:rsidR="00571F1B">
        <w:rPr>
          <w:sz w:val="26"/>
        </w:rPr>
        <w:t xml:space="preserve">did not </w:t>
      </w:r>
      <w:r>
        <w:rPr>
          <w:sz w:val="26"/>
        </w:rPr>
        <w:t>address that issue.</w:t>
      </w:r>
      <w:r w:rsidR="00452692">
        <w:rPr>
          <w:sz w:val="26"/>
        </w:rPr>
        <w:t xml:space="preserve">  </w:t>
      </w:r>
    </w:p>
    <w:p w:rsidR="00BB7810" w:rsidRDefault="00BB7810" w:rsidP="004044EA">
      <w:pPr>
        <w:widowControl/>
        <w:spacing w:line="360" w:lineRule="auto"/>
        <w:ind w:firstLine="1440"/>
        <w:rPr>
          <w:sz w:val="26"/>
        </w:rPr>
      </w:pPr>
    </w:p>
    <w:p w:rsidR="004044EA" w:rsidRPr="00571F1B" w:rsidRDefault="00BB7810" w:rsidP="004044EA">
      <w:pPr>
        <w:widowControl/>
        <w:spacing w:line="360" w:lineRule="auto"/>
        <w:ind w:firstLine="1440"/>
        <w:rPr>
          <w:sz w:val="26"/>
        </w:rPr>
      </w:pPr>
      <w:r>
        <w:rPr>
          <w:sz w:val="26"/>
        </w:rPr>
        <w:t xml:space="preserve">According to Duquesne, </w:t>
      </w:r>
      <w:r w:rsidRPr="00571F1B">
        <w:rPr>
          <w:sz w:val="26"/>
        </w:rPr>
        <w:t xml:space="preserve">issues </w:t>
      </w:r>
      <w:r w:rsidR="00B56376">
        <w:rPr>
          <w:sz w:val="26"/>
        </w:rPr>
        <w:t>involving</w:t>
      </w:r>
      <w:r w:rsidRPr="00571F1B">
        <w:rPr>
          <w:sz w:val="26"/>
        </w:rPr>
        <w:t xml:space="preserve"> service interruption and restoration are within the Commission’s exclusive jurisdiction and the subject of a </w:t>
      </w:r>
      <w:r w:rsidRPr="00571F1B">
        <w:rPr>
          <w:sz w:val="26"/>
        </w:rPr>
        <w:lastRenderedPageBreak/>
        <w:t>comprehensive regulatory scheme implicated in Alderwoods’ theory of liability.</w:t>
      </w:r>
      <w:r>
        <w:rPr>
          <w:sz w:val="26"/>
        </w:rPr>
        <w:t xml:space="preserve">  Relying on </w:t>
      </w:r>
      <w:r w:rsidRPr="00BB7810">
        <w:rPr>
          <w:i/>
          <w:sz w:val="26"/>
        </w:rPr>
        <w:t>Elkin</w:t>
      </w:r>
      <w:r>
        <w:rPr>
          <w:sz w:val="26"/>
        </w:rPr>
        <w:t>, Duquesne asserted that b</w:t>
      </w:r>
      <w:r w:rsidRPr="00BB7810">
        <w:rPr>
          <w:sz w:val="26"/>
        </w:rPr>
        <w:t xml:space="preserve">ifurcation </w:t>
      </w:r>
      <w:r>
        <w:rPr>
          <w:sz w:val="26"/>
        </w:rPr>
        <w:t xml:space="preserve">of the liability </w:t>
      </w:r>
      <w:r w:rsidRPr="00BB7810">
        <w:rPr>
          <w:sz w:val="26"/>
        </w:rPr>
        <w:t xml:space="preserve">determination </w:t>
      </w:r>
      <w:r>
        <w:rPr>
          <w:sz w:val="26"/>
        </w:rPr>
        <w:t xml:space="preserve">for Commission adjudication </w:t>
      </w:r>
      <w:r w:rsidRPr="00BB7810">
        <w:rPr>
          <w:sz w:val="26"/>
        </w:rPr>
        <w:t>is long-standing law</w:t>
      </w:r>
      <w:r>
        <w:rPr>
          <w:sz w:val="26"/>
        </w:rPr>
        <w:t xml:space="preserve">, and that if Alderwoods’ theory that the doctrine of primary jurisdiction cannot apply in any case involving claimed negligence as adjudicated in other cases, then the entire doctrine essentially </w:t>
      </w:r>
      <w:r w:rsidR="003D0639" w:rsidRPr="003D0639">
        <w:rPr>
          <w:sz w:val="26"/>
        </w:rPr>
        <w:t xml:space="preserve">would </w:t>
      </w:r>
      <w:r>
        <w:rPr>
          <w:sz w:val="26"/>
        </w:rPr>
        <w:t xml:space="preserve">be rendered moot.  </w:t>
      </w:r>
      <w:r w:rsidR="001137E4">
        <w:rPr>
          <w:i/>
          <w:sz w:val="26"/>
        </w:rPr>
        <w:t>Id.</w:t>
      </w:r>
      <w:r w:rsidR="00452692" w:rsidRPr="00452692">
        <w:rPr>
          <w:sz w:val="26"/>
        </w:rPr>
        <w:t xml:space="preserve"> at 7-1</w:t>
      </w:r>
      <w:r>
        <w:rPr>
          <w:sz w:val="26"/>
        </w:rPr>
        <w:t>6</w:t>
      </w:r>
      <w:r w:rsidR="00452692" w:rsidRPr="00452692">
        <w:rPr>
          <w:sz w:val="26"/>
        </w:rPr>
        <w:t xml:space="preserve">.  </w:t>
      </w:r>
    </w:p>
    <w:p w:rsidR="00452692" w:rsidRDefault="00452692" w:rsidP="004044EA">
      <w:pPr>
        <w:widowControl/>
        <w:spacing w:line="360" w:lineRule="auto"/>
        <w:ind w:firstLine="1440"/>
        <w:rPr>
          <w:sz w:val="26"/>
        </w:rPr>
      </w:pPr>
    </w:p>
    <w:p w:rsidR="00C266F9" w:rsidRDefault="0061543D" w:rsidP="004044EA">
      <w:pPr>
        <w:widowControl/>
        <w:spacing w:line="360" w:lineRule="auto"/>
        <w:ind w:firstLine="1440"/>
        <w:rPr>
          <w:sz w:val="26"/>
        </w:rPr>
      </w:pPr>
      <w:r>
        <w:rPr>
          <w:sz w:val="26"/>
        </w:rPr>
        <w:t xml:space="preserve">Because the matter of damages was not transferred to the Commission, </w:t>
      </w:r>
      <w:r w:rsidR="00452692">
        <w:rPr>
          <w:sz w:val="26"/>
        </w:rPr>
        <w:t xml:space="preserve">Duquesne </w:t>
      </w:r>
      <w:r>
        <w:rPr>
          <w:sz w:val="26"/>
        </w:rPr>
        <w:t xml:space="preserve">contended that Alderwoods’ reliance on cases the </w:t>
      </w:r>
      <w:r w:rsidR="00B56376">
        <w:rPr>
          <w:sz w:val="26"/>
        </w:rPr>
        <w:t xml:space="preserve">Petitioner </w:t>
      </w:r>
      <w:r>
        <w:rPr>
          <w:sz w:val="26"/>
        </w:rPr>
        <w:t xml:space="preserve">cited </w:t>
      </w:r>
      <w:r w:rsidR="008477BB">
        <w:rPr>
          <w:sz w:val="26"/>
        </w:rPr>
        <w:t>was</w:t>
      </w:r>
      <w:r>
        <w:rPr>
          <w:sz w:val="26"/>
        </w:rPr>
        <w:t xml:space="preserve"> misplaced.  According to Duquesne, </w:t>
      </w:r>
      <w:r>
        <w:rPr>
          <w:i/>
          <w:sz w:val="26"/>
        </w:rPr>
        <w:t xml:space="preserve">Feingold </w:t>
      </w:r>
      <w:r w:rsidR="008477BB">
        <w:rPr>
          <w:sz w:val="26"/>
        </w:rPr>
        <w:t>was</w:t>
      </w:r>
      <w:r>
        <w:rPr>
          <w:sz w:val="26"/>
        </w:rPr>
        <w:t xml:space="preserve"> </w:t>
      </w:r>
      <w:r w:rsidRPr="0061543D">
        <w:rPr>
          <w:sz w:val="26"/>
        </w:rPr>
        <w:t>inapposite</w:t>
      </w:r>
      <w:r>
        <w:rPr>
          <w:sz w:val="26"/>
        </w:rPr>
        <w:t xml:space="preserve"> because </w:t>
      </w:r>
      <w:r w:rsidR="0031766A">
        <w:rPr>
          <w:sz w:val="26"/>
        </w:rPr>
        <w:t xml:space="preserve">Duquesne never contended that Alderwoods must </w:t>
      </w:r>
      <w:r>
        <w:rPr>
          <w:sz w:val="26"/>
        </w:rPr>
        <w:t>exhaust administrative remedies</w:t>
      </w:r>
      <w:r w:rsidR="0031766A">
        <w:rPr>
          <w:sz w:val="26"/>
        </w:rPr>
        <w:t xml:space="preserve"> before filing a civil action</w:t>
      </w:r>
      <w:r w:rsidRPr="0061543D">
        <w:rPr>
          <w:sz w:val="26"/>
        </w:rPr>
        <w:t xml:space="preserve">.  </w:t>
      </w:r>
      <w:r w:rsidR="0031766A">
        <w:rPr>
          <w:sz w:val="26"/>
        </w:rPr>
        <w:t xml:space="preserve">Further, in </w:t>
      </w:r>
      <w:r w:rsidR="0031766A" w:rsidRPr="0031766A">
        <w:rPr>
          <w:i/>
          <w:sz w:val="26"/>
        </w:rPr>
        <w:t>Feingold</w:t>
      </w:r>
      <w:r w:rsidR="0031766A">
        <w:rPr>
          <w:sz w:val="26"/>
        </w:rPr>
        <w:t>, the Court acknowledged that an agency’s expertise in a pervasive regulatory scheme should be consulted, “</w:t>
      </w:r>
      <w:r w:rsidR="0031766A">
        <w:rPr>
          <w:b/>
          <w:sz w:val="26"/>
        </w:rPr>
        <w:t xml:space="preserve">at least </w:t>
      </w:r>
      <w:r w:rsidR="0031766A" w:rsidRPr="0031766A">
        <w:rPr>
          <w:b/>
          <w:sz w:val="26"/>
        </w:rPr>
        <w:t>initially</w:t>
      </w:r>
      <w:r w:rsidR="0031766A">
        <w:rPr>
          <w:sz w:val="26"/>
        </w:rPr>
        <w:t>[.]”  Answer to P.O. at 17</w:t>
      </w:r>
      <w:r w:rsidR="008477BB">
        <w:rPr>
          <w:sz w:val="26"/>
        </w:rPr>
        <w:t xml:space="preserve"> (quoting </w:t>
      </w:r>
      <w:r w:rsidR="008477BB">
        <w:rPr>
          <w:i/>
          <w:sz w:val="26"/>
        </w:rPr>
        <w:t>Feingold</w:t>
      </w:r>
      <w:r w:rsidR="008477BB">
        <w:rPr>
          <w:sz w:val="26"/>
        </w:rPr>
        <w:t>, 383 A.2d at 793</w:t>
      </w:r>
      <w:r w:rsidR="007C337E">
        <w:rPr>
          <w:sz w:val="26"/>
        </w:rPr>
        <w:t xml:space="preserve"> </w:t>
      </w:r>
      <w:r w:rsidR="008477BB">
        <w:rPr>
          <w:sz w:val="26"/>
        </w:rPr>
        <w:t xml:space="preserve">(emphasis in </w:t>
      </w:r>
      <w:r w:rsidR="007C337E">
        <w:rPr>
          <w:i/>
          <w:sz w:val="26"/>
        </w:rPr>
        <w:t>Feingold</w:t>
      </w:r>
      <w:r w:rsidR="008477BB">
        <w:rPr>
          <w:sz w:val="26"/>
        </w:rPr>
        <w:t>)</w:t>
      </w:r>
      <w:r w:rsidR="00B56376">
        <w:rPr>
          <w:sz w:val="26"/>
        </w:rPr>
        <w:t>)</w:t>
      </w:r>
      <w:r w:rsidR="0031766A">
        <w:rPr>
          <w:sz w:val="26"/>
        </w:rPr>
        <w:t xml:space="preserve">.  Duquesne contended that like </w:t>
      </w:r>
      <w:r w:rsidR="0031766A" w:rsidRPr="0031766A">
        <w:rPr>
          <w:i/>
          <w:sz w:val="26"/>
        </w:rPr>
        <w:t>Feingold</w:t>
      </w:r>
      <w:r w:rsidR="0031766A">
        <w:rPr>
          <w:sz w:val="26"/>
        </w:rPr>
        <w:t xml:space="preserve">, </w:t>
      </w:r>
      <w:r w:rsidR="0031766A" w:rsidRPr="0031766A">
        <w:rPr>
          <w:i/>
          <w:sz w:val="26"/>
        </w:rPr>
        <w:t>Elkin</w:t>
      </w:r>
      <w:r w:rsidR="0031766A">
        <w:rPr>
          <w:sz w:val="26"/>
        </w:rPr>
        <w:t xml:space="preserve"> also supported the transfer of the case to the Commission for a liability determination.  As </w:t>
      </w:r>
      <w:r w:rsidR="008477BB">
        <w:rPr>
          <w:sz w:val="26"/>
        </w:rPr>
        <w:t xml:space="preserve">argued by </w:t>
      </w:r>
      <w:r w:rsidR="0031766A">
        <w:rPr>
          <w:sz w:val="26"/>
        </w:rPr>
        <w:t xml:space="preserve">Duquesne, the Court in </w:t>
      </w:r>
      <w:r w:rsidR="0031766A" w:rsidRPr="0031766A">
        <w:rPr>
          <w:i/>
          <w:sz w:val="26"/>
        </w:rPr>
        <w:t>Elkin</w:t>
      </w:r>
      <w:r w:rsidR="0031766A">
        <w:rPr>
          <w:sz w:val="26"/>
        </w:rPr>
        <w:t xml:space="preserve"> recognized that if </w:t>
      </w:r>
      <w:r w:rsidR="0031766A">
        <w:rPr>
          <w:i/>
          <w:sz w:val="26"/>
        </w:rPr>
        <w:t xml:space="preserve">Feingold </w:t>
      </w:r>
      <w:r w:rsidR="0031766A">
        <w:rPr>
          <w:sz w:val="26"/>
        </w:rPr>
        <w:t xml:space="preserve">is interpreted too broadly, complainants could strip the Commission of its jurisdiction simply </w:t>
      </w:r>
      <w:r w:rsidR="00C266F9">
        <w:rPr>
          <w:sz w:val="26"/>
        </w:rPr>
        <w:t>b</w:t>
      </w:r>
      <w:r w:rsidR="0031766A">
        <w:rPr>
          <w:sz w:val="26"/>
        </w:rPr>
        <w:t xml:space="preserve">y </w:t>
      </w:r>
      <w:r w:rsidR="00C266F9">
        <w:rPr>
          <w:sz w:val="26"/>
        </w:rPr>
        <w:t xml:space="preserve">“framing the allegations in contractual and/or trespassory terminology and demanding damages.”  Answer to P.O. at 18 (citing </w:t>
      </w:r>
      <w:r w:rsidR="00C266F9" w:rsidRPr="00C266F9">
        <w:rPr>
          <w:i/>
          <w:sz w:val="26"/>
        </w:rPr>
        <w:t>Elkin</w:t>
      </w:r>
      <w:r w:rsidR="00C266F9">
        <w:rPr>
          <w:sz w:val="26"/>
        </w:rPr>
        <w:t>).</w:t>
      </w:r>
    </w:p>
    <w:p w:rsidR="00C266F9" w:rsidRDefault="00C266F9" w:rsidP="004044EA">
      <w:pPr>
        <w:widowControl/>
        <w:spacing w:line="360" w:lineRule="auto"/>
        <w:ind w:firstLine="1440"/>
        <w:rPr>
          <w:sz w:val="26"/>
        </w:rPr>
      </w:pPr>
    </w:p>
    <w:p w:rsidR="00452692" w:rsidRDefault="00C266F9" w:rsidP="004044EA">
      <w:pPr>
        <w:widowControl/>
        <w:spacing w:line="360" w:lineRule="auto"/>
        <w:ind w:firstLine="1440"/>
        <w:rPr>
          <w:sz w:val="26"/>
        </w:rPr>
      </w:pPr>
      <w:r>
        <w:rPr>
          <w:sz w:val="26"/>
        </w:rPr>
        <w:t xml:space="preserve">Duquesne </w:t>
      </w:r>
      <w:r w:rsidR="00733E86">
        <w:rPr>
          <w:sz w:val="26"/>
        </w:rPr>
        <w:t xml:space="preserve">also </w:t>
      </w:r>
      <w:r>
        <w:rPr>
          <w:sz w:val="26"/>
        </w:rPr>
        <w:t xml:space="preserve">dismissed Alderwoods’ reliance on </w:t>
      </w:r>
      <w:r>
        <w:rPr>
          <w:i/>
          <w:sz w:val="26"/>
        </w:rPr>
        <w:t>DeFrancesco</w:t>
      </w:r>
      <w:r>
        <w:rPr>
          <w:sz w:val="26"/>
        </w:rPr>
        <w:t xml:space="preserve">, claiming that in that case, unlike the Complaint before the Commission, there was no </w:t>
      </w:r>
      <w:r w:rsidR="00733E86" w:rsidRPr="00733E86">
        <w:rPr>
          <w:sz w:val="26"/>
        </w:rPr>
        <w:t>question of service or facilities owed to the public</w:t>
      </w:r>
      <w:r w:rsidR="00733E86">
        <w:rPr>
          <w:sz w:val="26"/>
        </w:rPr>
        <w:t xml:space="preserve"> and</w:t>
      </w:r>
      <w:r w:rsidR="00733E86" w:rsidRPr="00733E86">
        <w:rPr>
          <w:sz w:val="26"/>
        </w:rPr>
        <w:t xml:space="preserve"> </w:t>
      </w:r>
      <w:r w:rsidR="00733E86">
        <w:rPr>
          <w:sz w:val="26"/>
        </w:rPr>
        <w:t xml:space="preserve">no </w:t>
      </w:r>
      <w:r>
        <w:rPr>
          <w:sz w:val="26"/>
        </w:rPr>
        <w:t xml:space="preserve">particular Commission expertise, policy, or standard of safety or convenience that affected the outcome.  In </w:t>
      </w:r>
      <w:r w:rsidR="00B56376">
        <w:rPr>
          <w:sz w:val="26"/>
        </w:rPr>
        <w:t>contrast, conte</w:t>
      </w:r>
      <w:r w:rsidR="001137E4">
        <w:rPr>
          <w:sz w:val="26"/>
        </w:rPr>
        <w:t>nded</w:t>
      </w:r>
      <w:r w:rsidR="00B56376">
        <w:rPr>
          <w:sz w:val="26"/>
        </w:rPr>
        <w:t xml:space="preserve"> Duq</w:t>
      </w:r>
      <w:r>
        <w:rPr>
          <w:sz w:val="26"/>
        </w:rPr>
        <w:t>uesne, Alderwoods’ “</w:t>
      </w:r>
      <w:r w:rsidRPr="00C266F9">
        <w:rPr>
          <w:sz w:val="26"/>
        </w:rPr>
        <w:t xml:space="preserve">fundamental position is that Duquesne Light </w:t>
      </w:r>
      <w:r w:rsidRPr="007C337E">
        <w:rPr>
          <w:i/>
          <w:sz w:val="26"/>
        </w:rPr>
        <w:t xml:space="preserve">cannot provide service to its customers </w:t>
      </w:r>
      <w:r w:rsidRPr="007C337E">
        <w:rPr>
          <w:sz w:val="26"/>
        </w:rPr>
        <w:t>until certain communications and/or inspections take place.  Complainant’s allegations take dead aim at the circumstances under which its customers are entitled to service</w:t>
      </w:r>
      <w:r>
        <w:rPr>
          <w:sz w:val="26"/>
        </w:rPr>
        <w:t xml:space="preserve">.”  Answer to P.O. at 19 (citing </w:t>
      </w:r>
      <w:r>
        <w:rPr>
          <w:i/>
          <w:sz w:val="26"/>
        </w:rPr>
        <w:t>DeFrancesco</w:t>
      </w:r>
      <w:r>
        <w:rPr>
          <w:sz w:val="26"/>
        </w:rPr>
        <w:t>) (emphasis in original).</w:t>
      </w:r>
      <w:r w:rsidR="00452692" w:rsidRPr="0061543D">
        <w:rPr>
          <w:sz w:val="26"/>
        </w:rPr>
        <w:t xml:space="preserve"> </w:t>
      </w:r>
    </w:p>
    <w:p w:rsidR="00733E86" w:rsidRDefault="00733E86" w:rsidP="004044EA">
      <w:pPr>
        <w:widowControl/>
        <w:spacing w:line="360" w:lineRule="auto"/>
        <w:ind w:firstLine="1440"/>
        <w:rPr>
          <w:sz w:val="26"/>
        </w:rPr>
      </w:pPr>
      <w:r>
        <w:rPr>
          <w:sz w:val="26"/>
        </w:rPr>
        <w:lastRenderedPageBreak/>
        <w:t xml:space="preserve">Duquesne similarly dismissed </w:t>
      </w:r>
      <w:r>
        <w:rPr>
          <w:i/>
          <w:sz w:val="26"/>
        </w:rPr>
        <w:t>Schriner</w:t>
      </w:r>
      <w:r>
        <w:rPr>
          <w:sz w:val="26"/>
        </w:rPr>
        <w:t xml:space="preserve">, </w:t>
      </w:r>
      <w:r w:rsidR="00A110CC">
        <w:rPr>
          <w:sz w:val="26"/>
        </w:rPr>
        <w:t xml:space="preserve">in which the Superior Court found </w:t>
      </w:r>
      <w:r w:rsidR="00F556FA">
        <w:rPr>
          <w:sz w:val="26"/>
        </w:rPr>
        <w:t xml:space="preserve">that a claimant’s </w:t>
      </w:r>
      <w:r w:rsidR="00A110CC">
        <w:rPr>
          <w:sz w:val="26"/>
        </w:rPr>
        <w:t>allegations of injuries to cattle resulting from “stray voltage” from the utility’s electrification of milking equipment</w:t>
      </w:r>
      <w:r w:rsidR="00F556FA">
        <w:rPr>
          <w:sz w:val="26"/>
        </w:rPr>
        <w:t xml:space="preserve"> did not require our exercise of jurisdiction.  As Duquesne argued, </w:t>
      </w:r>
      <w:r>
        <w:rPr>
          <w:sz w:val="26"/>
        </w:rPr>
        <w:t xml:space="preserve">the “stray voltage” that affected the plaintiffs’ cattle “only remotely dealt with the service PP&amp;L provided to its customers.”  </w:t>
      </w:r>
      <w:r>
        <w:rPr>
          <w:i/>
          <w:sz w:val="26"/>
        </w:rPr>
        <w:t>Id.</w:t>
      </w:r>
      <w:r>
        <w:rPr>
          <w:sz w:val="26"/>
        </w:rPr>
        <w:t xml:space="preserve"> at 19.  Duquesne</w:t>
      </w:r>
      <w:r w:rsidR="00F556FA">
        <w:rPr>
          <w:sz w:val="26"/>
        </w:rPr>
        <w:t xml:space="preserve"> postured that</w:t>
      </w:r>
      <w:r>
        <w:rPr>
          <w:sz w:val="26"/>
        </w:rPr>
        <w:t xml:space="preserve"> it is not any claim of overvoltage in Alderwoods’ Complaint that warrants the Commission’s attention, but rather Alderwoods</w:t>
      </w:r>
      <w:r w:rsidR="001137E4">
        <w:rPr>
          <w:sz w:val="26"/>
        </w:rPr>
        <w:t>’</w:t>
      </w:r>
      <w:r>
        <w:rPr>
          <w:sz w:val="26"/>
        </w:rPr>
        <w:t xml:space="preserve"> argument that Duquesne “</w:t>
      </w:r>
      <w:r>
        <w:rPr>
          <w:i/>
          <w:sz w:val="26"/>
        </w:rPr>
        <w:t xml:space="preserve">cannot restore service to its customer </w:t>
      </w:r>
      <w:r w:rsidRPr="00DE1DA2">
        <w:rPr>
          <w:sz w:val="26"/>
        </w:rPr>
        <w:t>under certain circumstances without first warning the customer about potential problems in the customer’s own equipment</w:t>
      </w:r>
      <w:r>
        <w:rPr>
          <w:sz w:val="26"/>
        </w:rPr>
        <w:t xml:space="preserve">.” </w:t>
      </w:r>
      <w:r w:rsidR="00DE1DA2">
        <w:rPr>
          <w:sz w:val="26"/>
        </w:rPr>
        <w:t xml:space="preserve"> </w:t>
      </w:r>
      <w:r>
        <w:rPr>
          <w:i/>
          <w:sz w:val="26"/>
        </w:rPr>
        <w:t xml:space="preserve">Id. </w:t>
      </w:r>
      <w:r>
        <w:rPr>
          <w:sz w:val="26"/>
        </w:rPr>
        <w:t>at 20 (emphasis in original).</w:t>
      </w:r>
    </w:p>
    <w:p w:rsidR="00364B5F" w:rsidRDefault="00364B5F" w:rsidP="004044EA">
      <w:pPr>
        <w:widowControl/>
        <w:spacing w:line="360" w:lineRule="auto"/>
        <w:ind w:firstLine="1440"/>
        <w:rPr>
          <w:sz w:val="26"/>
        </w:rPr>
      </w:pPr>
    </w:p>
    <w:p w:rsidR="008A3816" w:rsidRDefault="007C337E" w:rsidP="004044EA">
      <w:pPr>
        <w:widowControl/>
        <w:spacing w:line="360" w:lineRule="auto"/>
        <w:ind w:firstLine="1440"/>
        <w:rPr>
          <w:sz w:val="26"/>
        </w:rPr>
      </w:pPr>
      <w:r>
        <w:rPr>
          <w:sz w:val="26"/>
        </w:rPr>
        <w:t xml:space="preserve">Duquesne also distinguished </w:t>
      </w:r>
      <w:r w:rsidR="00364B5F">
        <w:rPr>
          <w:i/>
          <w:sz w:val="26"/>
        </w:rPr>
        <w:t>Poorbaugh</w:t>
      </w:r>
      <w:r w:rsidR="00B56376">
        <w:rPr>
          <w:sz w:val="26"/>
        </w:rPr>
        <w:t xml:space="preserve">, </w:t>
      </w:r>
      <w:r>
        <w:rPr>
          <w:sz w:val="26"/>
        </w:rPr>
        <w:t xml:space="preserve">claiming that </w:t>
      </w:r>
      <w:r w:rsidR="00364B5F">
        <w:rPr>
          <w:sz w:val="26"/>
        </w:rPr>
        <w:t xml:space="preserve">although both </w:t>
      </w:r>
      <w:r w:rsidR="00B56376">
        <w:rPr>
          <w:sz w:val="26"/>
        </w:rPr>
        <w:t xml:space="preserve">this </w:t>
      </w:r>
      <w:r w:rsidR="00364B5F">
        <w:rPr>
          <w:sz w:val="26"/>
        </w:rPr>
        <w:t>case</w:t>
      </w:r>
      <w:r w:rsidR="00B56376">
        <w:rPr>
          <w:sz w:val="26"/>
        </w:rPr>
        <w:t xml:space="preserve"> and </w:t>
      </w:r>
      <w:r w:rsidR="00B56376">
        <w:rPr>
          <w:i/>
          <w:sz w:val="26"/>
        </w:rPr>
        <w:t>Poorbaugh</w:t>
      </w:r>
      <w:r w:rsidR="00364B5F">
        <w:rPr>
          <w:sz w:val="26"/>
        </w:rPr>
        <w:t xml:space="preserve"> involved a fire, the theory of liability in </w:t>
      </w:r>
      <w:r w:rsidR="00364B5F">
        <w:rPr>
          <w:i/>
          <w:sz w:val="26"/>
        </w:rPr>
        <w:t>Poorbaugh</w:t>
      </w:r>
      <w:r w:rsidR="00364B5F">
        <w:rPr>
          <w:sz w:val="26"/>
        </w:rPr>
        <w:t xml:space="preserve"> was entirely different</w:t>
      </w:r>
      <w:r w:rsidR="00B56376">
        <w:rPr>
          <w:sz w:val="26"/>
        </w:rPr>
        <w:t xml:space="preserve"> because </w:t>
      </w:r>
      <w:r w:rsidR="00FE746E">
        <w:rPr>
          <w:i/>
          <w:sz w:val="26"/>
        </w:rPr>
        <w:t>Poorbaugh</w:t>
      </w:r>
      <w:r w:rsidR="00364B5F">
        <w:rPr>
          <w:sz w:val="26"/>
        </w:rPr>
        <w:t xml:space="preserve"> involved the utility</w:t>
      </w:r>
      <w:r w:rsidR="00B56376">
        <w:rPr>
          <w:sz w:val="26"/>
        </w:rPr>
        <w:t xml:space="preserve">’s failure </w:t>
      </w:r>
      <w:r w:rsidR="00364B5F">
        <w:rPr>
          <w:sz w:val="26"/>
        </w:rPr>
        <w:t xml:space="preserve">to take care of its own equipment and did not involve a duty to warn.  </w:t>
      </w:r>
      <w:r w:rsidR="00592A82">
        <w:rPr>
          <w:sz w:val="26"/>
        </w:rPr>
        <w:t xml:space="preserve">Instead, contended Duquesne, </w:t>
      </w:r>
      <w:r w:rsidR="00592A82">
        <w:rPr>
          <w:i/>
          <w:sz w:val="26"/>
        </w:rPr>
        <w:t>DiSanto v. Dauphin Consolidated Water Supply Co.</w:t>
      </w:r>
      <w:r w:rsidR="00592A82">
        <w:rPr>
          <w:sz w:val="26"/>
        </w:rPr>
        <w:t>, 436 A.2d 197 (Pa. Super. 1981) (</w:t>
      </w:r>
      <w:r w:rsidR="00592A82" w:rsidRPr="00592A82">
        <w:rPr>
          <w:i/>
          <w:sz w:val="26"/>
        </w:rPr>
        <w:t>DiSanto</w:t>
      </w:r>
      <w:r w:rsidR="00592A82">
        <w:rPr>
          <w:sz w:val="26"/>
        </w:rPr>
        <w:t xml:space="preserve">) </w:t>
      </w:r>
      <w:r w:rsidR="00592A82" w:rsidRPr="00592A82">
        <w:rPr>
          <w:sz w:val="26"/>
        </w:rPr>
        <w:t>presented</w:t>
      </w:r>
      <w:r w:rsidR="00592A82">
        <w:rPr>
          <w:sz w:val="26"/>
        </w:rPr>
        <w:t xml:space="preserve"> a better an</w:t>
      </w:r>
      <w:r w:rsidR="00361706">
        <w:rPr>
          <w:sz w:val="26"/>
        </w:rPr>
        <w:t>alogy because in that case the C</w:t>
      </w:r>
      <w:r w:rsidR="00592A82">
        <w:rPr>
          <w:sz w:val="26"/>
        </w:rPr>
        <w:t>ourt agreed that a matter that involved the utility’s policy regarding service extension was best addressed by the Commission as a matter within its exclusive jurisdiction and involving the Code’s statutory standard of service.</w:t>
      </w:r>
      <w:r w:rsidR="008A3816">
        <w:rPr>
          <w:sz w:val="26"/>
        </w:rPr>
        <w:t xml:space="preserve">  </w:t>
      </w:r>
      <w:r w:rsidRPr="007C337E">
        <w:rPr>
          <w:sz w:val="26"/>
        </w:rPr>
        <w:t>Answer to P.O</w:t>
      </w:r>
      <w:r>
        <w:rPr>
          <w:i/>
          <w:sz w:val="26"/>
        </w:rPr>
        <w:t>.</w:t>
      </w:r>
      <w:r w:rsidR="008A3816">
        <w:rPr>
          <w:i/>
          <w:sz w:val="26"/>
        </w:rPr>
        <w:t xml:space="preserve"> </w:t>
      </w:r>
      <w:r w:rsidR="008A3816">
        <w:rPr>
          <w:sz w:val="26"/>
        </w:rPr>
        <w:t>at 20-21.</w:t>
      </w:r>
    </w:p>
    <w:p w:rsidR="008A3816" w:rsidRDefault="008A3816" w:rsidP="004044EA">
      <w:pPr>
        <w:widowControl/>
        <w:spacing w:line="360" w:lineRule="auto"/>
        <w:ind w:firstLine="1440"/>
        <w:rPr>
          <w:sz w:val="26"/>
        </w:rPr>
      </w:pPr>
    </w:p>
    <w:p w:rsidR="00F73A6A" w:rsidRDefault="007C337E" w:rsidP="004044EA">
      <w:pPr>
        <w:widowControl/>
        <w:spacing w:line="360" w:lineRule="auto"/>
        <w:ind w:firstLine="1440"/>
        <w:rPr>
          <w:sz w:val="26"/>
        </w:rPr>
      </w:pPr>
      <w:r>
        <w:rPr>
          <w:sz w:val="26"/>
        </w:rPr>
        <w:t xml:space="preserve">Duquesne </w:t>
      </w:r>
      <w:r w:rsidR="00B56376">
        <w:rPr>
          <w:sz w:val="26"/>
        </w:rPr>
        <w:t xml:space="preserve">contested </w:t>
      </w:r>
      <w:r>
        <w:rPr>
          <w:sz w:val="26"/>
        </w:rPr>
        <w:t>Alderwoods</w:t>
      </w:r>
      <w:r w:rsidR="00B56376">
        <w:rPr>
          <w:sz w:val="26"/>
        </w:rPr>
        <w:t>’ position t</w:t>
      </w:r>
      <w:r w:rsidR="008A3816">
        <w:rPr>
          <w:sz w:val="26"/>
        </w:rPr>
        <w:t xml:space="preserve">hat this action does not involve every EDCs’ general service requirements because this Complaint “directly challenges Duquesne Light’s procedures in restoring service to its customers and </w:t>
      </w:r>
      <w:r w:rsidR="008A3816" w:rsidRPr="00DE1DA2">
        <w:rPr>
          <w:sz w:val="26"/>
        </w:rPr>
        <w:t>seeks to prevent Duquesne Light from providing service to its customers until certain communications take place</w:t>
      </w:r>
      <w:r w:rsidR="008A3816">
        <w:rPr>
          <w:sz w:val="26"/>
        </w:rPr>
        <w:t>[.]”  Answer to P.O. at 22.  Arguing that the scope of the Commission’s service jurisdiction is extensive under Sections 102 (defining service) and 1501 (setting the statutory standard for service generally) of the Code, Duquesne contended that “[r]equirements that mandate when a customer should NOT be restored d</w:t>
      </w:r>
      <w:r w:rsidR="004027C0">
        <w:rPr>
          <w:sz w:val="26"/>
        </w:rPr>
        <w:t>u</w:t>
      </w:r>
      <w:r w:rsidR="008A3816">
        <w:rPr>
          <w:sz w:val="26"/>
        </w:rPr>
        <w:t xml:space="preserve">e to </w:t>
      </w:r>
      <w:r w:rsidR="008A3816">
        <w:rPr>
          <w:sz w:val="26"/>
        </w:rPr>
        <w:lastRenderedPageBreak/>
        <w:t xml:space="preserve">communication barriers with the customer should be reviewed and decided by the PUC.”  </w:t>
      </w:r>
      <w:r w:rsidR="008A3816">
        <w:rPr>
          <w:i/>
          <w:sz w:val="26"/>
        </w:rPr>
        <w:t>Id.</w:t>
      </w:r>
      <w:r w:rsidR="008A3816">
        <w:rPr>
          <w:sz w:val="26"/>
        </w:rPr>
        <w:t xml:space="preserve"> at 23</w:t>
      </w:r>
      <w:r w:rsidR="00B56376">
        <w:rPr>
          <w:sz w:val="26"/>
        </w:rPr>
        <w:t xml:space="preserve"> (emphasis in original)</w:t>
      </w:r>
      <w:r w:rsidR="008A3816">
        <w:rPr>
          <w:sz w:val="26"/>
        </w:rPr>
        <w:t xml:space="preserve">.  </w:t>
      </w:r>
    </w:p>
    <w:p w:rsidR="00F73A6A" w:rsidRDefault="00F73A6A" w:rsidP="004044EA">
      <w:pPr>
        <w:widowControl/>
        <w:spacing w:line="360" w:lineRule="auto"/>
        <w:ind w:firstLine="1440"/>
        <w:rPr>
          <w:sz w:val="26"/>
        </w:rPr>
      </w:pPr>
    </w:p>
    <w:p w:rsidR="00364B5F" w:rsidRPr="00592A82" w:rsidRDefault="00F73A6A" w:rsidP="004044EA">
      <w:pPr>
        <w:widowControl/>
        <w:spacing w:line="360" w:lineRule="auto"/>
        <w:ind w:firstLine="1440"/>
        <w:rPr>
          <w:sz w:val="26"/>
        </w:rPr>
      </w:pPr>
      <w:r>
        <w:rPr>
          <w:sz w:val="26"/>
        </w:rPr>
        <w:t>In response to Alderwoods’ judicial estoppel</w:t>
      </w:r>
      <w:r w:rsidR="004B775A">
        <w:rPr>
          <w:sz w:val="26"/>
        </w:rPr>
        <w:t xml:space="preserve"> assertion</w:t>
      </w:r>
      <w:r>
        <w:rPr>
          <w:sz w:val="26"/>
        </w:rPr>
        <w:t xml:space="preserve">, Duquesne argued that </w:t>
      </w:r>
      <w:r>
        <w:rPr>
          <w:i/>
          <w:sz w:val="26"/>
        </w:rPr>
        <w:t xml:space="preserve">Lolly </w:t>
      </w:r>
      <w:r>
        <w:rPr>
          <w:sz w:val="26"/>
        </w:rPr>
        <w:t xml:space="preserve">confirmed Duquesne’s argument in this case that even where a request for monetary damages is asserted, if the case involves a utility’s service to a customer, the Commission has jurisdiction to consider the service complaint.  </w:t>
      </w:r>
      <w:r w:rsidR="00F556FA">
        <w:rPr>
          <w:sz w:val="26"/>
        </w:rPr>
        <w:t xml:space="preserve">In this case Duquesne contended that it was not </w:t>
      </w:r>
      <w:r w:rsidR="007C337E">
        <w:rPr>
          <w:sz w:val="26"/>
        </w:rPr>
        <w:t xml:space="preserve">taking </w:t>
      </w:r>
      <w:r>
        <w:rPr>
          <w:sz w:val="26"/>
        </w:rPr>
        <w:t>an inconsistent position, and therefore judicial estoppe</w:t>
      </w:r>
      <w:r w:rsidR="00172C47">
        <w:rPr>
          <w:sz w:val="26"/>
        </w:rPr>
        <w:t>l did not apply</w:t>
      </w:r>
      <w:r>
        <w:rPr>
          <w:sz w:val="26"/>
        </w:rPr>
        <w:t>.  Answer to P.O. at 24-26.</w:t>
      </w:r>
    </w:p>
    <w:p w:rsidR="00FB7A2A" w:rsidRDefault="00FB7A2A" w:rsidP="004044EA">
      <w:pPr>
        <w:widowControl/>
        <w:spacing w:line="360" w:lineRule="auto"/>
        <w:ind w:firstLine="1440"/>
        <w:rPr>
          <w:sz w:val="26"/>
        </w:rPr>
      </w:pPr>
    </w:p>
    <w:p w:rsidR="00EC7772" w:rsidRDefault="00172C47" w:rsidP="004044EA">
      <w:pPr>
        <w:widowControl/>
        <w:spacing w:line="360" w:lineRule="auto"/>
        <w:ind w:firstLine="1440"/>
        <w:rPr>
          <w:sz w:val="26"/>
        </w:rPr>
      </w:pPr>
      <w:r>
        <w:rPr>
          <w:sz w:val="26"/>
        </w:rPr>
        <w:t xml:space="preserve">Responding to Alderwoods’ contention that the Supreme Court had already ruled that the issue presented is one for a jury, Duquesne argued that the Supreme Court specifically did not consider the Commission’s ability to diminish </w:t>
      </w:r>
      <w:r w:rsidR="007C337E">
        <w:rPr>
          <w:sz w:val="26"/>
        </w:rPr>
        <w:t xml:space="preserve">the </w:t>
      </w:r>
      <w:r>
        <w:rPr>
          <w:sz w:val="26"/>
        </w:rPr>
        <w:t xml:space="preserve">common-law duties </w:t>
      </w:r>
      <w:r w:rsidR="007C337E">
        <w:rPr>
          <w:sz w:val="26"/>
        </w:rPr>
        <w:t xml:space="preserve">of </w:t>
      </w:r>
      <w:r>
        <w:rPr>
          <w:sz w:val="26"/>
        </w:rPr>
        <w:t xml:space="preserve">utilities.  </w:t>
      </w:r>
      <w:r>
        <w:rPr>
          <w:i/>
          <w:sz w:val="26"/>
        </w:rPr>
        <w:t>Id.</w:t>
      </w:r>
      <w:r>
        <w:rPr>
          <w:sz w:val="26"/>
        </w:rPr>
        <w:t xml:space="preserve"> at 26.  </w:t>
      </w:r>
      <w:r w:rsidR="00192901">
        <w:rPr>
          <w:sz w:val="26"/>
        </w:rPr>
        <w:t xml:space="preserve">Duquesne </w:t>
      </w:r>
      <w:r w:rsidR="00361706">
        <w:rPr>
          <w:sz w:val="26"/>
        </w:rPr>
        <w:t xml:space="preserve">repeated its position </w:t>
      </w:r>
      <w:r w:rsidR="00192901">
        <w:rPr>
          <w:sz w:val="26"/>
        </w:rPr>
        <w:t>that this case involved the broader issue of the “</w:t>
      </w:r>
      <w:r w:rsidR="00192901" w:rsidRPr="00DE1DA2">
        <w:rPr>
          <w:sz w:val="26"/>
        </w:rPr>
        <w:t>circumstances giving rise to and scope of the duty that an electrical utility company owes to its customers before restoring service after a power outage, a subject that is regulated by the PUC</w:t>
      </w:r>
      <w:r w:rsidR="00192901">
        <w:rPr>
          <w:sz w:val="26"/>
        </w:rPr>
        <w:t xml:space="preserve">.”  </w:t>
      </w:r>
      <w:r w:rsidR="00192901">
        <w:rPr>
          <w:i/>
          <w:sz w:val="26"/>
        </w:rPr>
        <w:t>Id</w:t>
      </w:r>
      <w:r w:rsidR="00192901">
        <w:rPr>
          <w:sz w:val="26"/>
        </w:rPr>
        <w:t xml:space="preserve">. at 28.  Duquesne </w:t>
      </w:r>
      <w:r w:rsidR="00361706">
        <w:rPr>
          <w:sz w:val="26"/>
        </w:rPr>
        <w:t>described</w:t>
      </w:r>
      <w:r w:rsidR="00192901">
        <w:rPr>
          <w:sz w:val="26"/>
        </w:rPr>
        <w:t xml:space="preserve"> Alderwoods’ </w:t>
      </w:r>
      <w:r w:rsidR="00361706">
        <w:rPr>
          <w:sz w:val="26"/>
        </w:rPr>
        <w:t xml:space="preserve">position </w:t>
      </w:r>
      <w:r w:rsidR="00192901">
        <w:rPr>
          <w:sz w:val="26"/>
        </w:rPr>
        <w:t xml:space="preserve">that this case involved a single incident affecting a single customer as “a gross oversimplification of the ramifications of its allegations[,]” “disingenuous,” and a “startling[ly] myopic view of the impact of its allegations” because Duquesne’s service under Section 1501 of the Code must be “reasonably continuous and without unreasonable interruptions or </w:t>
      </w:r>
      <w:r w:rsidR="00192901">
        <w:rPr>
          <w:sz w:val="26"/>
          <w:u w:val="single"/>
        </w:rPr>
        <w:t>delay</w:t>
      </w:r>
      <w:r w:rsidR="00192901">
        <w:rPr>
          <w:sz w:val="26"/>
        </w:rPr>
        <w:t xml:space="preserve">.” </w:t>
      </w:r>
      <w:r w:rsidR="00192901">
        <w:rPr>
          <w:i/>
          <w:sz w:val="26"/>
        </w:rPr>
        <w:t xml:space="preserve">Id. </w:t>
      </w:r>
      <w:r w:rsidR="00192901">
        <w:rPr>
          <w:sz w:val="26"/>
        </w:rPr>
        <w:t xml:space="preserve">(emphasis in original).  </w:t>
      </w:r>
      <w:r w:rsidR="00223053" w:rsidRPr="00223053">
        <w:rPr>
          <w:sz w:val="26"/>
        </w:rPr>
        <w:t xml:space="preserve">Duquesne accused  </w:t>
      </w:r>
      <w:r w:rsidR="00223053">
        <w:rPr>
          <w:sz w:val="26"/>
        </w:rPr>
        <w:t>A</w:t>
      </w:r>
      <w:r w:rsidR="00223053" w:rsidRPr="00223053">
        <w:rPr>
          <w:sz w:val="26"/>
        </w:rPr>
        <w:t>lderwoods of “miss[ing] the forest for the trees”</w:t>
      </w:r>
      <w:r w:rsidR="00223053">
        <w:rPr>
          <w:sz w:val="26"/>
        </w:rPr>
        <w:t xml:space="preserve"> for</w:t>
      </w:r>
      <w:r w:rsidR="00192901">
        <w:rPr>
          <w:sz w:val="26"/>
        </w:rPr>
        <w:t xml:space="preserve"> ignoring the Commission’s Regulations at Subchapter N of Chapter 57 and the policy </w:t>
      </w:r>
      <w:r w:rsidR="00EB158D">
        <w:rPr>
          <w:sz w:val="26"/>
        </w:rPr>
        <w:t xml:space="preserve">statement at </w:t>
      </w:r>
      <w:r w:rsidR="00EB158D" w:rsidRPr="00EB158D">
        <w:rPr>
          <w:sz w:val="26"/>
        </w:rPr>
        <w:t>52 Pa. Code §</w:t>
      </w:r>
      <w:r w:rsidR="00223053">
        <w:rPr>
          <w:sz w:val="26"/>
        </w:rPr>
        <w:t> </w:t>
      </w:r>
      <w:r w:rsidR="00EB158D" w:rsidRPr="00EB158D">
        <w:rPr>
          <w:sz w:val="26"/>
        </w:rPr>
        <w:t>69.1902</w:t>
      </w:r>
      <w:r w:rsidR="00223053">
        <w:rPr>
          <w:sz w:val="26"/>
        </w:rPr>
        <w:t>.</w:t>
      </w:r>
      <w:r w:rsidR="00192901">
        <w:rPr>
          <w:sz w:val="26"/>
        </w:rPr>
        <w:t xml:space="preserve">  </w:t>
      </w:r>
      <w:r w:rsidR="00192901">
        <w:rPr>
          <w:i/>
          <w:sz w:val="26"/>
        </w:rPr>
        <w:t>Id.</w:t>
      </w:r>
      <w:r w:rsidR="00192901">
        <w:rPr>
          <w:sz w:val="26"/>
        </w:rPr>
        <w:t xml:space="preserve">  </w:t>
      </w:r>
      <w:r w:rsidR="00D24B9F">
        <w:rPr>
          <w:sz w:val="26"/>
        </w:rPr>
        <w:t xml:space="preserve">Regarding Section 1501 service, Duquesne argued that </w:t>
      </w:r>
      <w:r w:rsidR="00EC7772">
        <w:rPr>
          <w:sz w:val="26"/>
        </w:rPr>
        <w:t>an “</w:t>
      </w:r>
      <w:r w:rsidR="00EC7772" w:rsidRPr="00DE1DA2">
        <w:rPr>
          <w:sz w:val="26"/>
        </w:rPr>
        <w:t>alleged duty to warn would prevent Duquesne Light from providing service to its customers until certain undefined communications take place and runs counter to” Duquesne’s statutory and regulatory duties</w:t>
      </w:r>
      <w:r w:rsidR="00EC7772">
        <w:rPr>
          <w:sz w:val="26"/>
        </w:rPr>
        <w:t xml:space="preserve">.  </w:t>
      </w:r>
      <w:r w:rsidR="00EC7772">
        <w:rPr>
          <w:i/>
          <w:sz w:val="26"/>
        </w:rPr>
        <w:t xml:space="preserve">Id. </w:t>
      </w:r>
      <w:r w:rsidR="00EC7772">
        <w:rPr>
          <w:sz w:val="26"/>
        </w:rPr>
        <w:t>at 30.</w:t>
      </w:r>
    </w:p>
    <w:p w:rsidR="00192901" w:rsidRPr="00DC5C8F" w:rsidRDefault="00223053" w:rsidP="004044EA">
      <w:pPr>
        <w:widowControl/>
        <w:spacing w:line="360" w:lineRule="auto"/>
        <w:ind w:firstLine="1440"/>
        <w:rPr>
          <w:sz w:val="26"/>
        </w:rPr>
      </w:pPr>
      <w:r>
        <w:rPr>
          <w:sz w:val="26"/>
        </w:rPr>
        <w:lastRenderedPageBreak/>
        <w:t>Regarding</w:t>
      </w:r>
      <w:r w:rsidR="00A11E45">
        <w:rPr>
          <w:sz w:val="26"/>
        </w:rPr>
        <w:t xml:space="preserve"> Alderwoods’ argument that juries typically resolve questions of constructive notice, Duquesne again responded that Alderwoods ignores the doctrine of primary jurisdiction.  </w:t>
      </w:r>
      <w:r w:rsidR="00A11E45">
        <w:rPr>
          <w:i/>
          <w:sz w:val="26"/>
        </w:rPr>
        <w:t>Id.</w:t>
      </w:r>
      <w:r w:rsidR="00A11E45">
        <w:rPr>
          <w:sz w:val="26"/>
        </w:rPr>
        <w:t xml:space="preserve"> at 31-32 (citing, </w:t>
      </w:r>
      <w:r w:rsidR="00A11E45">
        <w:rPr>
          <w:i/>
          <w:sz w:val="26"/>
        </w:rPr>
        <w:t>inter alia</w:t>
      </w:r>
      <w:r w:rsidR="00A11E45">
        <w:rPr>
          <w:sz w:val="26"/>
        </w:rPr>
        <w:t xml:space="preserve">, </w:t>
      </w:r>
      <w:r w:rsidR="00A11E45">
        <w:rPr>
          <w:i/>
          <w:sz w:val="26"/>
        </w:rPr>
        <w:t xml:space="preserve">Elkin </w:t>
      </w:r>
      <w:r w:rsidR="00A11E45" w:rsidRPr="00223053">
        <w:rPr>
          <w:sz w:val="26"/>
        </w:rPr>
        <w:t>and</w:t>
      </w:r>
      <w:r w:rsidR="00A11E45">
        <w:rPr>
          <w:i/>
          <w:sz w:val="26"/>
        </w:rPr>
        <w:t xml:space="preserve"> Optimum Image</w:t>
      </w:r>
      <w:r w:rsidR="00A11E45">
        <w:rPr>
          <w:sz w:val="26"/>
        </w:rPr>
        <w:t xml:space="preserve">).  </w:t>
      </w:r>
      <w:r w:rsidR="00DC5C8F">
        <w:rPr>
          <w:sz w:val="26"/>
        </w:rPr>
        <w:t>F</w:t>
      </w:r>
      <w:r w:rsidR="00A11E45">
        <w:rPr>
          <w:sz w:val="26"/>
        </w:rPr>
        <w:t>inally, Duquesne argued that the doctrine</w:t>
      </w:r>
      <w:r w:rsidR="00DC5C8F">
        <w:rPr>
          <w:sz w:val="26"/>
        </w:rPr>
        <w:t>s</w:t>
      </w:r>
      <w:r w:rsidR="00A11E45">
        <w:rPr>
          <w:sz w:val="26"/>
        </w:rPr>
        <w:t xml:space="preserve"> of coordinate jurisdiction </w:t>
      </w:r>
      <w:r w:rsidR="00DC5C8F">
        <w:rPr>
          <w:sz w:val="26"/>
        </w:rPr>
        <w:t xml:space="preserve">and law of the case </w:t>
      </w:r>
      <w:r w:rsidR="00A11E45">
        <w:rPr>
          <w:sz w:val="26"/>
        </w:rPr>
        <w:t>appl</w:t>
      </w:r>
      <w:r w:rsidR="00DC5C8F">
        <w:rPr>
          <w:sz w:val="26"/>
        </w:rPr>
        <w:t>y</w:t>
      </w:r>
      <w:r w:rsidR="00A11E45">
        <w:rPr>
          <w:sz w:val="26"/>
        </w:rPr>
        <w:t xml:space="preserve">, and that </w:t>
      </w:r>
      <w:r w:rsidR="00DC5C8F">
        <w:rPr>
          <w:sz w:val="26"/>
        </w:rPr>
        <w:t xml:space="preserve">those </w:t>
      </w:r>
      <w:r w:rsidR="00A11E45">
        <w:rPr>
          <w:sz w:val="26"/>
        </w:rPr>
        <w:t>doctrine</w:t>
      </w:r>
      <w:r w:rsidR="00DC5C8F">
        <w:rPr>
          <w:sz w:val="26"/>
        </w:rPr>
        <w:t>s</w:t>
      </w:r>
      <w:r w:rsidR="00A11E45">
        <w:rPr>
          <w:sz w:val="26"/>
        </w:rPr>
        <w:t xml:space="preserve"> preclude the Commission from overruling the trial court’s resolution to transfer the case to the Commission.  </w:t>
      </w:r>
      <w:r w:rsidR="00DC5C8F">
        <w:rPr>
          <w:i/>
          <w:sz w:val="26"/>
        </w:rPr>
        <w:t>Id.</w:t>
      </w:r>
      <w:r w:rsidR="00DC5C8F">
        <w:rPr>
          <w:sz w:val="26"/>
        </w:rPr>
        <w:t xml:space="preserve"> at 32-35.</w:t>
      </w:r>
    </w:p>
    <w:p w:rsidR="00172C47" w:rsidRDefault="00172C47" w:rsidP="004044EA">
      <w:pPr>
        <w:widowControl/>
        <w:spacing w:line="360" w:lineRule="auto"/>
        <w:ind w:firstLine="1440"/>
        <w:rPr>
          <w:sz w:val="26"/>
        </w:rPr>
      </w:pPr>
    </w:p>
    <w:p w:rsidR="00172C47" w:rsidRPr="00DC5C8F" w:rsidRDefault="00AD3895" w:rsidP="00E44628">
      <w:pPr>
        <w:pStyle w:val="Heading1"/>
        <w:keepNext/>
      </w:pPr>
      <w:bookmarkStart w:id="7" w:name="_Toc462297971"/>
      <w:r>
        <w:t>IV.</w:t>
      </w:r>
      <w:r>
        <w:tab/>
      </w:r>
      <w:r w:rsidR="00DC5C8F">
        <w:t>The ALJ Order</w:t>
      </w:r>
      <w:r w:rsidR="004027C0">
        <w:t xml:space="preserve"> U</w:t>
      </w:r>
      <w:r>
        <w:t>nder Review</w:t>
      </w:r>
      <w:bookmarkEnd w:id="7"/>
    </w:p>
    <w:p w:rsidR="00A77F9D" w:rsidRDefault="00A77F9D" w:rsidP="00E44628">
      <w:pPr>
        <w:keepNext/>
        <w:widowControl/>
        <w:spacing w:line="360" w:lineRule="auto"/>
        <w:rPr>
          <w:sz w:val="26"/>
        </w:rPr>
      </w:pPr>
    </w:p>
    <w:p w:rsidR="00865B02" w:rsidRDefault="00865B02" w:rsidP="00AD3895">
      <w:pPr>
        <w:widowControl/>
        <w:spacing w:line="360" w:lineRule="auto"/>
        <w:ind w:firstLine="1440"/>
        <w:rPr>
          <w:sz w:val="26"/>
        </w:rPr>
      </w:pPr>
      <w:r>
        <w:rPr>
          <w:sz w:val="26"/>
        </w:rPr>
        <w:t xml:space="preserve">By Order dated April 5, 2016, the ALJ sustained Alderwoods’ Preliminary Objection </w:t>
      </w:r>
      <w:r w:rsidR="001137E4">
        <w:rPr>
          <w:sz w:val="26"/>
        </w:rPr>
        <w:t xml:space="preserve">as </w:t>
      </w:r>
      <w:r w:rsidR="00D37FCA">
        <w:rPr>
          <w:sz w:val="26"/>
        </w:rPr>
        <w:t xml:space="preserve">to the </w:t>
      </w:r>
      <w:r w:rsidR="001137E4">
        <w:rPr>
          <w:sz w:val="26"/>
        </w:rPr>
        <w:t xml:space="preserve">pending </w:t>
      </w:r>
      <w:r w:rsidR="00D37FCA">
        <w:rPr>
          <w:sz w:val="26"/>
        </w:rPr>
        <w:t>claim for damages</w:t>
      </w:r>
      <w:r w:rsidR="00990F95">
        <w:rPr>
          <w:sz w:val="26"/>
        </w:rPr>
        <w:t xml:space="preserve">, agreeing </w:t>
      </w:r>
      <w:r w:rsidR="00D37FCA">
        <w:rPr>
          <w:sz w:val="26"/>
        </w:rPr>
        <w:t xml:space="preserve">that the Commission lacks jurisdiction to award damages.  </w:t>
      </w:r>
      <w:r w:rsidR="00224029">
        <w:rPr>
          <w:sz w:val="26"/>
        </w:rPr>
        <w:t>T</w:t>
      </w:r>
      <w:r w:rsidR="00D37FCA">
        <w:rPr>
          <w:sz w:val="26"/>
        </w:rPr>
        <w:t xml:space="preserve">he ALJ denied </w:t>
      </w:r>
      <w:r w:rsidR="00224029" w:rsidRPr="00224029">
        <w:rPr>
          <w:sz w:val="26"/>
        </w:rPr>
        <w:t>Alderwoods’ request to dismiss the Complaint in its entirety due to lack of jurisdiction</w:t>
      </w:r>
      <w:r w:rsidR="00D37FCA">
        <w:rPr>
          <w:sz w:val="26"/>
        </w:rPr>
        <w:t xml:space="preserve"> </w:t>
      </w:r>
      <w:r w:rsidR="003310BC">
        <w:rPr>
          <w:sz w:val="26"/>
        </w:rPr>
        <w:t>because</w:t>
      </w:r>
      <w:r w:rsidR="00D37FCA">
        <w:rPr>
          <w:sz w:val="26"/>
        </w:rPr>
        <w:t xml:space="preserve"> “the Commission has jurisdiction to determine Duquesne Light’s duty to provide reasonable service to </w:t>
      </w:r>
      <w:r w:rsidR="00006728">
        <w:rPr>
          <w:sz w:val="26"/>
        </w:rPr>
        <w:t>[the Funeral Home]</w:t>
      </w:r>
      <w:r w:rsidR="00D37FCA">
        <w:rPr>
          <w:sz w:val="26"/>
        </w:rPr>
        <w:t xml:space="preserve"> as required by the Public Utility Code.”  Order at</w:t>
      </w:r>
      <w:r w:rsidR="00823FF2">
        <w:rPr>
          <w:sz w:val="26"/>
        </w:rPr>
        <w:t> </w:t>
      </w:r>
      <w:r w:rsidR="00D37FCA">
        <w:rPr>
          <w:sz w:val="26"/>
        </w:rPr>
        <w:t>10.</w:t>
      </w:r>
    </w:p>
    <w:p w:rsidR="00D37FCA" w:rsidRDefault="00D37FCA" w:rsidP="00AD3895">
      <w:pPr>
        <w:widowControl/>
        <w:spacing w:line="360" w:lineRule="auto"/>
        <w:ind w:firstLine="1440"/>
        <w:rPr>
          <w:sz w:val="26"/>
        </w:rPr>
      </w:pPr>
    </w:p>
    <w:p w:rsidR="00657586" w:rsidRDefault="00224029" w:rsidP="00701BDC">
      <w:pPr>
        <w:widowControl/>
        <w:spacing w:line="360" w:lineRule="auto"/>
        <w:ind w:firstLine="1440"/>
        <w:rPr>
          <w:sz w:val="26"/>
        </w:rPr>
      </w:pPr>
      <w:r>
        <w:rPr>
          <w:sz w:val="26"/>
        </w:rPr>
        <w:t>T</w:t>
      </w:r>
      <w:r w:rsidR="00D37FCA">
        <w:rPr>
          <w:sz w:val="26"/>
        </w:rPr>
        <w:t xml:space="preserve">he ALJ </w:t>
      </w:r>
      <w:r>
        <w:rPr>
          <w:sz w:val="26"/>
        </w:rPr>
        <w:t xml:space="preserve">summarized </w:t>
      </w:r>
      <w:r w:rsidR="00990F95">
        <w:rPr>
          <w:sz w:val="26"/>
        </w:rPr>
        <w:t>Alderwood</w:t>
      </w:r>
      <w:r w:rsidR="003310BC">
        <w:rPr>
          <w:sz w:val="26"/>
        </w:rPr>
        <w:t xml:space="preserve">s’ </w:t>
      </w:r>
      <w:r w:rsidR="00823FF2">
        <w:rPr>
          <w:sz w:val="26"/>
        </w:rPr>
        <w:t xml:space="preserve">allegations </w:t>
      </w:r>
      <w:r w:rsidR="000E4D48">
        <w:rPr>
          <w:sz w:val="26"/>
        </w:rPr>
        <w:t>of</w:t>
      </w:r>
      <w:r w:rsidR="00823FF2">
        <w:rPr>
          <w:sz w:val="26"/>
        </w:rPr>
        <w:t xml:space="preserve"> negligence</w:t>
      </w:r>
      <w:r w:rsidR="003310BC">
        <w:rPr>
          <w:sz w:val="26"/>
        </w:rPr>
        <w:t xml:space="preserve"> </w:t>
      </w:r>
      <w:r w:rsidR="00823FF2">
        <w:rPr>
          <w:sz w:val="26"/>
        </w:rPr>
        <w:t>as follows</w:t>
      </w:r>
      <w:r w:rsidR="00657586">
        <w:rPr>
          <w:sz w:val="26"/>
        </w:rPr>
        <w:t>:</w:t>
      </w:r>
    </w:p>
    <w:p w:rsidR="00657586" w:rsidRDefault="00657586" w:rsidP="00701BDC">
      <w:pPr>
        <w:widowControl/>
        <w:spacing w:line="360" w:lineRule="auto"/>
        <w:ind w:firstLine="1440"/>
        <w:rPr>
          <w:sz w:val="26"/>
        </w:rPr>
      </w:pPr>
    </w:p>
    <w:p w:rsidR="00657586" w:rsidRPr="00657586" w:rsidRDefault="00657586" w:rsidP="00701BDC">
      <w:pPr>
        <w:widowControl/>
        <w:adjustRightInd w:val="0"/>
        <w:ind w:left="1440" w:right="1440"/>
        <w:rPr>
          <w:sz w:val="26"/>
          <w:szCs w:val="26"/>
        </w:rPr>
      </w:pPr>
      <w:r w:rsidRPr="00A835AF">
        <w:rPr>
          <w:sz w:val="26"/>
          <w:szCs w:val="26"/>
        </w:rPr>
        <w:t>At the time it restored electric service to the funeral home, Duquesne had actual and/or constructive knowledge that the funeral home’s low-voltage equipment had been compromised and was no longer able to safely handle the flow of electricity; however, Duquesne restored electrical service to the funeral home anyway,</w:t>
      </w:r>
      <w:r w:rsidRPr="00657586">
        <w:rPr>
          <w:sz w:val="26"/>
          <w:szCs w:val="26"/>
        </w:rPr>
        <w:t xml:space="preserve"> without offering or attempting to inspect Complainant’s electrical equipment.  </w:t>
      </w:r>
      <w:r w:rsidRPr="00657586">
        <w:rPr>
          <w:i/>
          <w:sz w:val="26"/>
          <w:szCs w:val="26"/>
        </w:rPr>
        <w:t>Id.</w:t>
      </w:r>
      <w:r w:rsidRPr="00657586">
        <w:rPr>
          <w:sz w:val="26"/>
          <w:szCs w:val="26"/>
        </w:rPr>
        <w:t xml:space="preserve"> ¶¶ 12, 13, 17.</w:t>
      </w:r>
    </w:p>
    <w:p w:rsidR="00657586" w:rsidRPr="00657586" w:rsidRDefault="00657586" w:rsidP="00823FF2">
      <w:pPr>
        <w:widowControl/>
        <w:autoSpaceDE w:val="0"/>
        <w:autoSpaceDN w:val="0"/>
        <w:adjustRightInd w:val="0"/>
        <w:ind w:left="1440" w:right="1440"/>
        <w:rPr>
          <w:sz w:val="26"/>
          <w:szCs w:val="26"/>
        </w:rPr>
      </w:pPr>
    </w:p>
    <w:p w:rsidR="00657586" w:rsidRPr="00657586" w:rsidRDefault="00657586" w:rsidP="00823FF2">
      <w:pPr>
        <w:widowControl/>
        <w:autoSpaceDE w:val="0"/>
        <w:autoSpaceDN w:val="0"/>
        <w:adjustRightInd w:val="0"/>
        <w:ind w:left="1440" w:right="1440"/>
        <w:rPr>
          <w:sz w:val="26"/>
          <w:szCs w:val="26"/>
        </w:rPr>
      </w:pPr>
      <w:r w:rsidRPr="00657586">
        <w:rPr>
          <w:sz w:val="26"/>
          <w:szCs w:val="26"/>
        </w:rPr>
        <w:t xml:space="preserve">Before restoring service to the funeral home, Duquesne did not warn Complainant that its electrical equipment may have been compromised, nor advise Complainant that it would not restore service, until its electrical equipment was inspected and certified as safe by a qualified third party.  </w:t>
      </w:r>
      <w:r w:rsidRPr="00657586">
        <w:rPr>
          <w:i/>
          <w:sz w:val="26"/>
          <w:szCs w:val="26"/>
        </w:rPr>
        <w:t>Id.</w:t>
      </w:r>
      <w:r w:rsidRPr="00657586">
        <w:rPr>
          <w:sz w:val="26"/>
          <w:szCs w:val="26"/>
        </w:rPr>
        <w:t xml:space="preserve"> ¶¶ 14, 15, 16.</w:t>
      </w:r>
    </w:p>
    <w:p w:rsidR="00657586" w:rsidRPr="00657586" w:rsidRDefault="00657586" w:rsidP="00823FF2">
      <w:pPr>
        <w:widowControl/>
        <w:autoSpaceDE w:val="0"/>
        <w:autoSpaceDN w:val="0"/>
        <w:adjustRightInd w:val="0"/>
        <w:ind w:left="1440" w:right="1440"/>
        <w:rPr>
          <w:sz w:val="26"/>
          <w:szCs w:val="26"/>
        </w:rPr>
      </w:pPr>
    </w:p>
    <w:p w:rsidR="00657586" w:rsidRDefault="00657586" w:rsidP="00823FF2">
      <w:pPr>
        <w:widowControl/>
        <w:autoSpaceDE w:val="0"/>
        <w:autoSpaceDN w:val="0"/>
        <w:adjustRightInd w:val="0"/>
        <w:ind w:left="1440" w:right="1440"/>
        <w:rPr>
          <w:sz w:val="26"/>
          <w:szCs w:val="26"/>
        </w:rPr>
      </w:pPr>
      <w:r w:rsidRPr="00657586">
        <w:rPr>
          <w:sz w:val="26"/>
          <w:szCs w:val="26"/>
        </w:rPr>
        <w:lastRenderedPageBreak/>
        <w:t xml:space="preserve">When Duquesne restored electrical service to the funeral home the current heated the funeral home’s single-phase metal panel box containing the compromised electrical equipment, ignited the box’s wood backing, thereby causing the total destruction of all real and personal property at the funeral home by fire.  </w:t>
      </w:r>
      <w:r w:rsidRPr="00657586">
        <w:rPr>
          <w:i/>
          <w:sz w:val="26"/>
          <w:szCs w:val="26"/>
        </w:rPr>
        <w:t>Id.</w:t>
      </w:r>
      <w:r w:rsidRPr="00657586">
        <w:rPr>
          <w:sz w:val="26"/>
          <w:szCs w:val="26"/>
        </w:rPr>
        <w:t xml:space="preserve"> ¶¶ 19, 20.</w:t>
      </w:r>
    </w:p>
    <w:p w:rsidR="00657586" w:rsidRDefault="00657586" w:rsidP="00657586">
      <w:pPr>
        <w:widowControl/>
        <w:autoSpaceDE w:val="0"/>
        <w:autoSpaceDN w:val="0"/>
        <w:adjustRightInd w:val="0"/>
        <w:ind w:right="1080"/>
        <w:rPr>
          <w:sz w:val="26"/>
          <w:szCs w:val="26"/>
        </w:rPr>
      </w:pPr>
    </w:p>
    <w:p w:rsidR="00657586" w:rsidRDefault="00657586" w:rsidP="00657586">
      <w:pPr>
        <w:widowControl/>
        <w:autoSpaceDE w:val="0"/>
        <w:autoSpaceDN w:val="0"/>
        <w:adjustRightInd w:val="0"/>
        <w:ind w:right="1080"/>
        <w:rPr>
          <w:sz w:val="26"/>
          <w:szCs w:val="26"/>
        </w:rPr>
      </w:pPr>
    </w:p>
    <w:p w:rsidR="00657586" w:rsidRDefault="00990F95" w:rsidP="00823FF2">
      <w:pPr>
        <w:widowControl/>
        <w:autoSpaceDE w:val="0"/>
        <w:autoSpaceDN w:val="0"/>
        <w:adjustRightInd w:val="0"/>
        <w:spacing w:line="360" w:lineRule="auto"/>
        <w:ind w:right="1080"/>
        <w:rPr>
          <w:sz w:val="26"/>
          <w:szCs w:val="26"/>
        </w:rPr>
      </w:pPr>
      <w:r>
        <w:rPr>
          <w:sz w:val="26"/>
          <w:szCs w:val="26"/>
        </w:rPr>
        <w:t>Order at 2.</w:t>
      </w:r>
    </w:p>
    <w:p w:rsidR="00823FF2" w:rsidRDefault="00823FF2" w:rsidP="00823FF2">
      <w:pPr>
        <w:widowControl/>
        <w:autoSpaceDE w:val="0"/>
        <w:autoSpaceDN w:val="0"/>
        <w:adjustRightInd w:val="0"/>
        <w:spacing w:line="360" w:lineRule="auto"/>
        <w:ind w:right="1080"/>
        <w:rPr>
          <w:sz w:val="26"/>
          <w:szCs w:val="26"/>
        </w:rPr>
      </w:pPr>
    </w:p>
    <w:p w:rsidR="007C1E80" w:rsidRDefault="00990F95" w:rsidP="00823FF2">
      <w:pPr>
        <w:widowControl/>
        <w:autoSpaceDE w:val="0"/>
        <w:autoSpaceDN w:val="0"/>
        <w:adjustRightInd w:val="0"/>
        <w:spacing w:line="360" w:lineRule="auto"/>
        <w:ind w:firstLine="1440"/>
        <w:rPr>
          <w:sz w:val="26"/>
        </w:rPr>
      </w:pPr>
      <w:r>
        <w:rPr>
          <w:sz w:val="26"/>
        </w:rPr>
        <w:t>T</w:t>
      </w:r>
      <w:r w:rsidR="00224029">
        <w:rPr>
          <w:sz w:val="26"/>
        </w:rPr>
        <w:t xml:space="preserve">urning to Duquesne’s </w:t>
      </w:r>
      <w:r>
        <w:rPr>
          <w:sz w:val="26"/>
        </w:rPr>
        <w:t>position</w:t>
      </w:r>
      <w:r w:rsidR="00224029">
        <w:rPr>
          <w:sz w:val="26"/>
        </w:rPr>
        <w:t xml:space="preserve">, the ALJ referred to </w:t>
      </w:r>
      <w:r w:rsidR="00223053">
        <w:rPr>
          <w:sz w:val="26"/>
        </w:rPr>
        <w:t>P</w:t>
      </w:r>
      <w:r w:rsidR="007C1E80">
        <w:rPr>
          <w:sz w:val="26"/>
        </w:rPr>
        <w:t>aragraph 62</w:t>
      </w:r>
      <w:r w:rsidR="00677300">
        <w:rPr>
          <w:sz w:val="26"/>
        </w:rPr>
        <w:t xml:space="preserve"> of the Company’s </w:t>
      </w:r>
      <w:r w:rsidR="00927E77">
        <w:rPr>
          <w:sz w:val="26"/>
        </w:rPr>
        <w:t>Answer to the Complaint</w:t>
      </w:r>
      <w:r w:rsidR="00224029">
        <w:rPr>
          <w:sz w:val="26"/>
        </w:rPr>
        <w:t xml:space="preserve">, in which </w:t>
      </w:r>
      <w:r w:rsidR="007C1E80">
        <w:rPr>
          <w:sz w:val="26"/>
        </w:rPr>
        <w:t xml:space="preserve">Duquesne stated </w:t>
      </w:r>
      <w:r w:rsidR="00927E77">
        <w:rPr>
          <w:sz w:val="26"/>
        </w:rPr>
        <w:t xml:space="preserve">that </w:t>
      </w:r>
      <w:r w:rsidR="007C1E80">
        <w:rPr>
          <w:sz w:val="26"/>
        </w:rPr>
        <w:t>“</w:t>
      </w:r>
      <w:r w:rsidR="00927E77">
        <w:rPr>
          <w:sz w:val="26"/>
        </w:rPr>
        <w:t>[i]</w:t>
      </w:r>
      <w:r w:rsidR="007C1E80">
        <w:rPr>
          <w:sz w:val="26"/>
        </w:rPr>
        <w:t>n responding to the outage the night o</w:t>
      </w:r>
      <w:r w:rsidR="003310BC">
        <w:rPr>
          <w:sz w:val="26"/>
        </w:rPr>
        <w:t>f January 9-10, 2009, Duquesne L</w:t>
      </w:r>
      <w:r w:rsidR="007C1E80">
        <w:rPr>
          <w:sz w:val="26"/>
        </w:rPr>
        <w:t xml:space="preserve">ight used every reasonable effort to protect the public from danger and to reduce hazards to the public due to its provision of electric distribution service and its associated equipment and facilities.”  </w:t>
      </w:r>
      <w:r w:rsidR="00434AD1">
        <w:rPr>
          <w:sz w:val="26"/>
        </w:rPr>
        <w:t xml:space="preserve">Answer to Complaint at 12; </w:t>
      </w:r>
      <w:r w:rsidR="00224029">
        <w:rPr>
          <w:i/>
          <w:sz w:val="26"/>
        </w:rPr>
        <w:t xml:space="preserve">see also </w:t>
      </w:r>
      <w:r w:rsidR="00434AD1">
        <w:rPr>
          <w:sz w:val="26"/>
        </w:rPr>
        <w:t>Order at 2-3.</w:t>
      </w:r>
    </w:p>
    <w:p w:rsidR="007C1E80" w:rsidRDefault="007C1E80" w:rsidP="00657586">
      <w:pPr>
        <w:widowControl/>
        <w:autoSpaceDE w:val="0"/>
        <w:autoSpaceDN w:val="0"/>
        <w:adjustRightInd w:val="0"/>
        <w:spacing w:line="360" w:lineRule="auto"/>
        <w:ind w:right="1080" w:firstLine="1440"/>
        <w:rPr>
          <w:sz w:val="26"/>
        </w:rPr>
      </w:pPr>
    </w:p>
    <w:p w:rsidR="00823FF2" w:rsidRDefault="00927E77" w:rsidP="000E4D48">
      <w:pPr>
        <w:widowControl/>
        <w:autoSpaceDE w:val="0"/>
        <w:autoSpaceDN w:val="0"/>
        <w:adjustRightInd w:val="0"/>
        <w:spacing w:line="360" w:lineRule="auto"/>
        <w:ind w:firstLine="1440"/>
        <w:rPr>
          <w:sz w:val="26"/>
        </w:rPr>
      </w:pPr>
      <w:r>
        <w:rPr>
          <w:sz w:val="26"/>
        </w:rPr>
        <w:t>T</w:t>
      </w:r>
      <w:r w:rsidR="00823FF2">
        <w:rPr>
          <w:sz w:val="26"/>
        </w:rPr>
        <w:t>he ALJ</w:t>
      </w:r>
      <w:r w:rsidR="00AF35A5">
        <w:rPr>
          <w:sz w:val="26"/>
        </w:rPr>
        <w:t xml:space="preserve"> </w:t>
      </w:r>
      <w:r w:rsidR="00F556FA">
        <w:rPr>
          <w:sz w:val="26"/>
        </w:rPr>
        <w:t xml:space="preserve">next </w:t>
      </w:r>
      <w:r w:rsidR="00AF35A5">
        <w:rPr>
          <w:sz w:val="26"/>
        </w:rPr>
        <w:t xml:space="preserve">summarized </w:t>
      </w:r>
      <w:r w:rsidR="000E4D48">
        <w:rPr>
          <w:sz w:val="26"/>
        </w:rPr>
        <w:t xml:space="preserve">Alderwoods’ </w:t>
      </w:r>
      <w:r w:rsidR="002E3931">
        <w:rPr>
          <w:sz w:val="26"/>
        </w:rPr>
        <w:t xml:space="preserve">arguments in support of </w:t>
      </w:r>
      <w:r w:rsidR="00AF35A5">
        <w:rPr>
          <w:sz w:val="26"/>
        </w:rPr>
        <w:t xml:space="preserve">its </w:t>
      </w:r>
      <w:r w:rsidR="002E3931">
        <w:rPr>
          <w:sz w:val="26"/>
        </w:rPr>
        <w:t>objection</w:t>
      </w:r>
      <w:r w:rsidR="00677300">
        <w:rPr>
          <w:sz w:val="26"/>
        </w:rPr>
        <w:t xml:space="preserve"> to </w:t>
      </w:r>
      <w:r w:rsidR="00AF35A5">
        <w:rPr>
          <w:sz w:val="26"/>
        </w:rPr>
        <w:t>the Commission</w:t>
      </w:r>
      <w:r w:rsidR="00677300">
        <w:rPr>
          <w:sz w:val="26"/>
        </w:rPr>
        <w:t xml:space="preserve">’s </w:t>
      </w:r>
      <w:r w:rsidR="00AF35A5">
        <w:rPr>
          <w:sz w:val="26"/>
        </w:rPr>
        <w:t>subject matter jurisdiction</w:t>
      </w:r>
      <w:r w:rsidR="000E4D48">
        <w:rPr>
          <w:sz w:val="26"/>
        </w:rPr>
        <w:t xml:space="preserve">, including the inability to award damages, </w:t>
      </w:r>
      <w:r w:rsidR="00F556FA">
        <w:rPr>
          <w:sz w:val="26"/>
        </w:rPr>
        <w:t>Alderwoods’ claim</w:t>
      </w:r>
      <w:r w:rsidR="00294A8B">
        <w:rPr>
          <w:sz w:val="26"/>
        </w:rPr>
        <w:t xml:space="preserve"> of</w:t>
      </w:r>
      <w:r w:rsidR="00F556FA">
        <w:rPr>
          <w:sz w:val="26"/>
        </w:rPr>
        <w:t xml:space="preserve"> </w:t>
      </w:r>
      <w:r w:rsidR="000E4D48">
        <w:rPr>
          <w:sz w:val="26"/>
        </w:rPr>
        <w:t xml:space="preserve">judicial estoppel, the duty of juries in negligence claims, and the irrelevance of the Commission Regulations cited by Duquesne to the issue of Alderwoods’ alleged overvoltage.  </w:t>
      </w:r>
      <w:r w:rsidR="00823FF2">
        <w:rPr>
          <w:sz w:val="26"/>
        </w:rPr>
        <w:t xml:space="preserve">Order at 3.  </w:t>
      </w:r>
      <w:r>
        <w:rPr>
          <w:sz w:val="26"/>
        </w:rPr>
        <w:t>T</w:t>
      </w:r>
      <w:r w:rsidR="00823FF2">
        <w:rPr>
          <w:sz w:val="26"/>
        </w:rPr>
        <w:t>he ALJ noted</w:t>
      </w:r>
      <w:r>
        <w:rPr>
          <w:sz w:val="26"/>
        </w:rPr>
        <w:t xml:space="preserve"> that</w:t>
      </w:r>
      <w:r w:rsidR="00823FF2">
        <w:rPr>
          <w:sz w:val="26"/>
        </w:rPr>
        <w:t xml:space="preserve"> if </w:t>
      </w:r>
      <w:r w:rsidR="00677300">
        <w:rPr>
          <w:sz w:val="26"/>
        </w:rPr>
        <w:t>the</w:t>
      </w:r>
      <w:r w:rsidR="00823FF2">
        <w:rPr>
          <w:sz w:val="26"/>
        </w:rPr>
        <w:t xml:space="preserve"> Preliminary Objection were </w:t>
      </w:r>
      <w:r w:rsidR="00A443F1">
        <w:rPr>
          <w:sz w:val="26"/>
        </w:rPr>
        <w:t>sustained</w:t>
      </w:r>
      <w:r w:rsidR="00823FF2">
        <w:rPr>
          <w:sz w:val="26"/>
        </w:rPr>
        <w:t xml:space="preserve">, </w:t>
      </w:r>
      <w:r w:rsidR="00677300">
        <w:rPr>
          <w:sz w:val="26"/>
        </w:rPr>
        <w:t xml:space="preserve">Alderwoods </w:t>
      </w:r>
      <w:r w:rsidR="00823FF2">
        <w:rPr>
          <w:sz w:val="26"/>
        </w:rPr>
        <w:t xml:space="preserve">would move </w:t>
      </w:r>
      <w:r w:rsidR="00F556FA">
        <w:rPr>
          <w:sz w:val="26"/>
        </w:rPr>
        <w:t xml:space="preserve">to have </w:t>
      </w:r>
      <w:r w:rsidR="00823FF2">
        <w:rPr>
          <w:sz w:val="26"/>
        </w:rPr>
        <w:t>the trial court reinstate the case.</w:t>
      </w:r>
    </w:p>
    <w:p w:rsidR="00AF35A5" w:rsidRDefault="00AF35A5" w:rsidP="00AF35A5">
      <w:pPr>
        <w:widowControl/>
        <w:autoSpaceDE w:val="0"/>
        <w:autoSpaceDN w:val="0"/>
        <w:adjustRightInd w:val="0"/>
        <w:spacing w:line="360" w:lineRule="auto"/>
        <w:ind w:firstLine="1440"/>
        <w:rPr>
          <w:sz w:val="26"/>
        </w:rPr>
      </w:pPr>
    </w:p>
    <w:p w:rsidR="001B22D4" w:rsidRDefault="00927E77" w:rsidP="000E4D48">
      <w:pPr>
        <w:widowControl/>
        <w:autoSpaceDE w:val="0"/>
        <w:autoSpaceDN w:val="0"/>
        <w:adjustRightInd w:val="0"/>
        <w:spacing w:line="360" w:lineRule="auto"/>
        <w:ind w:firstLine="1440"/>
        <w:rPr>
          <w:sz w:val="26"/>
        </w:rPr>
      </w:pPr>
      <w:r>
        <w:rPr>
          <w:sz w:val="26"/>
        </w:rPr>
        <w:t>Finally t</w:t>
      </w:r>
      <w:r w:rsidR="00AF35A5">
        <w:rPr>
          <w:sz w:val="26"/>
        </w:rPr>
        <w:t xml:space="preserve">he ALJ summarized the </w:t>
      </w:r>
      <w:r w:rsidR="00677300">
        <w:rPr>
          <w:sz w:val="26"/>
        </w:rPr>
        <w:t xml:space="preserve">bases Duquesne </w:t>
      </w:r>
      <w:r w:rsidR="00AF35A5">
        <w:rPr>
          <w:sz w:val="26"/>
        </w:rPr>
        <w:t xml:space="preserve">asserted </w:t>
      </w:r>
      <w:r w:rsidR="00677300">
        <w:rPr>
          <w:sz w:val="26"/>
        </w:rPr>
        <w:t>in opposing the</w:t>
      </w:r>
      <w:r w:rsidR="00AF35A5">
        <w:rPr>
          <w:sz w:val="26"/>
        </w:rPr>
        <w:t xml:space="preserve"> Preliminary Objection</w:t>
      </w:r>
      <w:r w:rsidR="000E4D48">
        <w:rPr>
          <w:sz w:val="26"/>
        </w:rPr>
        <w:t xml:space="preserve">, including the </w:t>
      </w:r>
      <w:r w:rsidR="00223053">
        <w:rPr>
          <w:sz w:val="26"/>
        </w:rPr>
        <w:t xml:space="preserve">irrelevance of the </w:t>
      </w:r>
      <w:r w:rsidR="000E4D48">
        <w:rPr>
          <w:sz w:val="26"/>
        </w:rPr>
        <w:t xml:space="preserve">Commission’s inability to award damages in a bifurcated proceeding, </w:t>
      </w:r>
      <w:r w:rsidR="00223053">
        <w:rPr>
          <w:sz w:val="26"/>
        </w:rPr>
        <w:t xml:space="preserve">the error of </w:t>
      </w:r>
      <w:r w:rsidR="000E4D48">
        <w:rPr>
          <w:sz w:val="26"/>
        </w:rPr>
        <w:t xml:space="preserve">Alderwoods’ judicial estoppel </w:t>
      </w:r>
      <w:r w:rsidR="00223053">
        <w:rPr>
          <w:sz w:val="26"/>
        </w:rPr>
        <w:t xml:space="preserve">claim, </w:t>
      </w:r>
      <w:r w:rsidR="000E4D48">
        <w:rPr>
          <w:sz w:val="26"/>
        </w:rPr>
        <w:t>the Supreme Court</w:t>
      </w:r>
      <w:r w:rsidR="00223053">
        <w:rPr>
          <w:sz w:val="26"/>
        </w:rPr>
        <w:t xml:space="preserve">’s failure to </w:t>
      </w:r>
      <w:r w:rsidR="000E4D48">
        <w:rPr>
          <w:sz w:val="26"/>
        </w:rPr>
        <w:t xml:space="preserve">consider bifurcation, the </w:t>
      </w:r>
      <w:r w:rsidR="00223053">
        <w:rPr>
          <w:sz w:val="26"/>
        </w:rPr>
        <w:t xml:space="preserve">Commission’s exclusive jurisdiction over regulation of the </w:t>
      </w:r>
      <w:r w:rsidR="000E4D48">
        <w:rPr>
          <w:sz w:val="26"/>
        </w:rPr>
        <w:t>reasonableness and safety of electric s</w:t>
      </w:r>
      <w:r w:rsidR="00EB02D2" w:rsidRPr="000E4D48">
        <w:rPr>
          <w:sz w:val="26"/>
        </w:rPr>
        <w:t xml:space="preserve">ervice interruption and </w:t>
      </w:r>
      <w:r w:rsidR="00EB02D2" w:rsidRPr="000E4D48">
        <w:rPr>
          <w:sz w:val="26"/>
        </w:rPr>
        <w:lastRenderedPageBreak/>
        <w:t>restoration</w:t>
      </w:r>
      <w:r w:rsidR="000E4D48">
        <w:rPr>
          <w:sz w:val="26"/>
        </w:rPr>
        <w:t xml:space="preserve">, and </w:t>
      </w:r>
      <w:r w:rsidR="00223053">
        <w:rPr>
          <w:sz w:val="26"/>
        </w:rPr>
        <w:t xml:space="preserve">Commission jurisdiction over </w:t>
      </w:r>
      <w:r w:rsidR="000E4D48">
        <w:rPr>
          <w:sz w:val="26"/>
        </w:rPr>
        <w:t xml:space="preserve">allegations of </w:t>
      </w:r>
      <w:r w:rsidR="00EB02D2" w:rsidRPr="00EB02D2">
        <w:rPr>
          <w:sz w:val="26"/>
        </w:rPr>
        <w:t>negligence.</w:t>
      </w:r>
      <w:r w:rsidR="000E4D48">
        <w:rPr>
          <w:sz w:val="26"/>
        </w:rPr>
        <w:t xml:space="preserve">  </w:t>
      </w:r>
      <w:r w:rsidR="00EB02D2">
        <w:rPr>
          <w:sz w:val="26"/>
        </w:rPr>
        <w:t xml:space="preserve">Order at 4 (citing Answer to P.O. at ¶ 52).  </w:t>
      </w:r>
    </w:p>
    <w:p w:rsidR="001B22D4" w:rsidRDefault="001B22D4" w:rsidP="00823FF2">
      <w:pPr>
        <w:widowControl/>
        <w:autoSpaceDE w:val="0"/>
        <w:autoSpaceDN w:val="0"/>
        <w:adjustRightInd w:val="0"/>
        <w:spacing w:line="360" w:lineRule="auto"/>
        <w:rPr>
          <w:sz w:val="26"/>
        </w:rPr>
      </w:pPr>
    </w:p>
    <w:p w:rsidR="00096A2C" w:rsidRDefault="001B22D4" w:rsidP="001B22D4">
      <w:pPr>
        <w:widowControl/>
        <w:autoSpaceDE w:val="0"/>
        <w:autoSpaceDN w:val="0"/>
        <w:adjustRightInd w:val="0"/>
        <w:spacing w:line="360" w:lineRule="auto"/>
        <w:ind w:firstLine="1440"/>
        <w:rPr>
          <w:sz w:val="26"/>
        </w:rPr>
      </w:pPr>
      <w:r>
        <w:rPr>
          <w:sz w:val="26"/>
        </w:rPr>
        <w:t xml:space="preserve">After setting forth the standard of review applicable to preliminary objections, the </w:t>
      </w:r>
      <w:r w:rsidR="00096A2C">
        <w:rPr>
          <w:sz w:val="26"/>
        </w:rPr>
        <w:t xml:space="preserve">ALJ </w:t>
      </w:r>
      <w:r w:rsidR="00677300">
        <w:rPr>
          <w:sz w:val="26"/>
        </w:rPr>
        <w:t>addressed</w:t>
      </w:r>
      <w:r w:rsidR="00096A2C">
        <w:rPr>
          <w:sz w:val="26"/>
        </w:rPr>
        <w:t xml:space="preserve"> Alderwoods’ </w:t>
      </w:r>
      <w:r w:rsidR="00C64786">
        <w:rPr>
          <w:sz w:val="26"/>
        </w:rPr>
        <w:t xml:space="preserve">fundamental </w:t>
      </w:r>
      <w:r w:rsidR="00096A2C">
        <w:rPr>
          <w:sz w:val="26"/>
        </w:rPr>
        <w:t>argument</w:t>
      </w:r>
      <w:r w:rsidR="00C64786">
        <w:rPr>
          <w:sz w:val="26"/>
        </w:rPr>
        <w:t xml:space="preserve">, that </w:t>
      </w:r>
      <w:r w:rsidR="00096A2C">
        <w:rPr>
          <w:sz w:val="26"/>
        </w:rPr>
        <w:t xml:space="preserve">“its cause of action sounds in negligence which must be decided by a jury” and that “it is for a jury, not the Commission, to determine what was reasonable under the circumstances.”  Order at 6.  Referencing generally </w:t>
      </w:r>
      <w:r w:rsidR="00096A2C">
        <w:rPr>
          <w:i/>
          <w:sz w:val="26"/>
        </w:rPr>
        <w:t xml:space="preserve">Alderwoods </w:t>
      </w:r>
      <w:r w:rsidR="00096A2C" w:rsidRPr="00096A2C">
        <w:rPr>
          <w:i/>
          <w:sz w:val="26"/>
        </w:rPr>
        <w:t>2014</w:t>
      </w:r>
      <w:r w:rsidR="00096A2C">
        <w:rPr>
          <w:sz w:val="26"/>
        </w:rPr>
        <w:t xml:space="preserve">, the ALJ repeated </w:t>
      </w:r>
      <w:r w:rsidR="00260882">
        <w:rPr>
          <w:sz w:val="26"/>
        </w:rPr>
        <w:t xml:space="preserve">Duquesne’s </w:t>
      </w:r>
      <w:r w:rsidR="00096A2C">
        <w:rPr>
          <w:sz w:val="26"/>
        </w:rPr>
        <w:t>assertion that the Supreme Court did not address the appropriateness of bifurcati</w:t>
      </w:r>
      <w:r w:rsidR="000E4D48">
        <w:rPr>
          <w:sz w:val="26"/>
        </w:rPr>
        <w:t>on</w:t>
      </w:r>
      <w:r w:rsidR="00096A2C">
        <w:rPr>
          <w:sz w:val="26"/>
        </w:rPr>
        <w:t xml:space="preserve">.  </w:t>
      </w:r>
      <w:r w:rsidR="00260882">
        <w:rPr>
          <w:sz w:val="26"/>
        </w:rPr>
        <w:t>Agreeing</w:t>
      </w:r>
      <w:r w:rsidR="00096A2C">
        <w:rPr>
          <w:sz w:val="26"/>
        </w:rPr>
        <w:t xml:space="preserve"> that the Commission lacked authority to award monetary damages, the ALJ </w:t>
      </w:r>
      <w:r w:rsidR="00223053">
        <w:rPr>
          <w:sz w:val="26"/>
        </w:rPr>
        <w:t xml:space="preserve">next </w:t>
      </w:r>
      <w:r w:rsidR="00096A2C">
        <w:rPr>
          <w:sz w:val="26"/>
        </w:rPr>
        <w:t>presented his analysis of Alderwoods’ claim that the Commission lacked authority to determine Duquesne’s duty to the Funeral Home in restoring service.</w:t>
      </w:r>
    </w:p>
    <w:p w:rsidR="00096A2C" w:rsidRDefault="00096A2C" w:rsidP="001B22D4">
      <w:pPr>
        <w:widowControl/>
        <w:autoSpaceDE w:val="0"/>
        <w:autoSpaceDN w:val="0"/>
        <w:adjustRightInd w:val="0"/>
        <w:spacing w:line="360" w:lineRule="auto"/>
        <w:ind w:firstLine="1440"/>
        <w:rPr>
          <w:sz w:val="26"/>
        </w:rPr>
      </w:pPr>
    </w:p>
    <w:p w:rsidR="00096A2C" w:rsidRPr="00903B3B" w:rsidRDefault="00223053" w:rsidP="00260882">
      <w:pPr>
        <w:widowControl/>
        <w:autoSpaceDE w:val="0"/>
        <w:autoSpaceDN w:val="0"/>
        <w:adjustRightInd w:val="0"/>
        <w:spacing w:before="240" w:line="360" w:lineRule="auto"/>
        <w:ind w:firstLine="1440"/>
        <w:rPr>
          <w:i/>
          <w:sz w:val="26"/>
        </w:rPr>
      </w:pPr>
      <w:r>
        <w:rPr>
          <w:sz w:val="26"/>
        </w:rPr>
        <w:t>The ALJ q</w:t>
      </w:r>
      <w:r w:rsidR="002F3F38">
        <w:rPr>
          <w:sz w:val="26"/>
        </w:rPr>
        <w:t>uot</w:t>
      </w:r>
      <w:r>
        <w:rPr>
          <w:sz w:val="26"/>
        </w:rPr>
        <w:t>ed</w:t>
      </w:r>
      <w:r w:rsidR="002F3F38">
        <w:rPr>
          <w:sz w:val="26"/>
        </w:rPr>
        <w:t xml:space="preserve"> </w:t>
      </w:r>
      <w:r w:rsidR="00096A2C">
        <w:rPr>
          <w:sz w:val="26"/>
        </w:rPr>
        <w:t xml:space="preserve">Sections 1501 and 102 of the Code, </w:t>
      </w:r>
      <w:r w:rsidR="00260882">
        <w:rPr>
          <w:sz w:val="26"/>
        </w:rPr>
        <w:t>statutes that</w:t>
      </w:r>
      <w:r w:rsidR="0086498F">
        <w:rPr>
          <w:sz w:val="26"/>
        </w:rPr>
        <w:t>,</w:t>
      </w:r>
      <w:r w:rsidR="00260882">
        <w:rPr>
          <w:sz w:val="26"/>
        </w:rPr>
        <w:t xml:space="preserve"> respectively, </w:t>
      </w:r>
      <w:r w:rsidR="00096A2C">
        <w:rPr>
          <w:sz w:val="26"/>
        </w:rPr>
        <w:t>address</w:t>
      </w:r>
      <w:r w:rsidR="00260882">
        <w:rPr>
          <w:sz w:val="26"/>
        </w:rPr>
        <w:t xml:space="preserve"> </w:t>
      </w:r>
      <w:r w:rsidR="00096A2C">
        <w:rPr>
          <w:sz w:val="26"/>
        </w:rPr>
        <w:t>and defin</w:t>
      </w:r>
      <w:r w:rsidR="00260882">
        <w:rPr>
          <w:sz w:val="26"/>
        </w:rPr>
        <w:t>e</w:t>
      </w:r>
      <w:r w:rsidR="00096A2C">
        <w:rPr>
          <w:sz w:val="26"/>
        </w:rPr>
        <w:t xml:space="preserve"> public utility service</w:t>
      </w:r>
      <w:r w:rsidR="001C101C">
        <w:rPr>
          <w:sz w:val="26"/>
        </w:rPr>
        <w:t xml:space="preserve">.  In particular, the ALJ </w:t>
      </w:r>
      <w:r>
        <w:rPr>
          <w:sz w:val="26"/>
        </w:rPr>
        <w:t>emphasized that under Section 102, service includes “</w:t>
      </w:r>
      <w:r w:rsidRPr="00223053">
        <w:rPr>
          <w:i/>
          <w:sz w:val="26"/>
        </w:rPr>
        <w:t>any and all acts done, rendered, or performed</w:t>
      </w:r>
      <w:r>
        <w:rPr>
          <w:sz w:val="26"/>
        </w:rPr>
        <w:t xml:space="preserve">,” (emphasis added by the ALJ) </w:t>
      </w:r>
      <w:r w:rsidR="001C101C">
        <w:rPr>
          <w:sz w:val="26"/>
        </w:rPr>
        <w:t xml:space="preserve">and </w:t>
      </w:r>
      <w:r w:rsidR="00096A2C">
        <w:rPr>
          <w:sz w:val="26"/>
        </w:rPr>
        <w:t>cit</w:t>
      </w:r>
      <w:r w:rsidR="001C101C">
        <w:rPr>
          <w:sz w:val="26"/>
        </w:rPr>
        <w:t>ed</w:t>
      </w:r>
      <w:r w:rsidR="00260882">
        <w:rPr>
          <w:sz w:val="26"/>
        </w:rPr>
        <w:t>, generally, to</w:t>
      </w:r>
      <w:r w:rsidR="00096A2C">
        <w:rPr>
          <w:sz w:val="26"/>
        </w:rPr>
        <w:t xml:space="preserve"> </w:t>
      </w:r>
      <w:r w:rsidR="00096A2C">
        <w:rPr>
          <w:i/>
          <w:sz w:val="26"/>
        </w:rPr>
        <w:t>West Penn Power Co. v. Pa. PUC</w:t>
      </w:r>
      <w:r w:rsidR="00096A2C">
        <w:rPr>
          <w:sz w:val="26"/>
        </w:rPr>
        <w:t>, 578 A.2d 75 (Pa. Cmwlth. 1990)</w:t>
      </w:r>
      <w:r>
        <w:rPr>
          <w:sz w:val="26"/>
        </w:rPr>
        <w:t xml:space="preserve"> for the </w:t>
      </w:r>
      <w:r w:rsidR="001C101C">
        <w:rPr>
          <w:sz w:val="26"/>
        </w:rPr>
        <w:t>same proposition.  As the</w:t>
      </w:r>
      <w:r w:rsidR="002F3F38">
        <w:rPr>
          <w:sz w:val="26"/>
        </w:rPr>
        <w:t xml:space="preserve"> ALJ </w:t>
      </w:r>
      <w:r w:rsidR="001C101C">
        <w:rPr>
          <w:sz w:val="26"/>
        </w:rPr>
        <w:t xml:space="preserve">then </w:t>
      </w:r>
      <w:r w:rsidR="00096A2C">
        <w:rPr>
          <w:sz w:val="26"/>
        </w:rPr>
        <w:t>concluded</w:t>
      </w:r>
      <w:r w:rsidR="001C101C">
        <w:rPr>
          <w:sz w:val="26"/>
        </w:rPr>
        <w:t>,</w:t>
      </w:r>
      <w:r w:rsidR="00096A2C">
        <w:rPr>
          <w:sz w:val="26"/>
        </w:rPr>
        <w:t xml:space="preserve"> “[a] utility’s ‘service’ is not merely confined to the distribution of utility </w:t>
      </w:r>
      <w:r w:rsidR="002F3F38">
        <w:rPr>
          <w:sz w:val="26"/>
        </w:rPr>
        <w:t>service, but also includes ‘</w:t>
      </w:r>
      <w:r w:rsidR="002F3F38" w:rsidRPr="0086498F">
        <w:rPr>
          <w:i/>
          <w:sz w:val="26"/>
        </w:rPr>
        <w:t>any and all acts</w:t>
      </w:r>
      <w:r w:rsidR="002F3F38">
        <w:rPr>
          <w:sz w:val="26"/>
        </w:rPr>
        <w:t>’ related to that function.”  Order at 8</w:t>
      </w:r>
      <w:r w:rsidR="0086498F">
        <w:rPr>
          <w:sz w:val="26"/>
        </w:rPr>
        <w:t xml:space="preserve"> (emphasis added)</w:t>
      </w:r>
      <w:r w:rsidR="002F3F38">
        <w:rPr>
          <w:sz w:val="26"/>
        </w:rPr>
        <w:t xml:space="preserve">.  The ALJ also quoted from </w:t>
      </w:r>
      <w:r w:rsidR="002F3F38">
        <w:rPr>
          <w:i/>
          <w:sz w:val="26"/>
        </w:rPr>
        <w:t>DiSanto</w:t>
      </w:r>
      <w:r w:rsidR="00701BDC">
        <w:rPr>
          <w:sz w:val="26"/>
        </w:rPr>
        <w:t xml:space="preserve">, argued by Duquesne, </w:t>
      </w:r>
      <w:r w:rsidR="002F3F38" w:rsidRPr="00903B3B">
        <w:rPr>
          <w:sz w:val="26"/>
        </w:rPr>
        <w:t>for</w:t>
      </w:r>
      <w:r w:rsidR="002F3F38">
        <w:rPr>
          <w:sz w:val="26"/>
        </w:rPr>
        <w:t xml:space="preserve"> the proposition that </w:t>
      </w:r>
      <w:r w:rsidR="00B57447">
        <w:rPr>
          <w:sz w:val="26"/>
        </w:rPr>
        <w:t xml:space="preserve">it is up to the Commission to determine initially whether utility service has fallen short of the statutory standard when, regardless of the form of the pleading or how the matter is couched, </w:t>
      </w:r>
      <w:r w:rsidR="00260882">
        <w:rPr>
          <w:sz w:val="26"/>
        </w:rPr>
        <w:t>“</w:t>
      </w:r>
      <w:r w:rsidR="00B57447" w:rsidRPr="00701BDC">
        <w:rPr>
          <w:sz w:val="26"/>
        </w:rPr>
        <w:t>a utility’s failure to maintain reasonable and adequate service is alleged</w:t>
      </w:r>
      <w:r w:rsidR="00B57447">
        <w:rPr>
          <w:sz w:val="26"/>
        </w:rPr>
        <w:t>.</w:t>
      </w:r>
      <w:r w:rsidR="00260882">
        <w:rPr>
          <w:sz w:val="26"/>
        </w:rPr>
        <w:t xml:space="preserve">”  Order at 8 (quoting </w:t>
      </w:r>
      <w:r w:rsidR="00260882">
        <w:rPr>
          <w:i/>
          <w:sz w:val="26"/>
        </w:rPr>
        <w:t>DiSanto</w:t>
      </w:r>
      <w:r w:rsidR="00260882">
        <w:rPr>
          <w:sz w:val="26"/>
        </w:rPr>
        <w:t>).</w:t>
      </w:r>
      <w:r w:rsidR="00B57447">
        <w:rPr>
          <w:sz w:val="26"/>
        </w:rPr>
        <w:t xml:space="preserve">  </w:t>
      </w:r>
    </w:p>
    <w:p w:rsidR="00B57447" w:rsidRDefault="00B57447" w:rsidP="001B22D4">
      <w:pPr>
        <w:widowControl/>
        <w:autoSpaceDE w:val="0"/>
        <w:autoSpaceDN w:val="0"/>
        <w:adjustRightInd w:val="0"/>
        <w:spacing w:line="360" w:lineRule="auto"/>
        <w:ind w:firstLine="1440"/>
        <w:rPr>
          <w:sz w:val="26"/>
        </w:rPr>
      </w:pPr>
    </w:p>
    <w:p w:rsidR="00B57447" w:rsidRDefault="00260882" w:rsidP="001B22D4">
      <w:pPr>
        <w:widowControl/>
        <w:autoSpaceDE w:val="0"/>
        <w:autoSpaceDN w:val="0"/>
        <w:adjustRightInd w:val="0"/>
        <w:spacing w:line="360" w:lineRule="auto"/>
        <w:ind w:firstLine="1440"/>
        <w:rPr>
          <w:sz w:val="26"/>
        </w:rPr>
      </w:pPr>
      <w:r>
        <w:rPr>
          <w:sz w:val="26"/>
        </w:rPr>
        <w:t>T</w:t>
      </w:r>
      <w:r w:rsidR="00B57447">
        <w:rPr>
          <w:sz w:val="26"/>
        </w:rPr>
        <w:t>he ALJ concluded</w:t>
      </w:r>
      <w:r>
        <w:rPr>
          <w:sz w:val="26"/>
        </w:rPr>
        <w:t xml:space="preserve"> that</w:t>
      </w:r>
      <w:r w:rsidR="00B57447">
        <w:rPr>
          <w:sz w:val="26"/>
        </w:rPr>
        <w:t xml:space="preserve"> if Alderwoods proved its allegations, it “may well constitute a violation of the reasonable and adequate service requirements of Section </w:t>
      </w:r>
      <w:r w:rsidR="00B57447">
        <w:rPr>
          <w:sz w:val="26"/>
        </w:rPr>
        <w:lastRenderedPageBreak/>
        <w:t>1501 of the Code</w:t>
      </w:r>
      <w:r w:rsidR="00903B3B">
        <w:rPr>
          <w:sz w:val="26"/>
        </w:rPr>
        <w:t>.</w:t>
      </w:r>
      <w:r w:rsidR="002E3931">
        <w:rPr>
          <w:sz w:val="26"/>
        </w:rPr>
        <w:t>”</w:t>
      </w:r>
      <w:r w:rsidR="00B57447">
        <w:rPr>
          <w:sz w:val="26"/>
        </w:rPr>
        <w:t xml:space="preserve"> </w:t>
      </w:r>
      <w:r w:rsidR="00903B3B">
        <w:rPr>
          <w:sz w:val="26"/>
        </w:rPr>
        <w:t xml:space="preserve"> </w:t>
      </w:r>
      <w:r w:rsidR="00B57447">
        <w:rPr>
          <w:sz w:val="26"/>
        </w:rPr>
        <w:t xml:space="preserve">Order at 8 (citing </w:t>
      </w:r>
      <w:r w:rsidR="00B57447">
        <w:rPr>
          <w:i/>
          <w:sz w:val="26"/>
        </w:rPr>
        <w:t>Honey Brook Water Co. v. Pa. PUC</w:t>
      </w:r>
      <w:r w:rsidR="00B57447">
        <w:rPr>
          <w:sz w:val="26"/>
        </w:rPr>
        <w:t>, 167 Pa. Cmw</w:t>
      </w:r>
      <w:r w:rsidR="00763974">
        <w:rPr>
          <w:sz w:val="26"/>
        </w:rPr>
        <w:t>l</w:t>
      </w:r>
      <w:r w:rsidR="00B57447">
        <w:rPr>
          <w:sz w:val="26"/>
        </w:rPr>
        <w:t>th</w:t>
      </w:r>
      <w:r w:rsidR="000D3BBF">
        <w:rPr>
          <w:sz w:val="26"/>
        </w:rPr>
        <w:t>.</w:t>
      </w:r>
      <w:r w:rsidR="00B57447">
        <w:rPr>
          <w:sz w:val="26"/>
        </w:rPr>
        <w:t xml:space="preserve"> 140, 647 A.2d 653 (1994) </w:t>
      </w:r>
      <w:r w:rsidR="00903B3B">
        <w:rPr>
          <w:sz w:val="26"/>
        </w:rPr>
        <w:t>(</w:t>
      </w:r>
      <w:r w:rsidR="00903B3B">
        <w:rPr>
          <w:i/>
          <w:sz w:val="26"/>
        </w:rPr>
        <w:t>Honey Brook</w:t>
      </w:r>
      <w:r w:rsidR="00903B3B">
        <w:rPr>
          <w:sz w:val="26"/>
        </w:rPr>
        <w:t>)</w:t>
      </w:r>
      <w:r w:rsidR="00EB062D">
        <w:rPr>
          <w:sz w:val="26"/>
        </w:rPr>
        <w:t>)</w:t>
      </w:r>
      <w:r w:rsidR="00AC686F">
        <w:rPr>
          <w:sz w:val="26"/>
        </w:rPr>
        <w:t xml:space="preserve">.  </w:t>
      </w:r>
      <w:r w:rsidR="008B69F1">
        <w:rPr>
          <w:sz w:val="26"/>
        </w:rPr>
        <w:t>Having thus framed the issue</w:t>
      </w:r>
      <w:r w:rsidR="00AC686F">
        <w:rPr>
          <w:sz w:val="26"/>
        </w:rPr>
        <w:t xml:space="preserve">, the ALJ determined that </w:t>
      </w:r>
      <w:r w:rsidR="008B69F1">
        <w:rPr>
          <w:sz w:val="26"/>
        </w:rPr>
        <w:t>“</w:t>
      </w:r>
      <w:r w:rsidR="00903B3B" w:rsidRPr="00903B3B">
        <w:rPr>
          <w:sz w:val="26"/>
        </w:rPr>
        <w:t xml:space="preserve">Duquesne may ultimately face a civil penalty </w:t>
      </w:r>
      <w:r w:rsidR="008B69F1">
        <w:rPr>
          <w:sz w:val="26"/>
        </w:rPr>
        <w:t>and/</w:t>
      </w:r>
      <w:r w:rsidR="00903B3B" w:rsidRPr="00903B3B">
        <w:rPr>
          <w:sz w:val="26"/>
        </w:rPr>
        <w:t xml:space="preserve">or </w:t>
      </w:r>
      <w:r w:rsidR="008B69F1">
        <w:rPr>
          <w:sz w:val="26"/>
        </w:rPr>
        <w:t xml:space="preserve">an </w:t>
      </w:r>
      <w:r w:rsidR="00903B3B" w:rsidRPr="00903B3B">
        <w:rPr>
          <w:sz w:val="26"/>
        </w:rPr>
        <w:t>order</w:t>
      </w:r>
      <w:r w:rsidR="008B69F1">
        <w:rPr>
          <w:sz w:val="26"/>
        </w:rPr>
        <w:t xml:space="preserve"> to take </w:t>
      </w:r>
      <w:r w:rsidR="00903B3B" w:rsidRPr="00903B3B">
        <w:rPr>
          <w:sz w:val="26"/>
        </w:rPr>
        <w:t>remedial action</w:t>
      </w:r>
      <w:r w:rsidR="008B69F1">
        <w:rPr>
          <w:sz w:val="26"/>
        </w:rPr>
        <w:t>,</w:t>
      </w:r>
      <w:r w:rsidR="00903B3B" w:rsidRPr="00903B3B">
        <w:rPr>
          <w:sz w:val="26"/>
        </w:rPr>
        <w:t xml:space="preserve"> </w:t>
      </w:r>
      <w:r w:rsidR="008B69F1">
        <w:rPr>
          <w:sz w:val="26"/>
        </w:rPr>
        <w:t>in the event [</w:t>
      </w:r>
      <w:r w:rsidR="00903B3B" w:rsidRPr="00903B3B">
        <w:rPr>
          <w:sz w:val="26"/>
        </w:rPr>
        <w:t>Alderwoods</w:t>
      </w:r>
      <w:r w:rsidR="008B69F1">
        <w:rPr>
          <w:sz w:val="26"/>
        </w:rPr>
        <w:t>]</w:t>
      </w:r>
      <w:r w:rsidR="00903B3B" w:rsidRPr="00903B3B">
        <w:rPr>
          <w:sz w:val="26"/>
        </w:rPr>
        <w:t xml:space="preserve"> </w:t>
      </w:r>
      <w:r w:rsidR="008B69F1">
        <w:rPr>
          <w:sz w:val="26"/>
        </w:rPr>
        <w:t>prevail[ed] in establishing inadequate service on Duquesne’s part.”  Order at 9.</w:t>
      </w:r>
    </w:p>
    <w:p w:rsidR="00903B3B" w:rsidRDefault="00903B3B" w:rsidP="001B22D4">
      <w:pPr>
        <w:widowControl/>
        <w:autoSpaceDE w:val="0"/>
        <w:autoSpaceDN w:val="0"/>
        <w:adjustRightInd w:val="0"/>
        <w:spacing w:line="360" w:lineRule="auto"/>
        <w:ind w:firstLine="1440"/>
        <w:rPr>
          <w:sz w:val="26"/>
        </w:rPr>
      </w:pPr>
    </w:p>
    <w:p w:rsidR="00903B3B" w:rsidRPr="00B57447" w:rsidRDefault="001C101C" w:rsidP="001B22D4">
      <w:pPr>
        <w:widowControl/>
        <w:autoSpaceDE w:val="0"/>
        <w:autoSpaceDN w:val="0"/>
        <w:adjustRightInd w:val="0"/>
        <w:spacing w:line="360" w:lineRule="auto"/>
        <w:ind w:firstLine="1440"/>
        <w:rPr>
          <w:sz w:val="26"/>
        </w:rPr>
      </w:pPr>
      <w:r>
        <w:rPr>
          <w:sz w:val="26"/>
        </w:rPr>
        <w:t>With that</w:t>
      </w:r>
      <w:r w:rsidR="00903B3B">
        <w:rPr>
          <w:sz w:val="26"/>
        </w:rPr>
        <w:t xml:space="preserve">, the ALJ denied Alderwoods’ preliminary objection to the Commission’s jurisdiction of Alderwoods’ negligence counts, concluding that the case “will proceed to hearing with respect to Duquesne’s duty to provide reasonable service to [the Funeral Home]” </w:t>
      </w:r>
      <w:r w:rsidR="00BD1BDB">
        <w:rPr>
          <w:sz w:val="26"/>
        </w:rPr>
        <w:t xml:space="preserve">and that the Commission is “empowered to determine whether a public utility is providing safe, adequate, and reasonable service.” </w:t>
      </w:r>
      <w:r w:rsidR="00903B3B">
        <w:rPr>
          <w:sz w:val="26"/>
        </w:rPr>
        <w:t xml:space="preserve"> Order at 9.  </w:t>
      </w:r>
    </w:p>
    <w:p w:rsidR="00096A2C" w:rsidRDefault="00096A2C" w:rsidP="001B22D4">
      <w:pPr>
        <w:widowControl/>
        <w:autoSpaceDE w:val="0"/>
        <w:autoSpaceDN w:val="0"/>
        <w:adjustRightInd w:val="0"/>
        <w:spacing w:line="360" w:lineRule="auto"/>
        <w:ind w:firstLine="1440"/>
        <w:rPr>
          <w:sz w:val="26"/>
        </w:rPr>
      </w:pPr>
    </w:p>
    <w:p w:rsidR="000B3E16" w:rsidRDefault="00AD3895" w:rsidP="00E44628">
      <w:pPr>
        <w:pStyle w:val="Heading1"/>
      </w:pPr>
      <w:bookmarkStart w:id="8" w:name="_Toc462297972"/>
      <w:r>
        <w:t>V.</w:t>
      </w:r>
      <w:r>
        <w:tab/>
      </w:r>
      <w:r w:rsidR="000B3E16">
        <w:t>The Petition</w:t>
      </w:r>
      <w:r w:rsidR="00F74935">
        <w:t xml:space="preserve"> </w:t>
      </w:r>
      <w:r w:rsidR="00ED76FE">
        <w:t>f</w:t>
      </w:r>
      <w:r w:rsidR="00F74935">
        <w:t>or Interlocutory Review</w:t>
      </w:r>
      <w:bookmarkEnd w:id="8"/>
    </w:p>
    <w:p w:rsidR="000B3E16" w:rsidRDefault="000B3E16" w:rsidP="000B3E16">
      <w:pPr>
        <w:widowControl/>
        <w:spacing w:line="360" w:lineRule="auto"/>
        <w:rPr>
          <w:sz w:val="26"/>
        </w:rPr>
      </w:pPr>
    </w:p>
    <w:p w:rsidR="007E6A13" w:rsidRDefault="00113B89" w:rsidP="00113B89">
      <w:pPr>
        <w:widowControl/>
        <w:spacing w:line="360" w:lineRule="auto"/>
        <w:ind w:firstLine="1440"/>
        <w:rPr>
          <w:sz w:val="26"/>
        </w:rPr>
      </w:pPr>
      <w:r>
        <w:rPr>
          <w:sz w:val="26"/>
        </w:rPr>
        <w:t>Alderwoods raises two material questions for our interlocutory review.  First, Alderwoods questions whether, under the doctrine of primary jurisdiction, we have jurisdiction to determine liability to one utility customer where the allegation raised is negligent restoration to one customer on one occasion and the customer does not</w:t>
      </w:r>
      <w:r w:rsidR="007E6A13">
        <w:rPr>
          <w:sz w:val="26"/>
        </w:rPr>
        <w:t xml:space="preserve"> raise,</w:t>
      </w:r>
      <w:r>
        <w:rPr>
          <w:sz w:val="26"/>
        </w:rPr>
        <w:t xml:space="preserve"> and has never raised</w:t>
      </w:r>
      <w:r w:rsidR="007E6A13">
        <w:rPr>
          <w:sz w:val="26"/>
        </w:rPr>
        <w:t>,</w:t>
      </w:r>
      <w:r>
        <w:rPr>
          <w:sz w:val="26"/>
        </w:rPr>
        <w:t xml:space="preserve"> </w:t>
      </w:r>
      <w:r w:rsidR="007E6A13">
        <w:rPr>
          <w:sz w:val="26"/>
        </w:rPr>
        <w:t xml:space="preserve">whether the service violated the </w:t>
      </w:r>
      <w:r>
        <w:rPr>
          <w:sz w:val="26"/>
        </w:rPr>
        <w:t>reasonable and adequa</w:t>
      </w:r>
      <w:r w:rsidR="007E6A13">
        <w:rPr>
          <w:sz w:val="26"/>
        </w:rPr>
        <w:t xml:space="preserve">te service standard </w:t>
      </w:r>
      <w:r>
        <w:rPr>
          <w:sz w:val="26"/>
        </w:rPr>
        <w:t>under Section 1501 of the Code</w:t>
      </w:r>
      <w:r w:rsidR="007E6A13">
        <w:rPr>
          <w:sz w:val="26"/>
        </w:rPr>
        <w:t xml:space="preserve"> or any other statutory or regulatory standard</w:t>
      </w:r>
      <w:r>
        <w:rPr>
          <w:sz w:val="26"/>
        </w:rPr>
        <w:t xml:space="preserve">.  Second, Alderwoods </w:t>
      </w:r>
      <w:r w:rsidR="007E6A13">
        <w:rPr>
          <w:sz w:val="26"/>
        </w:rPr>
        <w:t>questions whether we may adjudicate a hypothetical question not involving a case or controversy but rather that has been raised by the ALJ.</w:t>
      </w:r>
    </w:p>
    <w:p w:rsidR="007E6A13" w:rsidRDefault="007E6A13" w:rsidP="00113B89">
      <w:pPr>
        <w:widowControl/>
        <w:spacing w:line="360" w:lineRule="auto"/>
        <w:ind w:firstLine="1440"/>
        <w:rPr>
          <w:sz w:val="26"/>
        </w:rPr>
      </w:pPr>
    </w:p>
    <w:p w:rsidR="001A6066" w:rsidRDefault="007E6A13" w:rsidP="001A6066">
      <w:pPr>
        <w:widowControl/>
        <w:spacing w:line="360" w:lineRule="auto"/>
        <w:ind w:firstLine="1440"/>
        <w:rPr>
          <w:sz w:val="26"/>
        </w:rPr>
      </w:pPr>
      <w:r>
        <w:rPr>
          <w:sz w:val="26"/>
        </w:rPr>
        <w:t xml:space="preserve">In support of the Petition, Alderwoods relies on the standards for primary jurisdiction set forth in </w:t>
      </w:r>
      <w:r w:rsidRPr="007E6A13">
        <w:rPr>
          <w:i/>
          <w:sz w:val="26"/>
        </w:rPr>
        <w:t>Poorbaugh</w:t>
      </w:r>
      <w:r>
        <w:rPr>
          <w:sz w:val="26"/>
        </w:rPr>
        <w:t xml:space="preserve">, </w:t>
      </w:r>
      <w:r w:rsidRPr="007E6A13">
        <w:rPr>
          <w:i/>
          <w:sz w:val="26"/>
        </w:rPr>
        <w:t>Elkin</w:t>
      </w:r>
      <w:r>
        <w:rPr>
          <w:sz w:val="26"/>
        </w:rPr>
        <w:t xml:space="preserve">, </w:t>
      </w:r>
      <w:r w:rsidRPr="007E6A13">
        <w:rPr>
          <w:i/>
          <w:sz w:val="26"/>
        </w:rPr>
        <w:t>DeFrancesco</w:t>
      </w:r>
      <w:r>
        <w:rPr>
          <w:sz w:val="26"/>
        </w:rPr>
        <w:t xml:space="preserve">, </w:t>
      </w:r>
      <w:r w:rsidRPr="007E6A13">
        <w:rPr>
          <w:i/>
          <w:sz w:val="26"/>
        </w:rPr>
        <w:t>Schriner</w:t>
      </w:r>
      <w:r>
        <w:rPr>
          <w:sz w:val="26"/>
        </w:rPr>
        <w:t xml:space="preserve">, and </w:t>
      </w:r>
      <w:r w:rsidRPr="007E6A13">
        <w:rPr>
          <w:i/>
          <w:sz w:val="26"/>
        </w:rPr>
        <w:t>Williamson</w:t>
      </w:r>
      <w:r>
        <w:rPr>
          <w:sz w:val="26"/>
        </w:rPr>
        <w:t xml:space="preserve">.  </w:t>
      </w:r>
      <w:r w:rsidR="001A6066">
        <w:rPr>
          <w:sz w:val="26"/>
        </w:rPr>
        <w:t xml:space="preserve">Petition at 3.  </w:t>
      </w:r>
      <w:r>
        <w:rPr>
          <w:sz w:val="26"/>
        </w:rPr>
        <w:t>Further, argue</w:t>
      </w:r>
      <w:r w:rsidR="00FA2748">
        <w:rPr>
          <w:sz w:val="26"/>
        </w:rPr>
        <w:t>s</w:t>
      </w:r>
      <w:r>
        <w:rPr>
          <w:sz w:val="26"/>
        </w:rPr>
        <w:t xml:space="preserve"> Alderwoods, by restating </w:t>
      </w:r>
      <w:r w:rsidR="00C44D03">
        <w:rPr>
          <w:sz w:val="26"/>
        </w:rPr>
        <w:t xml:space="preserve">the </w:t>
      </w:r>
      <w:r>
        <w:rPr>
          <w:sz w:val="26"/>
        </w:rPr>
        <w:t>claim</w:t>
      </w:r>
      <w:r w:rsidR="00C44D03">
        <w:rPr>
          <w:sz w:val="26"/>
        </w:rPr>
        <w:t xml:space="preserve"> presented in the Complaint</w:t>
      </w:r>
      <w:r>
        <w:rPr>
          <w:sz w:val="26"/>
        </w:rPr>
        <w:t xml:space="preserve">, the ALJ “transformed” the case into one that </w:t>
      </w:r>
      <w:r w:rsidR="001A6066">
        <w:rPr>
          <w:sz w:val="26"/>
        </w:rPr>
        <w:t>“seeks to resolve a hypothetical question, contrary to the fundamental precept that only actual cases or controversies may be adjudicated, thus depriving [Alderwoods] a stake in the outcome.</w:t>
      </w:r>
      <w:r w:rsidR="00FA2748">
        <w:rPr>
          <w:sz w:val="26"/>
        </w:rPr>
        <w:t>”</w:t>
      </w:r>
      <w:r w:rsidR="001A6066">
        <w:rPr>
          <w:sz w:val="26"/>
        </w:rPr>
        <w:t xml:space="preserve">  </w:t>
      </w:r>
      <w:r w:rsidR="001A6066">
        <w:rPr>
          <w:i/>
          <w:sz w:val="26"/>
        </w:rPr>
        <w:t>Id.</w:t>
      </w:r>
    </w:p>
    <w:p w:rsidR="000B3E16" w:rsidRPr="001A6066" w:rsidRDefault="00701BDC" w:rsidP="001A6066">
      <w:pPr>
        <w:widowControl/>
        <w:spacing w:line="360" w:lineRule="auto"/>
        <w:ind w:firstLine="1440"/>
        <w:rPr>
          <w:i/>
          <w:sz w:val="26"/>
        </w:rPr>
      </w:pPr>
      <w:r>
        <w:rPr>
          <w:sz w:val="26"/>
        </w:rPr>
        <w:lastRenderedPageBreak/>
        <w:t>A</w:t>
      </w:r>
      <w:r w:rsidR="00FA2748">
        <w:rPr>
          <w:sz w:val="26"/>
        </w:rPr>
        <w:t>ddressing</w:t>
      </w:r>
      <w:r w:rsidR="001A6066">
        <w:rPr>
          <w:sz w:val="26"/>
        </w:rPr>
        <w:t xml:space="preserve"> the standard for interlocutory review, Alderwoods contends that while delay is not typically grounds for prejudice, in this case the delay has been “extraordinary” </w:t>
      </w:r>
      <w:r w:rsidR="00243296">
        <w:rPr>
          <w:sz w:val="26"/>
        </w:rPr>
        <w:t>because the case is “ancient.”</w:t>
      </w:r>
      <w:r w:rsidR="001A6066">
        <w:rPr>
          <w:sz w:val="26"/>
        </w:rPr>
        <w:t xml:space="preserve">  </w:t>
      </w:r>
      <w:r w:rsidR="00243296">
        <w:rPr>
          <w:i/>
          <w:sz w:val="26"/>
        </w:rPr>
        <w:t>Id.</w:t>
      </w:r>
      <w:r w:rsidR="00243296">
        <w:rPr>
          <w:sz w:val="26"/>
        </w:rPr>
        <w:t xml:space="preserve">  </w:t>
      </w:r>
      <w:r w:rsidR="001A6066">
        <w:rPr>
          <w:sz w:val="26"/>
        </w:rPr>
        <w:t>Alderwoods also assert</w:t>
      </w:r>
      <w:r w:rsidR="00FA2748">
        <w:rPr>
          <w:sz w:val="26"/>
        </w:rPr>
        <w:t>s</w:t>
      </w:r>
      <w:r w:rsidR="001A6066">
        <w:rPr>
          <w:sz w:val="26"/>
        </w:rPr>
        <w:t xml:space="preserve"> that in light of the Commonwealth Court’s reversal of the trial court’s bifurcation of a negligent restoration action in </w:t>
      </w:r>
      <w:r w:rsidR="001A6066">
        <w:rPr>
          <w:i/>
          <w:sz w:val="26"/>
        </w:rPr>
        <w:t>Poorbaugh</w:t>
      </w:r>
      <w:r w:rsidR="001A6066">
        <w:rPr>
          <w:sz w:val="26"/>
        </w:rPr>
        <w:t>, interlocutory review would expedite final resolution of the matter</w:t>
      </w:r>
      <w:r w:rsidR="00243296">
        <w:rPr>
          <w:sz w:val="26"/>
        </w:rPr>
        <w:t xml:space="preserve"> and prevent the passage of substantial additional time and effort</w:t>
      </w:r>
      <w:r w:rsidR="001A6066">
        <w:rPr>
          <w:sz w:val="26"/>
        </w:rPr>
        <w:t>.</w:t>
      </w:r>
    </w:p>
    <w:p w:rsidR="00113B89" w:rsidRDefault="00113B89" w:rsidP="00113B89">
      <w:pPr>
        <w:widowControl/>
        <w:spacing w:line="360" w:lineRule="auto"/>
        <w:ind w:firstLine="1440"/>
        <w:rPr>
          <w:sz w:val="26"/>
        </w:rPr>
      </w:pPr>
    </w:p>
    <w:p w:rsidR="000B3E16" w:rsidRPr="000B3E16" w:rsidRDefault="00AD3895" w:rsidP="00E44628">
      <w:pPr>
        <w:pStyle w:val="Heading1"/>
        <w:keepNext/>
      </w:pPr>
      <w:bookmarkStart w:id="9" w:name="_Toc462297973"/>
      <w:r>
        <w:t>VI.</w:t>
      </w:r>
      <w:r>
        <w:tab/>
      </w:r>
      <w:r w:rsidR="000B3E16">
        <w:t>Discussion</w:t>
      </w:r>
      <w:bookmarkEnd w:id="9"/>
    </w:p>
    <w:p w:rsidR="000B3E16" w:rsidRPr="000B3E16" w:rsidRDefault="000B3E16" w:rsidP="00E44628">
      <w:pPr>
        <w:keepNext/>
        <w:widowControl/>
        <w:spacing w:line="360" w:lineRule="auto"/>
        <w:rPr>
          <w:b/>
          <w:sz w:val="26"/>
        </w:rPr>
      </w:pPr>
    </w:p>
    <w:p w:rsidR="00A27BD8" w:rsidRDefault="00AD3895" w:rsidP="00E44628">
      <w:pPr>
        <w:pStyle w:val="Heading2"/>
        <w:keepNext/>
      </w:pPr>
      <w:bookmarkStart w:id="10" w:name="_Toc462297974"/>
      <w:r>
        <w:t>A.</w:t>
      </w:r>
      <w:r>
        <w:tab/>
      </w:r>
      <w:r w:rsidR="00A27BD8" w:rsidRPr="00A27BD8">
        <w:t>Legal Standard</w:t>
      </w:r>
      <w:bookmarkEnd w:id="10"/>
      <w:r w:rsidR="00A27BD8" w:rsidRPr="00A27BD8">
        <w:t xml:space="preserve"> </w:t>
      </w:r>
    </w:p>
    <w:p w:rsidR="00B967AF" w:rsidRPr="00A27BD8" w:rsidRDefault="00B967AF" w:rsidP="00E44628">
      <w:pPr>
        <w:keepNext/>
        <w:widowControl/>
        <w:spacing w:line="360" w:lineRule="auto"/>
        <w:rPr>
          <w:b/>
          <w:sz w:val="26"/>
          <w:szCs w:val="26"/>
        </w:rPr>
      </w:pPr>
    </w:p>
    <w:p w:rsidR="007B4D28" w:rsidRPr="007B4D28" w:rsidRDefault="007B4D28" w:rsidP="007B4D28">
      <w:pPr>
        <w:widowControl/>
        <w:spacing w:line="360" w:lineRule="auto"/>
        <w:rPr>
          <w:sz w:val="26"/>
          <w:szCs w:val="26"/>
        </w:rPr>
      </w:pPr>
      <w:r>
        <w:rPr>
          <w:sz w:val="26"/>
          <w:szCs w:val="26"/>
        </w:rPr>
        <w:tab/>
      </w:r>
      <w:r>
        <w:rPr>
          <w:sz w:val="26"/>
          <w:szCs w:val="26"/>
        </w:rPr>
        <w:tab/>
      </w:r>
      <w:r w:rsidRPr="007B4D28">
        <w:rPr>
          <w:sz w:val="26"/>
          <w:szCs w:val="26"/>
        </w:rPr>
        <w:t xml:space="preserve">We begin our discussion by addressing whether </w:t>
      </w:r>
      <w:r w:rsidR="006656AA">
        <w:rPr>
          <w:sz w:val="26"/>
          <w:szCs w:val="26"/>
        </w:rPr>
        <w:t>Alderwood</w:t>
      </w:r>
      <w:r w:rsidRPr="007B4D28">
        <w:rPr>
          <w:sz w:val="26"/>
          <w:szCs w:val="26"/>
        </w:rPr>
        <w:t xml:space="preserve">’s Petition meets the standards for interlocutory review.  </w:t>
      </w:r>
      <w:r w:rsidRPr="007B4D28">
        <w:rPr>
          <w:sz w:val="26"/>
          <w:szCs w:val="24"/>
        </w:rPr>
        <w:t xml:space="preserve">During the course of a proceeding and pursuant to the provisions of 52 Pa. Code § 5.302, a party may seek interlocutory review and answer to a material question which has arisen or is likely to arise.  The standards for interlocutory review are well established.  Section 5.302 of our Regulations, 52 Pa. Code § 5.302, requires that the petition “state . . . the compelling reasons why interlocutory review will prevent substantial prejudice or expedite the conduct of the proceeding.”  The pertinent consideration is whether interlocutory review is necessary in order to prevent substantial prejudice that is, the error and any prejudice flowing therefrom could not be satisfactorily cured during the normal Commission review process.  </w:t>
      </w:r>
      <w:r w:rsidRPr="007B4D28">
        <w:rPr>
          <w:bCs/>
          <w:i/>
          <w:iCs/>
          <w:sz w:val="26"/>
          <w:szCs w:val="26"/>
        </w:rPr>
        <w:t>Joint Application of Bell Atlantic Corp. and GTE Corp.,</w:t>
      </w:r>
      <w:r w:rsidRPr="007B4D28">
        <w:rPr>
          <w:bCs/>
          <w:sz w:val="26"/>
          <w:szCs w:val="26"/>
        </w:rPr>
        <w:t xml:space="preserve"> Docket No. A-310200F0002, </w:t>
      </w:r>
      <w:r w:rsidRPr="007B4D28">
        <w:rPr>
          <w:bCs/>
          <w:i/>
          <w:iCs/>
          <w:sz w:val="26"/>
          <w:szCs w:val="26"/>
        </w:rPr>
        <w:t>et al.</w:t>
      </w:r>
      <w:r w:rsidRPr="007B4D28">
        <w:rPr>
          <w:bCs/>
          <w:sz w:val="26"/>
          <w:szCs w:val="26"/>
        </w:rPr>
        <w:t xml:space="preserve"> (Order entered June 10, 1999)</w:t>
      </w:r>
      <w:r w:rsidR="001165BA">
        <w:rPr>
          <w:bCs/>
          <w:sz w:val="26"/>
          <w:szCs w:val="26"/>
        </w:rPr>
        <w:t xml:space="preserve"> (</w:t>
      </w:r>
      <w:r w:rsidR="001165BA" w:rsidRPr="001165BA">
        <w:rPr>
          <w:bCs/>
          <w:i/>
          <w:sz w:val="26"/>
          <w:szCs w:val="26"/>
        </w:rPr>
        <w:t>Bell Atlantic</w:t>
      </w:r>
      <w:r w:rsidR="001165BA">
        <w:rPr>
          <w:bCs/>
          <w:sz w:val="26"/>
          <w:szCs w:val="26"/>
        </w:rPr>
        <w:t>)</w:t>
      </w:r>
      <w:r w:rsidRPr="007B4D28">
        <w:rPr>
          <w:bCs/>
          <w:sz w:val="26"/>
          <w:szCs w:val="26"/>
        </w:rPr>
        <w:t xml:space="preserve">; </w:t>
      </w:r>
      <w:r w:rsidRPr="007B4D28">
        <w:rPr>
          <w:bCs/>
          <w:i/>
          <w:iCs/>
          <w:sz w:val="26"/>
          <w:szCs w:val="26"/>
        </w:rPr>
        <w:t>Pa. PUC v. Frontier Communications of Pa. Inc.,</w:t>
      </w:r>
      <w:r w:rsidRPr="007B4D28">
        <w:rPr>
          <w:bCs/>
          <w:sz w:val="26"/>
          <w:szCs w:val="26"/>
        </w:rPr>
        <w:t xml:space="preserve"> Docket No. R</w:t>
      </w:r>
      <w:r w:rsidRPr="007B4D28">
        <w:rPr>
          <w:bCs/>
          <w:sz w:val="26"/>
          <w:szCs w:val="26"/>
        </w:rPr>
        <w:noBreakHyphen/>
        <w:t>00984411 (Order entered February 11, 1999)</w:t>
      </w:r>
      <w:r w:rsidR="001165BA">
        <w:rPr>
          <w:bCs/>
          <w:sz w:val="26"/>
          <w:szCs w:val="26"/>
        </w:rPr>
        <w:t xml:space="preserve"> (</w:t>
      </w:r>
      <w:r w:rsidR="001165BA" w:rsidRPr="007B4D28">
        <w:rPr>
          <w:bCs/>
          <w:i/>
          <w:iCs/>
          <w:sz w:val="26"/>
          <w:szCs w:val="26"/>
        </w:rPr>
        <w:t>Frontier Communications</w:t>
      </w:r>
      <w:r w:rsidR="001165BA">
        <w:rPr>
          <w:bCs/>
          <w:iCs/>
          <w:sz w:val="26"/>
          <w:szCs w:val="26"/>
        </w:rPr>
        <w:t>)</w:t>
      </w:r>
      <w:r w:rsidRPr="007B4D28">
        <w:rPr>
          <w:bCs/>
          <w:sz w:val="26"/>
          <w:szCs w:val="26"/>
        </w:rPr>
        <w:t xml:space="preserve">; </w:t>
      </w:r>
      <w:r w:rsidRPr="007B4D28">
        <w:rPr>
          <w:bCs/>
          <w:i/>
          <w:sz w:val="26"/>
          <w:szCs w:val="26"/>
        </w:rPr>
        <w:t>In</w:t>
      </w:r>
      <w:r w:rsidRPr="007B4D28">
        <w:rPr>
          <w:bCs/>
          <w:sz w:val="26"/>
          <w:szCs w:val="26"/>
        </w:rPr>
        <w:t xml:space="preserve"> </w:t>
      </w:r>
      <w:r w:rsidRPr="007B4D28">
        <w:rPr>
          <w:bCs/>
          <w:i/>
          <w:sz w:val="26"/>
          <w:szCs w:val="26"/>
        </w:rPr>
        <w:t>r</w:t>
      </w:r>
      <w:r w:rsidRPr="007B4D28">
        <w:rPr>
          <w:i/>
          <w:sz w:val="26"/>
          <w:szCs w:val="24"/>
        </w:rPr>
        <w:t>e: Knights Limousine Service, Inc</w:t>
      </w:r>
      <w:r w:rsidRPr="007B4D28">
        <w:rPr>
          <w:sz w:val="26"/>
          <w:szCs w:val="24"/>
        </w:rPr>
        <w:t>., 59 Pa. P.U.C. 538 (1985)</w:t>
      </w:r>
      <w:r w:rsidR="001165BA">
        <w:rPr>
          <w:sz w:val="26"/>
          <w:szCs w:val="24"/>
        </w:rPr>
        <w:t xml:space="preserve"> (</w:t>
      </w:r>
      <w:r w:rsidR="001165BA" w:rsidRPr="007B4D28">
        <w:rPr>
          <w:i/>
          <w:sz w:val="26"/>
          <w:szCs w:val="24"/>
        </w:rPr>
        <w:t>Knights Limousine Service</w:t>
      </w:r>
      <w:r w:rsidR="001165BA">
        <w:rPr>
          <w:sz w:val="26"/>
          <w:szCs w:val="24"/>
        </w:rPr>
        <w:t>)</w:t>
      </w:r>
      <w:r w:rsidRPr="007B4D28">
        <w:rPr>
          <w:sz w:val="26"/>
          <w:szCs w:val="24"/>
        </w:rPr>
        <w:t xml:space="preserve">.  </w:t>
      </w:r>
    </w:p>
    <w:p w:rsidR="007B4D28" w:rsidRPr="007B4D28" w:rsidRDefault="007B4D28" w:rsidP="007B4D28">
      <w:pPr>
        <w:widowControl/>
        <w:spacing w:line="360" w:lineRule="auto"/>
        <w:rPr>
          <w:sz w:val="26"/>
          <w:szCs w:val="24"/>
        </w:rPr>
      </w:pPr>
    </w:p>
    <w:p w:rsidR="007B4D28" w:rsidRPr="007B4D28" w:rsidRDefault="007B4D28" w:rsidP="007B4D28">
      <w:pPr>
        <w:widowControl/>
        <w:spacing w:line="360" w:lineRule="auto"/>
        <w:ind w:firstLine="1440"/>
        <w:rPr>
          <w:sz w:val="26"/>
          <w:szCs w:val="24"/>
        </w:rPr>
      </w:pPr>
      <w:r w:rsidRPr="007B4D28">
        <w:rPr>
          <w:sz w:val="26"/>
          <w:szCs w:val="24"/>
        </w:rPr>
        <w:t>Pursuant to 52 Pa. Code § 5.303, the Commission may take one of the following courses of action on requests for interlocutory review and answer to a material question:</w:t>
      </w:r>
    </w:p>
    <w:p w:rsidR="007B4D28" w:rsidRPr="007B4D28" w:rsidRDefault="007B4D28" w:rsidP="007B4D28">
      <w:pPr>
        <w:widowControl/>
        <w:spacing w:line="360" w:lineRule="auto"/>
        <w:ind w:left="1440" w:right="1440" w:firstLine="1440"/>
        <w:rPr>
          <w:sz w:val="26"/>
          <w:szCs w:val="24"/>
        </w:rPr>
      </w:pPr>
    </w:p>
    <w:p w:rsidR="007B4D28" w:rsidRPr="007B4D28" w:rsidRDefault="007B4D28" w:rsidP="007B4D28">
      <w:pPr>
        <w:widowControl/>
        <w:ind w:left="2160" w:right="1440" w:hanging="720"/>
        <w:rPr>
          <w:sz w:val="26"/>
          <w:szCs w:val="24"/>
        </w:rPr>
      </w:pPr>
      <w:r w:rsidRPr="007B4D28">
        <w:rPr>
          <w:sz w:val="26"/>
          <w:szCs w:val="24"/>
        </w:rPr>
        <w:t>(1)</w:t>
      </w:r>
      <w:r w:rsidRPr="007B4D28">
        <w:rPr>
          <w:sz w:val="26"/>
          <w:szCs w:val="24"/>
        </w:rPr>
        <w:tab/>
        <w:t>Continue, revoke or grant a stay of proceedings if necessary to protect the substantial rights of the parties.</w:t>
      </w:r>
    </w:p>
    <w:p w:rsidR="007B4D28" w:rsidRPr="007B4D28" w:rsidRDefault="007B4D28" w:rsidP="007B4D28">
      <w:pPr>
        <w:widowControl/>
        <w:ind w:left="2160" w:right="1440" w:hanging="720"/>
        <w:rPr>
          <w:sz w:val="26"/>
          <w:szCs w:val="24"/>
        </w:rPr>
      </w:pPr>
    </w:p>
    <w:p w:rsidR="007B4D28" w:rsidRPr="007B4D28" w:rsidRDefault="007B4D28" w:rsidP="007B4D28">
      <w:pPr>
        <w:widowControl/>
        <w:ind w:left="2160" w:right="1440" w:hanging="720"/>
        <w:rPr>
          <w:sz w:val="26"/>
          <w:szCs w:val="24"/>
        </w:rPr>
      </w:pPr>
      <w:r w:rsidRPr="007B4D28">
        <w:rPr>
          <w:sz w:val="26"/>
          <w:szCs w:val="24"/>
        </w:rPr>
        <w:t>(2)</w:t>
      </w:r>
      <w:r w:rsidRPr="007B4D28">
        <w:rPr>
          <w:sz w:val="26"/>
          <w:szCs w:val="24"/>
        </w:rPr>
        <w:tab/>
        <w:t>Determine that the petition was improper and return the matter to the presiding officer.</w:t>
      </w:r>
    </w:p>
    <w:p w:rsidR="007B4D28" w:rsidRPr="007B4D28" w:rsidRDefault="007B4D28" w:rsidP="007B4D28">
      <w:pPr>
        <w:widowControl/>
        <w:ind w:left="2160" w:hanging="720"/>
        <w:rPr>
          <w:sz w:val="26"/>
          <w:szCs w:val="24"/>
        </w:rPr>
      </w:pPr>
    </w:p>
    <w:p w:rsidR="007B4D28" w:rsidRPr="007B4D28" w:rsidRDefault="007B4D28" w:rsidP="007B4D28">
      <w:pPr>
        <w:widowControl/>
        <w:ind w:left="2160" w:right="1440" w:hanging="720"/>
        <w:rPr>
          <w:sz w:val="26"/>
          <w:szCs w:val="24"/>
        </w:rPr>
      </w:pPr>
      <w:r w:rsidRPr="007B4D28">
        <w:rPr>
          <w:sz w:val="26"/>
          <w:szCs w:val="24"/>
        </w:rPr>
        <w:t>(3)</w:t>
      </w:r>
      <w:r w:rsidRPr="007B4D28">
        <w:rPr>
          <w:sz w:val="26"/>
          <w:szCs w:val="24"/>
        </w:rPr>
        <w:tab/>
        <w:t>Decline to answer the question.</w:t>
      </w:r>
    </w:p>
    <w:p w:rsidR="007B4D28" w:rsidRPr="007B4D28" w:rsidRDefault="007B4D28" w:rsidP="007B4D28">
      <w:pPr>
        <w:widowControl/>
        <w:ind w:left="2160" w:right="1440" w:hanging="720"/>
        <w:rPr>
          <w:sz w:val="26"/>
          <w:szCs w:val="24"/>
        </w:rPr>
      </w:pPr>
    </w:p>
    <w:p w:rsidR="007B4D28" w:rsidRPr="007B4D28" w:rsidRDefault="007B4D28" w:rsidP="007B4D28">
      <w:pPr>
        <w:widowControl/>
        <w:ind w:left="2160" w:right="1440" w:hanging="720"/>
        <w:rPr>
          <w:sz w:val="26"/>
          <w:szCs w:val="24"/>
        </w:rPr>
      </w:pPr>
      <w:r w:rsidRPr="007B4D28">
        <w:rPr>
          <w:sz w:val="26"/>
          <w:szCs w:val="24"/>
        </w:rPr>
        <w:t>(4)</w:t>
      </w:r>
      <w:r w:rsidRPr="007B4D28">
        <w:rPr>
          <w:sz w:val="26"/>
          <w:szCs w:val="24"/>
        </w:rPr>
        <w:tab/>
        <w:t>Answer the question.</w:t>
      </w:r>
    </w:p>
    <w:p w:rsidR="007B4D28" w:rsidRPr="007B4D28" w:rsidRDefault="007B4D28" w:rsidP="007B4D28">
      <w:pPr>
        <w:widowControl/>
        <w:spacing w:line="360" w:lineRule="auto"/>
        <w:ind w:left="2160" w:right="1440" w:hanging="720"/>
        <w:rPr>
          <w:sz w:val="26"/>
          <w:szCs w:val="24"/>
        </w:rPr>
      </w:pPr>
    </w:p>
    <w:p w:rsidR="007B4D28" w:rsidRPr="007B4D28" w:rsidRDefault="007B4D28" w:rsidP="007B4D28">
      <w:pPr>
        <w:widowControl/>
        <w:spacing w:line="360" w:lineRule="auto"/>
        <w:rPr>
          <w:sz w:val="26"/>
          <w:szCs w:val="24"/>
        </w:rPr>
      </w:pPr>
      <w:r w:rsidRPr="007B4D28">
        <w:rPr>
          <w:sz w:val="26"/>
          <w:szCs w:val="24"/>
        </w:rPr>
        <w:t xml:space="preserve">Generally, Petitions for Interlocutory Review are not favored, as the preferred approach is to permit proceedings to move forward in the normal course in order to provide all parties, the presiding officer, and the Commission with a full opportunity to develop the record, brief issues, and present arguments at each stage.  </w:t>
      </w:r>
      <w:r w:rsidRPr="007B4D28">
        <w:rPr>
          <w:i/>
          <w:sz w:val="26"/>
          <w:szCs w:val="24"/>
        </w:rPr>
        <w:t>Re:  Philadelphia Gas Works Universal Service and Energy Conservation Plan</w:t>
      </w:r>
      <w:r w:rsidRPr="007B4D28">
        <w:rPr>
          <w:sz w:val="26"/>
          <w:szCs w:val="24"/>
        </w:rPr>
        <w:t>, Docket No. M-00072021 (Order entered October 23, 2009), at 3.</w:t>
      </w:r>
    </w:p>
    <w:p w:rsidR="007B4D28" w:rsidRPr="007B4D28" w:rsidRDefault="007B4D28" w:rsidP="007B4D28">
      <w:pPr>
        <w:widowControl/>
        <w:spacing w:line="360" w:lineRule="auto"/>
        <w:rPr>
          <w:sz w:val="26"/>
          <w:szCs w:val="24"/>
        </w:rPr>
      </w:pPr>
    </w:p>
    <w:p w:rsidR="007B4D28" w:rsidRPr="007B4D28" w:rsidRDefault="007B4D28" w:rsidP="007B4D28">
      <w:pPr>
        <w:widowControl/>
        <w:spacing w:line="360" w:lineRule="auto"/>
        <w:ind w:firstLine="1440"/>
        <w:rPr>
          <w:sz w:val="26"/>
          <w:szCs w:val="26"/>
        </w:rPr>
      </w:pPr>
      <w:r w:rsidRPr="007B4D28">
        <w:rPr>
          <w:sz w:val="26"/>
          <w:szCs w:val="26"/>
        </w:rPr>
        <w:t xml:space="preserve">The interlocutory review standard has also been interpreted in </w:t>
      </w:r>
      <w:r w:rsidRPr="007B4D28">
        <w:rPr>
          <w:i/>
          <w:sz w:val="26"/>
          <w:szCs w:val="26"/>
        </w:rPr>
        <w:t>Knights Limousine Service</w:t>
      </w:r>
      <w:r w:rsidRPr="007B4D28">
        <w:rPr>
          <w:sz w:val="26"/>
          <w:szCs w:val="26"/>
        </w:rPr>
        <w:t xml:space="preserve">, where the Commission stated that it does not routinely grant interlocutory review except upon a showing by the petitioner of extraordinary circumstances or compelling reasons.  The Commission has determined that such a showing may be accomplished by a petitioner by its proving that, without such interlocutory review, some harm would result which would not be reparable through normal avenues, that the relief sought should be granted now, rather than later, and that granting interlocutory review would prevent substantial prejudice or expedite the proceeding.  </w:t>
      </w:r>
      <w:r w:rsidRPr="007B4D28">
        <w:rPr>
          <w:i/>
          <w:sz w:val="26"/>
          <w:szCs w:val="26"/>
        </w:rPr>
        <w:t>Pa. PUC v. Philadelphia Gas Works</w:t>
      </w:r>
      <w:r w:rsidRPr="007B4D28">
        <w:rPr>
          <w:sz w:val="26"/>
          <w:szCs w:val="26"/>
        </w:rPr>
        <w:t>, Docket Nos. P-2009-2097639 and R-2009-2139884 (Order entered April 15, 2010).</w:t>
      </w:r>
    </w:p>
    <w:p w:rsidR="00C868A9" w:rsidRPr="00C868A9" w:rsidRDefault="00AD3895" w:rsidP="00E44628">
      <w:pPr>
        <w:pStyle w:val="Heading2"/>
        <w:keepNext/>
      </w:pPr>
      <w:bookmarkStart w:id="11" w:name="_Toc462297975"/>
      <w:r>
        <w:lastRenderedPageBreak/>
        <w:t>B.</w:t>
      </w:r>
      <w:r>
        <w:tab/>
      </w:r>
      <w:r w:rsidR="00345453">
        <w:t xml:space="preserve">The Parties’ Briefs </w:t>
      </w:r>
      <w:r w:rsidR="00F74935">
        <w:t>on Interlocutory Review</w:t>
      </w:r>
      <w:bookmarkEnd w:id="11"/>
    </w:p>
    <w:p w:rsidR="00C868A9" w:rsidRPr="00C868A9" w:rsidRDefault="00C868A9" w:rsidP="00E44628">
      <w:pPr>
        <w:keepNext/>
        <w:widowControl/>
        <w:spacing w:line="360" w:lineRule="auto"/>
        <w:rPr>
          <w:b/>
          <w:sz w:val="26"/>
          <w:szCs w:val="26"/>
        </w:rPr>
      </w:pPr>
    </w:p>
    <w:p w:rsidR="00C868A9" w:rsidRPr="000D6208" w:rsidRDefault="00AD3895" w:rsidP="00E44628">
      <w:pPr>
        <w:pStyle w:val="Heading3"/>
      </w:pPr>
      <w:r w:rsidRPr="000D6208">
        <w:tab/>
      </w:r>
      <w:r w:rsidRPr="000D6208">
        <w:tab/>
      </w:r>
      <w:bookmarkStart w:id="12" w:name="_Toc462297976"/>
      <w:r w:rsidRPr="000D6208">
        <w:t>1.</w:t>
      </w:r>
      <w:r w:rsidR="00C868A9" w:rsidRPr="000D6208">
        <w:tab/>
        <w:t>Alderwoods’ Brief</w:t>
      </w:r>
      <w:bookmarkEnd w:id="12"/>
    </w:p>
    <w:p w:rsidR="00C868A9" w:rsidRDefault="00C868A9" w:rsidP="00E44628">
      <w:pPr>
        <w:keepNext/>
        <w:widowControl/>
        <w:spacing w:line="360" w:lineRule="auto"/>
        <w:rPr>
          <w:sz w:val="26"/>
          <w:szCs w:val="26"/>
        </w:rPr>
      </w:pPr>
    </w:p>
    <w:p w:rsidR="00CB59AD" w:rsidRDefault="00243296" w:rsidP="00243296">
      <w:pPr>
        <w:widowControl/>
        <w:spacing w:line="360" w:lineRule="auto"/>
        <w:ind w:firstLine="1440"/>
        <w:rPr>
          <w:sz w:val="26"/>
          <w:szCs w:val="26"/>
        </w:rPr>
      </w:pPr>
      <w:r>
        <w:rPr>
          <w:sz w:val="26"/>
          <w:szCs w:val="26"/>
        </w:rPr>
        <w:t xml:space="preserve">Alderwoods contends that the ALJ’s opinion “largely skirted meaningful discussion of the doctrine of primary jurisdiction as applied to this case” and never even mentioned </w:t>
      </w:r>
      <w:r>
        <w:rPr>
          <w:i/>
          <w:sz w:val="26"/>
          <w:szCs w:val="26"/>
        </w:rPr>
        <w:t>Poorbaugh</w:t>
      </w:r>
      <w:r>
        <w:rPr>
          <w:sz w:val="26"/>
          <w:szCs w:val="26"/>
        </w:rPr>
        <w:t xml:space="preserve">, a case </w:t>
      </w:r>
      <w:r w:rsidR="00CB59AD">
        <w:rPr>
          <w:sz w:val="26"/>
          <w:szCs w:val="26"/>
        </w:rPr>
        <w:t xml:space="preserve">Alderwoods briefed extensively in its Preliminary Objection as “strikingly on-point legally and factually[.]”  Alderwoods Brief in Support of Petition (Alderwoods Brief) at 1.  </w:t>
      </w:r>
    </w:p>
    <w:p w:rsidR="00CB59AD" w:rsidRDefault="00CB59AD" w:rsidP="00243296">
      <w:pPr>
        <w:widowControl/>
        <w:spacing w:line="360" w:lineRule="auto"/>
        <w:ind w:firstLine="1440"/>
        <w:rPr>
          <w:sz w:val="26"/>
          <w:szCs w:val="26"/>
        </w:rPr>
      </w:pPr>
    </w:p>
    <w:p w:rsidR="00CB59AD" w:rsidRDefault="00006728" w:rsidP="00243296">
      <w:pPr>
        <w:widowControl/>
        <w:spacing w:line="360" w:lineRule="auto"/>
        <w:ind w:firstLine="1440"/>
        <w:rPr>
          <w:sz w:val="26"/>
          <w:szCs w:val="26"/>
        </w:rPr>
      </w:pPr>
      <w:r>
        <w:rPr>
          <w:sz w:val="26"/>
          <w:szCs w:val="26"/>
        </w:rPr>
        <w:t xml:space="preserve">Referring to </w:t>
      </w:r>
      <w:r>
        <w:rPr>
          <w:i/>
          <w:sz w:val="26"/>
          <w:szCs w:val="26"/>
        </w:rPr>
        <w:t>Alderwoods 2014</w:t>
      </w:r>
      <w:r>
        <w:rPr>
          <w:sz w:val="26"/>
          <w:szCs w:val="26"/>
        </w:rPr>
        <w:t xml:space="preserve">, </w:t>
      </w:r>
      <w:r w:rsidR="00FA2748">
        <w:rPr>
          <w:sz w:val="26"/>
          <w:szCs w:val="26"/>
        </w:rPr>
        <w:t>Alderwoods</w:t>
      </w:r>
      <w:r>
        <w:rPr>
          <w:sz w:val="26"/>
          <w:szCs w:val="26"/>
        </w:rPr>
        <w:t xml:space="preserve"> </w:t>
      </w:r>
      <w:r w:rsidR="00F16F7D">
        <w:rPr>
          <w:sz w:val="26"/>
          <w:szCs w:val="26"/>
        </w:rPr>
        <w:t>asserts</w:t>
      </w:r>
      <w:r>
        <w:rPr>
          <w:sz w:val="26"/>
          <w:szCs w:val="26"/>
        </w:rPr>
        <w:t xml:space="preserve"> that while the Supreme Court did not address bifurcation because it was not properly before the Court, the Court did</w:t>
      </w:r>
      <w:r w:rsidR="00C44D03">
        <w:rPr>
          <w:sz w:val="26"/>
          <w:szCs w:val="26"/>
        </w:rPr>
        <w:t xml:space="preserve"> state</w:t>
      </w:r>
      <w:r>
        <w:rPr>
          <w:sz w:val="26"/>
          <w:szCs w:val="26"/>
        </w:rPr>
        <w:t xml:space="preserve"> that </w:t>
      </w:r>
      <w:r w:rsidR="00A848DB">
        <w:rPr>
          <w:sz w:val="26"/>
          <w:szCs w:val="26"/>
        </w:rPr>
        <w:t xml:space="preserve">Justice Eakin’s dissent, raising </w:t>
      </w:r>
      <w:r>
        <w:rPr>
          <w:sz w:val="26"/>
          <w:szCs w:val="26"/>
        </w:rPr>
        <w:t>inquiries about what actions Duquesne may have taken that would have been considered reasonable under the circumstances</w:t>
      </w:r>
      <w:r w:rsidR="00A848DB">
        <w:rPr>
          <w:sz w:val="26"/>
          <w:szCs w:val="26"/>
        </w:rPr>
        <w:t>,</w:t>
      </w:r>
      <w:r>
        <w:rPr>
          <w:sz w:val="26"/>
          <w:szCs w:val="26"/>
        </w:rPr>
        <w:t xml:space="preserve"> “are precisely the sorts of consider</w:t>
      </w:r>
      <w:r w:rsidR="00A835AF">
        <w:rPr>
          <w:sz w:val="26"/>
          <w:szCs w:val="26"/>
        </w:rPr>
        <w:t>ations relegated to juries in c</w:t>
      </w:r>
      <w:r>
        <w:rPr>
          <w:sz w:val="26"/>
          <w:szCs w:val="26"/>
        </w:rPr>
        <w:t xml:space="preserve">ases in which a common-law duty exists and there are material factual questions concerning whether such obligation has been met.”  Alderwoods Brief at 3 (quoting </w:t>
      </w:r>
      <w:r>
        <w:rPr>
          <w:i/>
          <w:sz w:val="26"/>
          <w:szCs w:val="26"/>
        </w:rPr>
        <w:t>Alderwoods 2014</w:t>
      </w:r>
      <w:r>
        <w:rPr>
          <w:sz w:val="26"/>
          <w:szCs w:val="26"/>
        </w:rPr>
        <w:t xml:space="preserve">, 106 A.3d at 42).  </w:t>
      </w:r>
      <w:r w:rsidR="002D37E2">
        <w:rPr>
          <w:sz w:val="26"/>
          <w:szCs w:val="26"/>
        </w:rPr>
        <w:t>I</w:t>
      </w:r>
      <w:r w:rsidR="00FA2748">
        <w:rPr>
          <w:sz w:val="26"/>
          <w:szCs w:val="26"/>
        </w:rPr>
        <w:t>f</w:t>
      </w:r>
      <w:r w:rsidR="002D37E2">
        <w:rPr>
          <w:sz w:val="26"/>
          <w:szCs w:val="26"/>
        </w:rPr>
        <w:t xml:space="preserve"> </w:t>
      </w:r>
      <w:r w:rsidR="00C44D03">
        <w:rPr>
          <w:sz w:val="26"/>
          <w:szCs w:val="26"/>
        </w:rPr>
        <w:t xml:space="preserve">a hearing is held in </w:t>
      </w:r>
      <w:r w:rsidR="002D37E2">
        <w:rPr>
          <w:sz w:val="26"/>
          <w:szCs w:val="26"/>
        </w:rPr>
        <w:t>this case</w:t>
      </w:r>
      <w:r w:rsidR="00C44D03">
        <w:rPr>
          <w:sz w:val="26"/>
          <w:szCs w:val="26"/>
        </w:rPr>
        <w:t xml:space="preserve">, submits </w:t>
      </w:r>
      <w:r w:rsidR="002D37E2">
        <w:rPr>
          <w:sz w:val="26"/>
          <w:szCs w:val="26"/>
        </w:rPr>
        <w:t>Alderwoods</w:t>
      </w:r>
      <w:r w:rsidR="00C44D03">
        <w:rPr>
          <w:sz w:val="26"/>
          <w:szCs w:val="26"/>
        </w:rPr>
        <w:t xml:space="preserve">, the Petitioner </w:t>
      </w:r>
      <w:r w:rsidR="002D37E2">
        <w:rPr>
          <w:sz w:val="26"/>
          <w:szCs w:val="26"/>
        </w:rPr>
        <w:t xml:space="preserve">will raise the same jurisdictional argument </w:t>
      </w:r>
      <w:r w:rsidR="00294A8B">
        <w:rPr>
          <w:sz w:val="26"/>
          <w:szCs w:val="26"/>
        </w:rPr>
        <w:t xml:space="preserve">the </w:t>
      </w:r>
      <w:r w:rsidR="002D37E2">
        <w:rPr>
          <w:sz w:val="26"/>
          <w:szCs w:val="26"/>
        </w:rPr>
        <w:t xml:space="preserve">Commonwealth Court heard in </w:t>
      </w:r>
      <w:r w:rsidR="002D37E2">
        <w:rPr>
          <w:i/>
          <w:sz w:val="26"/>
          <w:szCs w:val="26"/>
        </w:rPr>
        <w:t>Poorbaugh</w:t>
      </w:r>
      <w:r w:rsidR="002D37E2">
        <w:rPr>
          <w:sz w:val="26"/>
          <w:szCs w:val="26"/>
        </w:rPr>
        <w:t>, only on appeal at a later date.</w:t>
      </w:r>
    </w:p>
    <w:p w:rsidR="002D37E2" w:rsidRDefault="002D37E2" w:rsidP="00243296">
      <w:pPr>
        <w:widowControl/>
        <w:spacing w:line="360" w:lineRule="auto"/>
        <w:ind w:firstLine="1440"/>
        <w:rPr>
          <w:sz w:val="26"/>
          <w:szCs w:val="26"/>
        </w:rPr>
      </w:pPr>
    </w:p>
    <w:p w:rsidR="00B53C9F" w:rsidRDefault="00634A35" w:rsidP="00243296">
      <w:pPr>
        <w:widowControl/>
        <w:spacing w:line="360" w:lineRule="auto"/>
        <w:ind w:firstLine="1440"/>
        <w:rPr>
          <w:sz w:val="26"/>
          <w:szCs w:val="26"/>
        </w:rPr>
      </w:pPr>
      <w:r>
        <w:rPr>
          <w:sz w:val="26"/>
          <w:szCs w:val="26"/>
        </w:rPr>
        <w:t>A</w:t>
      </w:r>
      <w:r w:rsidR="002D37E2">
        <w:rPr>
          <w:sz w:val="26"/>
          <w:szCs w:val="26"/>
        </w:rPr>
        <w:t>lderwoods</w:t>
      </w:r>
      <w:r>
        <w:rPr>
          <w:sz w:val="26"/>
          <w:szCs w:val="26"/>
        </w:rPr>
        <w:t xml:space="preserve"> argues that </w:t>
      </w:r>
      <w:r>
        <w:rPr>
          <w:i/>
          <w:sz w:val="26"/>
          <w:szCs w:val="26"/>
        </w:rPr>
        <w:t xml:space="preserve">Feingold </w:t>
      </w:r>
      <w:r>
        <w:rPr>
          <w:sz w:val="26"/>
          <w:szCs w:val="26"/>
        </w:rPr>
        <w:t xml:space="preserve">bars Commission jurisdiction, and </w:t>
      </w:r>
      <w:r>
        <w:rPr>
          <w:i/>
          <w:sz w:val="26"/>
          <w:szCs w:val="26"/>
        </w:rPr>
        <w:t xml:space="preserve">Poorbaugh </w:t>
      </w:r>
      <w:r>
        <w:rPr>
          <w:sz w:val="26"/>
          <w:szCs w:val="26"/>
        </w:rPr>
        <w:t xml:space="preserve">extends the bar to liability-only assessments.  Alderwoods </w:t>
      </w:r>
      <w:r w:rsidR="007E70D3">
        <w:rPr>
          <w:sz w:val="26"/>
          <w:szCs w:val="26"/>
        </w:rPr>
        <w:t xml:space="preserve">contends that under </w:t>
      </w:r>
      <w:r>
        <w:rPr>
          <w:i/>
          <w:sz w:val="26"/>
          <w:szCs w:val="26"/>
        </w:rPr>
        <w:t>Feingold</w:t>
      </w:r>
      <w:r w:rsidR="007E70D3">
        <w:rPr>
          <w:sz w:val="26"/>
          <w:szCs w:val="26"/>
        </w:rPr>
        <w:t>,</w:t>
      </w:r>
      <w:r>
        <w:rPr>
          <w:sz w:val="26"/>
          <w:szCs w:val="26"/>
        </w:rPr>
        <w:t xml:space="preserve"> absent the ability to award damages</w:t>
      </w:r>
      <w:r w:rsidR="002D37E2">
        <w:rPr>
          <w:sz w:val="26"/>
          <w:szCs w:val="26"/>
        </w:rPr>
        <w:t xml:space="preserve">, </w:t>
      </w:r>
      <w:r w:rsidR="007E70D3">
        <w:rPr>
          <w:sz w:val="26"/>
          <w:szCs w:val="26"/>
        </w:rPr>
        <w:t xml:space="preserve">the Commission’s relief is not complete and therefore compelling exhaustion of administrative remedies should not apply.  </w:t>
      </w:r>
    </w:p>
    <w:p w:rsidR="00B53C9F" w:rsidRDefault="00B53C9F" w:rsidP="00243296">
      <w:pPr>
        <w:widowControl/>
        <w:spacing w:line="360" w:lineRule="auto"/>
        <w:ind w:firstLine="1440"/>
        <w:rPr>
          <w:sz w:val="26"/>
          <w:szCs w:val="26"/>
        </w:rPr>
      </w:pPr>
    </w:p>
    <w:p w:rsidR="002D37E2" w:rsidRDefault="007E70D3" w:rsidP="00243296">
      <w:pPr>
        <w:widowControl/>
        <w:spacing w:line="360" w:lineRule="auto"/>
        <w:ind w:firstLine="1440"/>
        <w:rPr>
          <w:sz w:val="26"/>
          <w:szCs w:val="26"/>
        </w:rPr>
      </w:pPr>
      <w:r>
        <w:rPr>
          <w:sz w:val="26"/>
          <w:szCs w:val="26"/>
        </w:rPr>
        <w:t xml:space="preserve">Alderwoods </w:t>
      </w:r>
      <w:r w:rsidR="00FA2748">
        <w:rPr>
          <w:sz w:val="26"/>
          <w:szCs w:val="26"/>
        </w:rPr>
        <w:t>maintains</w:t>
      </w:r>
      <w:r>
        <w:rPr>
          <w:sz w:val="26"/>
          <w:szCs w:val="26"/>
        </w:rPr>
        <w:t xml:space="preserve"> that in </w:t>
      </w:r>
      <w:r w:rsidRPr="007E70D3">
        <w:rPr>
          <w:i/>
          <w:sz w:val="26"/>
          <w:szCs w:val="26"/>
        </w:rPr>
        <w:t>Elkin</w:t>
      </w:r>
      <w:r>
        <w:rPr>
          <w:sz w:val="26"/>
          <w:szCs w:val="26"/>
        </w:rPr>
        <w:t xml:space="preserve">, </w:t>
      </w:r>
      <w:r w:rsidR="00B53C9F">
        <w:rPr>
          <w:sz w:val="26"/>
          <w:szCs w:val="26"/>
        </w:rPr>
        <w:t xml:space="preserve">the Court </w:t>
      </w:r>
      <w:r>
        <w:rPr>
          <w:sz w:val="26"/>
          <w:szCs w:val="26"/>
        </w:rPr>
        <w:t xml:space="preserve">clarified </w:t>
      </w:r>
      <w:r w:rsidR="00F053BD" w:rsidRPr="00F053BD">
        <w:rPr>
          <w:i/>
          <w:sz w:val="26"/>
          <w:szCs w:val="26"/>
        </w:rPr>
        <w:t>Feingold</w:t>
      </w:r>
      <w:r w:rsidR="00F053BD">
        <w:rPr>
          <w:sz w:val="26"/>
          <w:szCs w:val="26"/>
        </w:rPr>
        <w:t xml:space="preserve"> and held </w:t>
      </w:r>
      <w:r w:rsidRPr="00F053BD">
        <w:rPr>
          <w:sz w:val="26"/>
          <w:szCs w:val="26"/>
        </w:rPr>
        <w:t>that</w:t>
      </w:r>
      <w:r>
        <w:rPr>
          <w:sz w:val="26"/>
          <w:szCs w:val="26"/>
        </w:rPr>
        <w:t xml:space="preserve"> while the Commission still has a role in adjudicating customer disputes, courts of </w:t>
      </w:r>
      <w:r>
        <w:rPr>
          <w:sz w:val="26"/>
          <w:szCs w:val="26"/>
        </w:rPr>
        <w:lastRenderedPageBreak/>
        <w:t xml:space="preserve">common pleas have original jurisdiction to hear damages suits against utilities based on the failure to provide adequate service even though that subject matter is encompassed in the Code.  According to Alderwoods, in </w:t>
      </w:r>
      <w:r w:rsidRPr="00B53C9F">
        <w:rPr>
          <w:i/>
          <w:sz w:val="26"/>
          <w:szCs w:val="26"/>
        </w:rPr>
        <w:t>Elkin</w:t>
      </w:r>
      <w:r>
        <w:rPr>
          <w:sz w:val="26"/>
          <w:szCs w:val="26"/>
        </w:rPr>
        <w:t xml:space="preserve"> </w:t>
      </w:r>
      <w:r w:rsidR="00F053BD" w:rsidRPr="00F053BD">
        <w:rPr>
          <w:sz w:val="26"/>
          <w:szCs w:val="26"/>
        </w:rPr>
        <w:t xml:space="preserve">the Court </w:t>
      </w:r>
      <w:r>
        <w:rPr>
          <w:sz w:val="26"/>
          <w:szCs w:val="26"/>
        </w:rPr>
        <w:t xml:space="preserve">“established a mechanism in which the trial court could refer an issue to an administrative agency” to use the agency’s special expertise in complex areas where judges and juries lack familiarity.  </w:t>
      </w:r>
      <w:r w:rsidR="00B53C9F">
        <w:rPr>
          <w:sz w:val="26"/>
          <w:szCs w:val="26"/>
        </w:rPr>
        <w:t xml:space="preserve">Alderwoods Brief at 7.  </w:t>
      </w:r>
      <w:r w:rsidR="004740C6">
        <w:rPr>
          <w:sz w:val="26"/>
          <w:szCs w:val="26"/>
        </w:rPr>
        <w:t>H</w:t>
      </w:r>
      <w:r w:rsidR="00B53C9F">
        <w:rPr>
          <w:sz w:val="26"/>
          <w:szCs w:val="26"/>
        </w:rPr>
        <w:t xml:space="preserve">owever, </w:t>
      </w:r>
      <w:r w:rsidR="00463935" w:rsidRPr="00463935">
        <w:rPr>
          <w:sz w:val="26"/>
          <w:szCs w:val="26"/>
        </w:rPr>
        <w:t>Alderwoods</w:t>
      </w:r>
      <w:r w:rsidR="00463935">
        <w:rPr>
          <w:sz w:val="26"/>
          <w:szCs w:val="26"/>
        </w:rPr>
        <w:t xml:space="preserve"> </w:t>
      </w:r>
      <w:r w:rsidR="00CF6F6C">
        <w:rPr>
          <w:sz w:val="26"/>
          <w:szCs w:val="26"/>
        </w:rPr>
        <w:t>asserts</w:t>
      </w:r>
      <w:r w:rsidR="00463935">
        <w:rPr>
          <w:sz w:val="26"/>
          <w:szCs w:val="26"/>
        </w:rPr>
        <w:t xml:space="preserve"> that courts should not hastily refer matters to an agency “whenever a controversy remotely involves some issue falling arguably within the domain of the agency’s ‘expertise.’”  </w:t>
      </w:r>
      <w:r w:rsidR="00366089">
        <w:rPr>
          <w:i/>
          <w:sz w:val="26"/>
          <w:szCs w:val="26"/>
        </w:rPr>
        <w:t xml:space="preserve">Id. </w:t>
      </w:r>
      <w:r w:rsidR="004740C6">
        <w:rPr>
          <w:sz w:val="26"/>
          <w:szCs w:val="26"/>
        </w:rPr>
        <w:t xml:space="preserve">(quoting </w:t>
      </w:r>
      <w:r w:rsidR="004740C6" w:rsidRPr="008F09BC">
        <w:rPr>
          <w:i/>
          <w:sz w:val="26"/>
          <w:szCs w:val="26"/>
        </w:rPr>
        <w:t>Elkin</w:t>
      </w:r>
      <w:r w:rsidR="004740C6">
        <w:rPr>
          <w:sz w:val="26"/>
          <w:szCs w:val="26"/>
        </w:rPr>
        <w:t xml:space="preserve">, 420 A2d at 377).  </w:t>
      </w:r>
      <w:r w:rsidR="00366089">
        <w:rPr>
          <w:i/>
          <w:sz w:val="26"/>
          <w:szCs w:val="26"/>
        </w:rPr>
        <w:t xml:space="preserve"> </w:t>
      </w:r>
      <w:r w:rsidR="00463935">
        <w:rPr>
          <w:sz w:val="26"/>
          <w:szCs w:val="26"/>
        </w:rPr>
        <w:t>Rather, continue</w:t>
      </w:r>
      <w:r w:rsidR="00CF6F6C">
        <w:rPr>
          <w:sz w:val="26"/>
          <w:szCs w:val="26"/>
        </w:rPr>
        <w:t>s</w:t>
      </w:r>
      <w:r w:rsidR="00463935">
        <w:rPr>
          <w:sz w:val="26"/>
          <w:szCs w:val="26"/>
        </w:rPr>
        <w:t xml:space="preserve"> Alderwoods, where the subject does not require the agency’s expertise because it falls within the experience of judges and juries, and where there is no need for uniformity and consistency in agency policy and legislative inten</w:t>
      </w:r>
      <w:r w:rsidR="00A848DB">
        <w:rPr>
          <w:sz w:val="26"/>
          <w:szCs w:val="26"/>
        </w:rPr>
        <w:t>t</w:t>
      </w:r>
      <w:r w:rsidR="00463935">
        <w:rPr>
          <w:sz w:val="26"/>
          <w:szCs w:val="26"/>
        </w:rPr>
        <w:t xml:space="preserve">, it “would be wasteful to employ the bifurcated procedure of referral, as no appreciable benefits would be forthcoming.”  </w:t>
      </w:r>
      <w:r w:rsidR="00366089">
        <w:rPr>
          <w:i/>
          <w:sz w:val="26"/>
          <w:szCs w:val="26"/>
        </w:rPr>
        <w:t xml:space="preserve">Id. </w:t>
      </w:r>
      <w:r w:rsidR="00463935" w:rsidRPr="00463935">
        <w:rPr>
          <w:sz w:val="26"/>
          <w:szCs w:val="26"/>
        </w:rPr>
        <w:t xml:space="preserve">(quoting </w:t>
      </w:r>
      <w:r w:rsidR="00463935" w:rsidRPr="00463935">
        <w:rPr>
          <w:i/>
          <w:sz w:val="26"/>
          <w:szCs w:val="26"/>
        </w:rPr>
        <w:t>Elkin</w:t>
      </w:r>
      <w:r w:rsidR="00463935" w:rsidRPr="00463935">
        <w:rPr>
          <w:sz w:val="26"/>
          <w:szCs w:val="26"/>
        </w:rPr>
        <w:t>, 420 A.2d at 377)</w:t>
      </w:r>
      <w:r w:rsidR="00463935">
        <w:rPr>
          <w:i/>
          <w:sz w:val="26"/>
          <w:szCs w:val="26"/>
        </w:rPr>
        <w:t>.</w:t>
      </w:r>
    </w:p>
    <w:p w:rsidR="00463935" w:rsidRDefault="00463935" w:rsidP="00243296">
      <w:pPr>
        <w:widowControl/>
        <w:spacing w:line="360" w:lineRule="auto"/>
        <w:ind w:firstLine="1440"/>
        <w:rPr>
          <w:sz w:val="26"/>
          <w:szCs w:val="26"/>
        </w:rPr>
      </w:pPr>
    </w:p>
    <w:p w:rsidR="00CB59AD" w:rsidRDefault="00463935" w:rsidP="00243296">
      <w:pPr>
        <w:widowControl/>
        <w:spacing w:line="360" w:lineRule="auto"/>
        <w:ind w:firstLine="1440"/>
        <w:rPr>
          <w:sz w:val="26"/>
          <w:szCs w:val="26"/>
        </w:rPr>
      </w:pPr>
      <w:r>
        <w:rPr>
          <w:sz w:val="26"/>
          <w:szCs w:val="26"/>
        </w:rPr>
        <w:t>Alderwoods argue</w:t>
      </w:r>
      <w:r w:rsidR="00CF6F6C">
        <w:rPr>
          <w:sz w:val="26"/>
          <w:szCs w:val="26"/>
        </w:rPr>
        <w:t>s</w:t>
      </w:r>
      <w:r>
        <w:rPr>
          <w:sz w:val="26"/>
          <w:szCs w:val="26"/>
        </w:rPr>
        <w:t xml:space="preserve"> that in </w:t>
      </w:r>
      <w:r>
        <w:rPr>
          <w:i/>
          <w:sz w:val="26"/>
          <w:szCs w:val="26"/>
        </w:rPr>
        <w:t>DeFrancesco</w:t>
      </w:r>
      <w:r>
        <w:rPr>
          <w:sz w:val="26"/>
          <w:szCs w:val="26"/>
        </w:rPr>
        <w:t>, the Supreme Court again addressed the proper forum to address a damages claim against a public utility</w:t>
      </w:r>
      <w:r w:rsidR="00C44D03">
        <w:rPr>
          <w:sz w:val="26"/>
          <w:szCs w:val="26"/>
        </w:rPr>
        <w:t xml:space="preserve"> and in that case looked to </w:t>
      </w:r>
      <w:r w:rsidR="00294A8B">
        <w:rPr>
          <w:sz w:val="26"/>
          <w:szCs w:val="26"/>
        </w:rPr>
        <w:t xml:space="preserve">the </w:t>
      </w:r>
      <w:r w:rsidR="00C44D03">
        <w:rPr>
          <w:sz w:val="26"/>
          <w:szCs w:val="26"/>
        </w:rPr>
        <w:t xml:space="preserve">essence of the underlying claim.  </w:t>
      </w:r>
      <w:r w:rsidR="00B53C9F">
        <w:rPr>
          <w:sz w:val="26"/>
          <w:szCs w:val="26"/>
        </w:rPr>
        <w:t>Alderwoods asserts that t</w:t>
      </w:r>
      <w:r w:rsidR="00C44D03">
        <w:rPr>
          <w:sz w:val="26"/>
          <w:szCs w:val="26"/>
        </w:rPr>
        <w:t xml:space="preserve">he Court there determined that </w:t>
      </w:r>
      <w:r>
        <w:rPr>
          <w:sz w:val="26"/>
          <w:szCs w:val="26"/>
        </w:rPr>
        <w:t xml:space="preserve">where a case does not </w:t>
      </w:r>
      <w:r w:rsidR="00B53C9F">
        <w:rPr>
          <w:sz w:val="26"/>
          <w:szCs w:val="26"/>
        </w:rPr>
        <w:t>invoke the Commission’s general service standards, regulations, expertise, policy, services, or facilities, and does not invoke a</w:t>
      </w:r>
      <w:r w:rsidR="00C44D03">
        <w:rPr>
          <w:sz w:val="26"/>
          <w:szCs w:val="26"/>
        </w:rPr>
        <w:t xml:space="preserve"> “</w:t>
      </w:r>
      <w:r w:rsidR="00C44D03" w:rsidRPr="00F053BD">
        <w:rPr>
          <w:sz w:val="26"/>
          <w:szCs w:val="26"/>
        </w:rPr>
        <w:t>particular standard of safety or convenience articulated by the PUC</w:t>
      </w:r>
      <w:r w:rsidR="00C44D03">
        <w:rPr>
          <w:sz w:val="26"/>
          <w:szCs w:val="26"/>
        </w:rPr>
        <w:t xml:space="preserve">[,]” </w:t>
      </w:r>
      <w:r w:rsidR="00B53C9F">
        <w:rPr>
          <w:sz w:val="26"/>
          <w:szCs w:val="26"/>
        </w:rPr>
        <w:t xml:space="preserve">but </w:t>
      </w:r>
      <w:r w:rsidR="00C44D03">
        <w:rPr>
          <w:sz w:val="26"/>
          <w:szCs w:val="26"/>
        </w:rPr>
        <w:t>instead involves a</w:t>
      </w:r>
      <w:r w:rsidR="00B53C9F">
        <w:rPr>
          <w:sz w:val="26"/>
          <w:szCs w:val="26"/>
        </w:rPr>
        <w:t xml:space="preserve"> utility’s alleged </w:t>
      </w:r>
      <w:r>
        <w:rPr>
          <w:sz w:val="26"/>
          <w:szCs w:val="26"/>
        </w:rPr>
        <w:t>negligence</w:t>
      </w:r>
      <w:r w:rsidR="00C44D03">
        <w:rPr>
          <w:sz w:val="26"/>
          <w:szCs w:val="26"/>
        </w:rPr>
        <w:t xml:space="preserve">, no recondite knowledge of the Commission is required and the claim belonged in the ordinary jurisdiction of the courts.  </w:t>
      </w:r>
      <w:r w:rsidR="00CF6F6C">
        <w:rPr>
          <w:sz w:val="26"/>
          <w:szCs w:val="26"/>
        </w:rPr>
        <w:t>Alderwoods Brief</w:t>
      </w:r>
      <w:r w:rsidR="00C44D03">
        <w:rPr>
          <w:sz w:val="26"/>
          <w:szCs w:val="26"/>
        </w:rPr>
        <w:t xml:space="preserve"> at 7-8 (quoting </w:t>
      </w:r>
      <w:r w:rsidR="00C44D03">
        <w:rPr>
          <w:i/>
          <w:sz w:val="26"/>
          <w:szCs w:val="26"/>
        </w:rPr>
        <w:t>DeFrancesco</w:t>
      </w:r>
      <w:r w:rsidR="00C44D03">
        <w:rPr>
          <w:sz w:val="26"/>
          <w:szCs w:val="26"/>
        </w:rPr>
        <w:t xml:space="preserve">, 453 A.2d at 597).  </w:t>
      </w:r>
    </w:p>
    <w:p w:rsidR="00C44D03" w:rsidRDefault="00C44D03" w:rsidP="00243296">
      <w:pPr>
        <w:widowControl/>
        <w:spacing w:line="360" w:lineRule="auto"/>
        <w:ind w:firstLine="1440"/>
        <w:rPr>
          <w:sz w:val="26"/>
          <w:szCs w:val="26"/>
        </w:rPr>
      </w:pPr>
    </w:p>
    <w:p w:rsidR="003950AA" w:rsidRDefault="00C44D03" w:rsidP="003950AA">
      <w:pPr>
        <w:widowControl/>
        <w:spacing w:line="360" w:lineRule="auto"/>
        <w:ind w:firstLine="1440"/>
        <w:rPr>
          <w:sz w:val="26"/>
          <w:szCs w:val="26"/>
        </w:rPr>
      </w:pPr>
      <w:r>
        <w:rPr>
          <w:sz w:val="26"/>
          <w:szCs w:val="26"/>
        </w:rPr>
        <w:t xml:space="preserve">Alderwoods also argues </w:t>
      </w:r>
      <w:r w:rsidR="00B53C9F">
        <w:rPr>
          <w:sz w:val="26"/>
          <w:szCs w:val="26"/>
        </w:rPr>
        <w:t xml:space="preserve">that under </w:t>
      </w:r>
      <w:r w:rsidR="00B53C9F">
        <w:rPr>
          <w:i/>
          <w:sz w:val="26"/>
          <w:szCs w:val="26"/>
        </w:rPr>
        <w:t>Schriner</w:t>
      </w:r>
      <w:r w:rsidR="00B53C9F">
        <w:rPr>
          <w:sz w:val="26"/>
          <w:szCs w:val="26"/>
        </w:rPr>
        <w:t xml:space="preserve">, a </w:t>
      </w:r>
      <w:r w:rsidR="003578D0">
        <w:rPr>
          <w:sz w:val="26"/>
          <w:szCs w:val="26"/>
        </w:rPr>
        <w:t xml:space="preserve">plaintiff’s </w:t>
      </w:r>
      <w:r w:rsidR="00B53C9F">
        <w:rPr>
          <w:sz w:val="26"/>
          <w:szCs w:val="26"/>
        </w:rPr>
        <w:t xml:space="preserve">claim for damages arising out of an allegation of stray voltage did not belong before the Commission because </w:t>
      </w:r>
      <w:r w:rsidR="000C1B72">
        <w:rPr>
          <w:sz w:val="26"/>
          <w:szCs w:val="26"/>
        </w:rPr>
        <w:t>it only “</w:t>
      </w:r>
      <w:r w:rsidR="000C1B72" w:rsidRPr="00F053BD">
        <w:rPr>
          <w:sz w:val="26"/>
          <w:szCs w:val="26"/>
        </w:rPr>
        <w:t>tangentially concerned</w:t>
      </w:r>
      <w:r w:rsidR="000C1B72">
        <w:rPr>
          <w:sz w:val="26"/>
          <w:szCs w:val="26"/>
        </w:rPr>
        <w:t xml:space="preserve"> the ‘reasonableness, adequacy, efficiency or safety of the services, facil</w:t>
      </w:r>
      <w:r w:rsidR="003950AA">
        <w:rPr>
          <w:sz w:val="26"/>
          <w:szCs w:val="26"/>
        </w:rPr>
        <w:t>i</w:t>
      </w:r>
      <w:r w:rsidR="000C1B72">
        <w:rPr>
          <w:sz w:val="26"/>
          <w:szCs w:val="26"/>
        </w:rPr>
        <w:t>ties or rates provided by</w:t>
      </w:r>
      <w:r w:rsidR="003578D0">
        <w:rPr>
          <w:sz w:val="26"/>
          <w:szCs w:val="26"/>
        </w:rPr>
        <w:t>’</w:t>
      </w:r>
      <w:r w:rsidR="000C1B72">
        <w:rPr>
          <w:sz w:val="26"/>
          <w:szCs w:val="26"/>
        </w:rPr>
        <w:t>” the utility</w:t>
      </w:r>
      <w:r w:rsidR="003950AA">
        <w:rPr>
          <w:sz w:val="26"/>
          <w:szCs w:val="26"/>
        </w:rPr>
        <w:t xml:space="preserve"> and, because of the </w:t>
      </w:r>
      <w:r w:rsidR="003950AA">
        <w:rPr>
          <w:sz w:val="26"/>
          <w:szCs w:val="26"/>
        </w:rPr>
        <w:lastRenderedPageBreak/>
        <w:t xml:space="preserve">Commission’s inability to award damages, bifurcation would be wasteful.  </w:t>
      </w:r>
      <w:r w:rsidR="003950AA">
        <w:rPr>
          <w:i/>
          <w:sz w:val="26"/>
          <w:szCs w:val="26"/>
        </w:rPr>
        <w:t>Id.</w:t>
      </w:r>
      <w:r w:rsidR="003950AA">
        <w:rPr>
          <w:sz w:val="26"/>
          <w:szCs w:val="26"/>
        </w:rPr>
        <w:t xml:space="preserve"> at 9 (quoting </w:t>
      </w:r>
      <w:r w:rsidR="003950AA">
        <w:rPr>
          <w:i/>
          <w:sz w:val="26"/>
          <w:szCs w:val="26"/>
        </w:rPr>
        <w:t>Schriner</w:t>
      </w:r>
      <w:r w:rsidR="003950AA">
        <w:rPr>
          <w:sz w:val="26"/>
          <w:szCs w:val="26"/>
        </w:rPr>
        <w:t xml:space="preserve">, 501 A.2d at 1130).  </w:t>
      </w:r>
    </w:p>
    <w:p w:rsidR="003950AA" w:rsidRDefault="003950AA" w:rsidP="003950AA">
      <w:pPr>
        <w:widowControl/>
        <w:spacing w:line="360" w:lineRule="auto"/>
        <w:ind w:firstLine="1440"/>
        <w:rPr>
          <w:sz w:val="26"/>
          <w:szCs w:val="26"/>
        </w:rPr>
      </w:pPr>
    </w:p>
    <w:p w:rsidR="008947E3" w:rsidRPr="00A443F1" w:rsidRDefault="003950AA" w:rsidP="003950AA">
      <w:pPr>
        <w:widowControl/>
        <w:spacing w:line="360" w:lineRule="auto"/>
        <w:ind w:firstLine="1440"/>
        <w:rPr>
          <w:sz w:val="26"/>
          <w:szCs w:val="26"/>
        </w:rPr>
      </w:pPr>
      <w:r>
        <w:rPr>
          <w:sz w:val="26"/>
          <w:szCs w:val="26"/>
        </w:rPr>
        <w:t xml:space="preserve">Finally Alderwoods </w:t>
      </w:r>
      <w:r w:rsidR="003578D0">
        <w:rPr>
          <w:sz w:val="26"/>
          <w:szCs w:val="26"/>
        </w:rPr>
        <w:t xml:space="preserve">again </w:t>
      </w:r>
      <w:r>
        <w:rPr>
          <w:sz w:val="26"/>
          <w:szCs w:val="26"/>
        </w:rPr>
        <w:t xml:space="preserve">argues the </w:t>
      </w:r>
      <w:r w:rsidR="00D959F1">
        <w:rPr>
          <w:sz w:val="26"/>
          <w:szCs w:val="26"/>
        </w:rPr>
        <w:t>import</w:t>
      </w:r>
      <w:r w:rsidR="00CB1ED9">
        <w:rPr>
          <w:sz w:val="26"/>
          <w:szCs w:val="26"/>
        </w:rPr>
        <w:t xml:space="preserve"> of </w:t>
      </w:r>
      <w:r>
        <w:rPr>
          <w:i/>
          <w:sz w:val="26"/>
          <w:szCs w:val="26"/>
        </w:rPr>
        <w:t>Poorbaugh</w:t>
      </w:r>
      <w:r w:rsidR="0006174D">
        <w:rPr>
          <w:sz w:val="26"/>
          <w:szCs w:val="26"/>
        </w:rPr>
        <w:t xml:space="preserve">, a case also involving damages </w:t>
      </w:r>
      <w:r w:rsidR="00861FCB">
        <w:rPr>
          <w:sz w:val="26"/>
          <w:szCs w:val="26"/>
        </w:rPr>
        <w:t>resulting from</w:t>
      </w:r>
      <w:r w:rsidR="0006174D">
        <w:rPr>
          <w:sz w:val="26"/>
          <w:szCs w:val="26"/>
        </w:rPr>
        <w:t xml:space="preserve"> a fire caused </w:t>
      </w:r>
      <w:r w:rsidR="00861FCB">
        <w:rPr>
          <w:sz w:val="26"/>
          <w:szCs w:val="26"/>
        </w:rPr>
        <w:t>by</w:t>
      </w:r>
      <w:r w:rsidR="0006174D">
        <w:rPr>
          <w:sz w:val="26"/>
          <w:szCs w:val="26"/>
        </w:rPr>
        <w:t xml:space="preserve"> an overvoltage when low- and high-voltage wires came into contact</w:t>
      </w:r>
      <w:r w:rsidR="008947E3">
        <w:rPr>
          <w:sz w:val="26"/>
          <w:szCs w:val="26"/>
        </w:rPr>
        <w:t xml:space="preserve">. </w:t>
      </w:r>
      <w:r w:rsidR="001F7005">
        <w:rPr>
          <w:sz w:val="26"/>
          <w:szCs w:val="26"/>
        </w:rPr>
        <w:t>As Alderwoods contends, i</w:t>
      </w:r>
      <w:r w:rsidR="008947E3">
        <w:rPr>
          <w:sz w:val="26"/>
          <w:szCs w:val="26"/>
        </w:rPr>
        <w:t xml:space="preserve">n analyzing the cases beginning with </w:t>
      </w:r>
      <w:r w:rsidR="008947E3">
        <w:rPr>
          <w:i/>
          <w:sz w:val="26"/>
          <w:szCs w:val="26"/>
        </w:rPr>
        <w:t>Feingold</w:t>
      </w:r>
      <w:r w:rsidR="008947E3">
        <w:rPr>
          <w:sz w:val="26"/>
          <w:szCs w:val="26"/>
        </w:rPr>
        <w:t xml:space="preserve">, </w:t>
      </w:r>
      <w:r w:rsidR="008947E3" w:rsidRPr="008947E3">
        <w:rPr>
          <w:sz w:val="26"/>
          <w:szCs w:val="26"/>
        </w:rPr>
        <w:t xml:space="preserve">the Commonwealth Court </w:t>
      </w:r>
      <w:r w:rsidR="008947E3">
        <w:rPr>
          <w:sz w:val="26"/>
          <w:szCs w:val="26"/>
        </w:rPr>
        <w:t xml:space="preserve">determined that </w:t>
      </w:r>
      <w:r w:rsidR="0006174D">
        <w:rPr>
          <w:sz w:val="26"/>
          <w:szCs w:val="26"/>
        </w:rPr>
        <w:t xml:space="preserve">the trial court improperly bifurcated </w:t>
      </w:r>
      <w:r w:rsidR="001F7005">
        <w:rPr>
          <w:sz w:val="26"/>
          <w:szCs w:val="26"/>
        </w:rPr>
        <w:t>an</w:t>
      </w:r>
      <w:r w:rsidR="0006174D">
        <w:rPr>
          <w:sz w:val="26"/>
          <w:szCs w:val="26"/>
        </w:rPr>
        <w:t xml:space="preserve"> action that</w:t>
      </w:r>
      <w:r w:rsidR="008947E3">
        <w:rPr>
          <w:sz w:val="26"/>
          <w:szCs w:val="26"/>
        </w:rPr>
        <w:t>,</w:t>
      </w:r>
      <w:r w:rsidR="0006174D">
        <w:rPr>
          <w:sz w:val="26"/>
          <w:szCs w:val="26"/>
        </w:rPr>
        <w:t xml:space="preserve"> </w:t>
      </w:r>
      <w:r w:rsidR="008947E3">
        <w:rPr>
          <w:sz w:val="26"/>
          <w:szCs w:val="26"/>
        </w:rPr>
        <w:t xml:space="preserve">while </w:t>
      </w:r>
      <w:r w:rsidR="0006174D" w:rsidRPr="00C40637">
        <w:rPr>
          <w:sz w:val="26"/>
          <w:szCs w:val="26"/>
        </w:rPr>
        <w:t>includ</w:t>
      </w:r>
      <w:r w:rsidR="001C101C">
        <w:rPr>
          <w:sz w:val="26"/>
          <w:szCs w:val="26"/>
        </w:rPr>
        <w:t>ing</w:t>
      </w:r>
      <w:r w:rsidR="0006174D" w:rsidRPr="00C40637">
        <w:rPr>
          <w:sz w:val="26"/>
          <w:szCs w:val="26"/>
        </w:rPr>
        <w:t xml:space="preserve"> a subject encompassed in the Code, was not complex requiring the Commiss</w:t>
      </w:r>
      <w:r w:rsidR="001F7005" w:rsidRPr="00C40637">
        <w:rPr>
          <w:sz w:val="26"/>
          <w:szCs w:val="26"/>
        </w:rPr>
        <w:t>i</w:t>
      </w:r>
      <w:r w:rsidR="0006174D" w:rsidRPr="00C40637">
        <w:rPr>
          <w:sz w:val="26"/>
          <w:szCs w:val="26"/>
        </w:rPr>
        <w:t>on’s expertise</w:t>
      </w:r>
      <w:r w:rsidR="001F7005">
        <w:rPr>
          <w:sz w:val="26"/>
          <w:szCs w:val="26"/>
        </w:rPr>
        <w:t xml:space="preserve">.  As the Court stated, </w:t>
      </w:r>
      <w:r w:rsidR="008947E3">
        <w:rPr>
          <w:sz w:val="26"/>
          <w:szCs w:val="26"/>
        </w:rPr>
        <w:t>“[i]n weighing the various considerations articulate</w:t>
      </w:r>
      <w:r w:rsidR="001F7005">
        <w:rPr>
          <w:sz w:val="26"/>
          <w:szCs w:val="26"/>
        </w:rPr>
        <w:t xml:space="preserve">d by our Supreme Court with respect to the primary </w:t>
      </w:r>
      <w:r w:rsidR="008947E3">
        <w:rPr>
          <w:sz w:val="26"/>
          <w:szCs w:val="26"/>
        </w:rPr>
        <w:t>jurisdiction of the PUC</w:t>
      </w:r>
      <w:r w:rsidR="001F7005">
        <w:rPr>
          <w:sz w:val="26"/>
          <w:szCs w:val="26"/>
        </w:rPr>
        <w:t xml:space="preserve">, we conclude that jurisdiction over Poorbaugh’s </w:t>
      </w:r>
      <w:r w:rsidR="008947E3">
        <w:rPr>
          <w:sz w:val="26"/>
          <w:szCs w:val="26"/>
        </w:rPr>
        <w:t>claims should have been vested in the trial court, not the PUC.”</w:t>
      </w:r>
      <w:r w:rsidR="0006174D">
        <w:rPr>
          <w:sz w:val="26"/>
          <w:szCs w:val="26"/>
        </w:rPr>
        <w:t xml:space="preserve">  </w:t>
      </w:r>
      <w:r w:rsidR="008947E3">
        <w:rPr>
          <w:i/>
          <w:sz w:val="26"/>
          <w:szCs w:val="26"/>
        </w:rPr>
        <w:t>Id.</w:t>
      </w:r>
      <w:r w:rsidR="008947E3">
        <w:rPr>
          <w:sz w:val="26"/>
          <w:szCs w:val="26"/>
        </w:rPr>
        <w:t xml:space="preserve"> at 10 (quoting </w:t>
      </w:r>
      <w:r w:rsidR="008947E3">
        <w:rPr>
          <w:i/>
          <w:sz w:val="26"/>
          <w:szCs w:val="26"/>
        </w:rPr>
        <w:t>Poorbaugh</w:t>
      </w:r>
      <w:r w:rsidR="008947E3">
        <w:rPr>
          <w:sz w:val="26"/>
          <w:szCs w:val="26"/>
        </w:rPr>
        <w:t>, 666 A.2d at 751</w:t>
      </w:r>
      <w:r w:rsidR="002E3931">
        <w:rPr>
          <w:sz w:val="26"/>
          <w:szCs w:val="26"/>
        </w:rPr>
        <w:t>)</w:t>
      </w:r>
      <w:r w:rsidR="008947E3">
        <w:rPr>
          <w:sz w:val="26"/>
          <w:szCs w:val="26"/>
        </w:rPr>
        <w:t>.</w:t>
      </w:r>
      <w:r w:rsidR="00A443F1">
        <w:rPr>
          <w:sz w:val="26"/>
          <w:szCs w:val="26"/>
        </w:rPr>
        <w:t xml:space="preserve">  </w:t>
      </w:r>
      <w:r w:rsidR="001C101C">
        <w:rPr>
          <w:sz w:val="26"/>
          <w:szCs w:val="26"/>
        </w:rPr>
        <w:t>Alderwoods describes</w:t>
      </w:r>
      <w:r w:rsidR="00A443F1">
        <w:rPr>
          <w:sz w:val="26"/>
          <w:szCs w:val="26"/>
        </w:rPr>
        <w:t xml:space="preserve"> </w:t>
      </w:r>
      <w:r w:rsidR="001C101C">
        <w:rPr>
          <w:sz w:val="26"/>
          <w:szCs w:val="26"/>
        </w:rPr>
        <w:t xml:space="preserve">Duquesne’s </w:t>
      </w:r>
      <w:r w:rsidR="00A443F1">
        <w:rPr>
          <w:sz w:val="26"/>
          <w:szCs w:val="26"/>
        </w:rPr>
        <w:t xml:space="preserve">distinctions </w:t>
      </w:r>
      <w:r w:rsidR="001C101C">
        <w:rPr>
          <w:sz w:val="26"/>
          <w:szCs w:val="26"/>
        </w:rPr>
        <w:t xml:space="preserve">of </w:t>
      </w:r>
      <w:r w:rsidR="001C101C" w:rsidRPr="001C101C">
        <w:rPr>
          <w:i/>
          <w:sz w:val="26"/>
          <w:szCs w:val="26"/>
        </w:rPr>
        <w:t>Poorbaugh</w:t>
      </w:r>
      <w:r w:rsidR="001C101C">
        <w:rPr>
          <w:sz w:val="26"/>
          <w:szCs w:val="26"/>
        </w:rPr>
        <w:t xml:space="preserve"> </w:t>
      </w:r>
      <w:r w:rsidR="00A443F1" w:rsidRPr="001C101C">
        <w:rPr>
          <w:sz w:val="26"/>
          <w:szCs w:val="26"/>
        </w:rPr>
        <w:t>as</w:t>
      </w:r>
      <w:r w:rsidR="00A443F1">
        <w:rPr>
          <w:sz w:val="26"/>
          <w:szCs w:val="26"/>
        </w:rPr>
        <w:t xml:space="preserve"> “trivial” and “immaterial to the outcome of the case.”  </w:t>
      </w:r>
      <w:r w:rsidR="00A443F1">
        <w:rPr>
          <w:i/>
          <w:sz w:val="26"/>
          <w:szCs w:val="26"/>
        </w:rPr>
        <w:t xml:space="preserve">Id. </w:t>
      </w:r>
      <w:r w:rsidR="00A443F1">
        <w:rPr>
          <w:sz w:val="26"/>
          <w:szCs w:val="26"/>
        </w:rPr>
        <w:t xml:space="preserve">at 11.  </w:t>
      </w:r>
      <w:r w:rsidR="001C101C">
        <w:rPr>
          <w:sz w:val="26"/>
          <w:szCs w:val="26"/>
        </w:rPr>
        <w:t>A</w:t>
      </w:r>
      <w:r w:rsidR="00861FCB">
        <w:rPr>
          <w:sz w:val="26"/>
          <w:szCs w:val="26"/>
        </w:rPr>
        <w:t xml:space="preserve">ccording to Alderwoods, </w:t>
      </w:r>
      <w:r w:rsidR="00A443F1">
        <w:rPr>
          <w:sz w:val="26"/>
          <w:szCs w:val="26"/>
        </w:rPr>
        <w:t xml:space="preserve">more pertinent </w:t>
      </w:r>
      <w:r w:rsidR="001C101C">
        <w:rPr>
          <w:sz w:val="26"/>
          <w:szCs w:val="26"/>
        </w:rPr>
        <w:t xml:space="preserve">in </w:t>
      </w:r>
      <w:r w:rsidR="00A443F1">
        <w:rPr>
          <w:i/>
          <w:sz w:val="26"/>
          <w:szCs w:val="26"/>
        </w:rPr>
        <w:t>Poorbaugh</w:t>
      </w:r>
      <w:r w:rsidR="00A443F1">
        <w:rPr>
          <w:sz w:val="26"/>
          <w:szCs w:val="26"/>
        </w:rPr>
        <w:t xml:space="preserve"> </w:t>
      </w:r>
      <w:r w:rsidR="001C101C" w:rsidRPr="001C101C">
        <w:rPr>
          <w:sz w:val="26"/>
          <w:szCs w:val="26"/>
        </w:rPr>
        <w:t xml:space="preserve">were </w:t>
      </w:r>
      <w:r w:rsidR="001C101C">
        <w:rPr>
          <w:sz w:val="26"/>
          <w:szCs w:val="26"/>
        </w:rPr>
        <w:t>that, l</w:t>
      </w:r>
      <w:r w:rsidR="00A443F1">
        <w:rPr>
          <w:sz w:val="26"/>
          <w:szCs w:val="26"/>
        </w:rPr>
        <w:t xml:space="preserve">ike the case at hand, </w:t>
      </w:r>
      <w:r w:rsidR="001C101C">
        <w:rPr>
          <w:sz w:val="26"/>
          <w:szCs w:val="26"/>
        </w:rPr>
        <w:t xml:space="preserve">the facts </w:t>
      </w:r>
      <w:r w:rsidR="00A443F1">
        <w:rPr>
          <w:sz w:val="26"/>
          <w:szCs w:val="26"/>
        </w:rPr>
        <w:t xml:space="preserve">involved one instance of alleged negligence involving one customer </w:t>
      </w:r>
      <w:r w:rsidR="00861FCB">
        <w:rPr>
          <w:sz w:val="26"/>
          <w:szCs w:val="26"/>
        </w:rPr>
        <w:t xml:space="preserve">and </w:t>
      </w:r>
      <w:r w:rsidR="00A443F1">
        <w:rPr>
          <w:sz w:val="26"/>
          <w:szCs w:val="26"/>
        </w:rPr>
        <w:t>not any allegations of a sustained or widespread problem or tariff violation.  Alderwoods</w:t>
      </w:r>
      <w:r w:rsidR="00861FCB">
        <w:rPr>
          <w:sz w:val="26"/>
          <w:szCs w:val="26"/>
        </w:rPr>
        <w:t xml:space="preserve"> contends that </w:t>
      </w:r>
      <w:r w:rsidR="00A443F1">
        <w:rPr>
          <w:sz w:val="26"/>
          <w:szCs w:val="26"/>
        </w:rPr>
        <w:t xml:space="preserve">when the ALJ ignored </w:t>
      </w:r>
      <w:r w:rsidR="00A443F1">
        <w:rPr>
          <w:i/>
          <w:sz w:val="26"/>
          <w:szCs w:val="26"/>
        </w:rPr>
        <w:t>Poorbaugh</w:t>
      </w:r>
      <w:r w:rsidR="00A443F1">
        <w:rPr>
          <w:sz w:val="26"/>
          <w:szCs w:val="26"/>
        </w:rPr>
        <w:t>, he ignored binding precedent that mandate</w:t>
      </w:r>
      <w:r w:rsidR="00861FCB">
        <w:rPr>
          <w:sz w:val="26"/>
          <w:szCs w:val="26"/>
        </w:rPr>
        <w:t>d</w:t>
      </w:r>
      <w:r w:rsidR="00A443F1">
        <w:rPr>
          <w:sz w:val="26"/>
          <w:szCs w:val="26"/>
        </w:rPr>
        <w:t xml:space="preserve"> the preliminary objection</w:t>
      </w:r>
      <w:r w:rsidR="00861FCB">
        <w:rPr>
          <w:sz w:val="26"/>
          <w:szCs w:val="26"/>
        </w:rPr>
        <w:t xml:space="preserve"> to jurisdiction be sustained</w:t>
      </w:r>
      <w:r w:rsidR="00A443F1">
        <w:rPr>
          <w:sz w:val="26"/>
          <w:szCs w:val="26"/>
        </w:rPr>
        <w:t xml:space="preserve">.   </w:t>
      </w:r>
    </w:p>
    <w:p w:rsidR="008947E3" w:rsidRDefault="008947E3" w:rsidP="003950AA">
      <w:pPr>
        <w:widowControl/>
        <w:spacing w:line="360" w:lineRule="auto"/>
        <w:ind w:firstLine="1440"/>
        <w:rPr>
          <w:sz w:val="26"/>
          <w:szCs w:val="26"/>
        </w:rPr>
      </w:pPr>
    </w:p>
    <w:p w:rsidR="007832C8" w:rsidRDefault="00D959F1" w:rsidP="003950AA">
      <w:pPr>
        <w:widowControl/>
        <w:spacing w:line="360" w:lineRule="auto"/>
        <w:ind w:firstLine="1440"/>
        <w:rPr>
          <w:sz w:val="26"/>
          <w:szCs w:val="26"/>
        </w:rPr>
      </w:pPr>
      <w:r>
        <w:rPr>
          <w:sz w:val="26"/>
          <w:szCs w:val="26"/>
        </w:rPr>
        <w:t xml:space="preserve">To further illustrate </w:t>
      </w:r>
      <w:r w:rsidR="00861FCB">
        <w:rPr>
          <w:sz w:val="26"/>
          <w:szCs w:val="26"/>
        </w:rPr>
        <w:t>its claimed</w:t>
      </w:r>
      <w:r>
        <w:rPr>
          <w:sz w:val="26"/>
          <w:szCs w:val="26"/>
        </w:rPr>
        <w:t xml:space="preserve"> circumscription of Commission jurisdiction over negligence claims, Alderwoods refers to Section 5.21 of our Regulations, which provides that formal complaints at the Commission involve </w:t>
      </w:r>
      <w:r w:rsidR="007832C8">
        <w:rPr>
          <w:sz w:val="26"/>
          <w:szCs w:val="26"/>
        </w:rPr>
        <w:t>“</w:t>
      </w:r>
      <w:r>
        <w:rPr>
          <w:sz w:val="26"/>
          <w:szCs w:val="26"/>
        </w:rPr>
        <w:t>claimed violation</w:t>
      </w:r>
      <w:r w:rsidR="007832C8">
        <w:rPr>
          <w:sz w:val="26"/>
          <w:szCs w:val="26"/>
        </w:rPr>
        <w:t>[</w:t>
      </w:r>
      <w:r>
        <w:rPr>
          <w:sz w:val="26"/>
          <w:szCs w:val="26"/>
        </w:rPr>
        <w:t>s</w:t>
      </w:r>
      <w:r w:rsidR="007832C8">
        <w:rPr>
          <w:sz w:val="26"/>
          <w:szCs w:val="26"/>
        </w:rPr>
        <w:t>]</w:t>
      </w:r>
      <w:r>
        <w:rPr>
          <w:sz w:val="26"/>
          <w:szCs w:val="26"/>
        </w:rPr>
        <w:t xml:space="preserve"> of a </w:t>
      </w:r>
      <w:r>
        <w:rPr>
          <w:i/>
          <w:sz w:val="26"/>
          <w:szCs w:val="26"/>
        </w:rPr>
        <w:t xml:space="preserve">statute </w:t>
      </w:r>
      <w:r>
        <w:rPr>
          <w:sz w:val="26"/>
          <w:szCs w:val="26"/>
        </w:rPr>
        <w:t xml:space="preserve">which the Commission has jurisdiction to administer, or of a </w:t>
      </w:r>
      <w:r>
        <w:rPr>
          <w:i/>
          <w:sz w:val="26"/>
          <w:szCs w:val="26"/>
        </w:rPr>
        <w:t xml:space="preserve">regulation </w:t>
      </w:r>
      <w:r>
        <w:rPr>
          <w:sz w:val="26"/>
          <w:szCs w:val="26"/>
        </w:rPr>
        <w:t xml:space="preserve">or </w:t>
      </w:r>
      <w:r>
        <w:rPr>
          <w:i/>
          <w:sz w:val="26"/>
          <w:szCs w:val="26"/>
        </w:rPr>
        <w:t>order</w:t>
      </w:r>
      <w:r>
        <w:rPr>
          <w:sz w:val="26"/>
          <w:szCs w:val="26"/>
        </w:rPr>
        <w:t xml:space="preserve"> of the Commission.”  </w:t>
      </w:r>
      <w:r>
        <w:rPr>
          <w:i/>
          <w:sz w:val="26"/>
          <w:szCs w:val="26"/>
        </w:rPr>
        <w:t>Id.</w:t>
      </w:r>
      <w:r>
        <w:rPr>
          <w:sz w:val="26"/>
          <w:szCs w:val="26"/>
        </w:rPr>
        <w:t xml:space="preserve"> at 12 (quoting 52 Pa. Code § 5.21) (emphasis added by Alderwoods).  As Alderwoods contends, it did not allege a violation of the Code or our Regulations</w:t>
      </w:r>
      <w:r w:rsidR="002028CB">
        <w:rPr>
          <w:sz w:val="26"/>
          <w:szCs w:val="26"/>
        </w:rPr>
        <w:t xml:space="preserve"> and any such inference is “a dalliance in the metaphysical.”  </w:t>
      </w:r>
      <w:r w:rsidR="002028CB">
        <w:rPr>
          <w:i/>
          <w:sz w:val="26"/>
          <w:szCs w:val="26"/>
        </w:rPr>
        <w:t>Id.</w:t>
      </w:r>
      <w:r w:rsidR="002028CB">
        <w:rPr>
          <w:sz w:val="26"/>
          <w:szCs w:val="26"/>
        </w:rPr>
        <w:t xml:space="preserve">  </w:t>
      </w:r>
      <w:r w:rsidR="007832C8">
        <w:rPr>
          <w:sz w:val="26"/>
          <w:szCs w:val="26"/>
        </w:rPr>
        <w:t xml:space="preserve">Relying on </w:t>
      </w:r>
      <w:r w:rsidR="007832C8" w:rsidRPr="007832C8">
        <w:rPr>
          <w:i/>
          <w:sz w:val="26"/>
          <w:szCs w:val="26"/>
        </w:rPr>
        <w:t>Elkin</w:t>
      </w:r>
      <w:r w:rsidR="007832C8">
        <w:rPr>
          <w:sz w:val="26"/>
          <w:szCs w:val="26"/>
        </w:rPr>
        <w:t xml:space="preserve">, </w:t>
      </w:r>
      <w:r w:rsidR="007832C8" w:rsidRPr="007832C8">
        <w:rPr>
          <w:i/>
          <w:sz w:val="26"/>
          <w:szCs w:val="26"/>
        </w:rPr>
        <w:t>DeFrancesco</w:t>
      </w:r>
      <w:r w:rsidR="007832C8">
        <w:rPr>
          <w:sz w:val="26"/>
          <w:szCs w:val="26"/>
        </w:rPr>
        <w:t xml:space="preserve">, </w:t>
      </w:r>
      <w:r w:rsidR="007832C8" w:rsidRPr="007832C8">
        <w:rPr>
          <w:i/>
          <w:sz w:val="26"/>
          <w:szCs w:val="26"/>
        </w:rPr>
        <w:t>Schriner</w:t>
      </w:r>
      <w:r w:rsidR="007832C8">
        <w:rPr>
          <w:sz w:val="26"/>
          <w:szCs w:val="26"/>
        </w:rPr>
        <w:t xml:space="preserve">, </w:t>
      </w:r>
      <w:r w:rsidR="007832C8" w:rsidRPr="007832C8">
        <w:rPr>
          <w:i/>
          <w:sz w:val="26"/>
          <w:szCs w:val="26"/>
        </w:rPr>
        <w:t>Poorbaugh</w:t>
      </w:r>
      <w:r w:rsidR="007832C8">
        <w:rPr>
          <w:sz w:val="26"/>
          <w:szCs w:val="26"/>
        </w:rPr>
        <w:t>, and others</w:t>
      </w:r>
      <w:r w:rsidR="007832C8" w:rsidRPr="007832C8">
        <w:rPr>
          <w:sz w:val="26"/>
          <w:szCs w:val="26"/>
        </w:rPr>
        <w:t>,</w:t>
      </w:r>
      <w:r w:rsidR="007832C8">
        <w:rPr>
          <w:i/>
          <w:sz w:val="26"/>
          <w:szCs w:val="26"/>
        </w:rPr>
        <w:t xml:space="preserve"> </w:t>
      </w:r>
      <w:r w:rsidR="007832C8">
        <w:rPr>
          <w:sz w:val="26"/>
          <w:szCs w:val="26"/>
        </w:rPr>
        <w:t xml:space="preserve">including the Supreme Court’s decision in </w:t>
      </w:r>
      <w:r w:rsidR="007832C8">
        <w:rPr>
          <w:i/>
          <w:sz w:val="26"/>
          <w:szCs w:val="26"/>
        </w:rPr>
        <w:t>Alderwoods 2014</w:t>
      </w:r>
      <w:r w:rsidR="00861FCB">
        <w:rPr>
          <w:sz w:val="26"/>
          <w:szCs w:val="26"/>
        </w:rPr>
        <w:t xml:space="preserve"> in </w:t>
      </w:r>
      <w:r w:rsidR="007832C8">
        <w:rPr>
          <w:sz w:val="26"/>
          <w:szCs w:val="26"/>
        </w:rPr>
        <w:t xml:space="preserve">which </w:t>
      </w:r>
      <w:r w:rsidR="00861FCB">
        <w:rPr>
          <w:sz w:val="26"/>
          <w:szCs w:val="26"/>
        </w:rPr>
        <w:t xml:space="preserve">the Court </w:t>
      </w:r>
      <w:r w:rsidR="007832C8">
        <w:rPr>
          <w:sz w:val="26"/>
          <w:szCs w:val="26"/>
        </w:rPr>
        <w:t xml:space="preserve">stated that “the holdings of [these] </w:t>
      </w:r>
      <w:r w:rsidR="007832C8">
        <w:rPr>
          <w:sz w:val="26"/>
          <w:szCs w:val="26"/>
        </w:rPr>
        <w:lastRenderedPageBreak/>
        <w:t>decisions must be read against their facts[,]” Alderwoods concludes that the ALJ’s decision sidesteps the pertinent issues.  Alderwoods Brief at 13</w:t>
      </w:r>
      <w:r w:rsidR="00861FCB">
        <w:rPr>
          <w:sz w:val="26"/>
          <w:szCs w:val="26"/>
        </w:rPr>
        <w:t xml:space="preserve"> (quoting </w:t>
      </w:r>
      <w:r w:rsidR="00861FCB">
        <w:rPr>
          <w:i/>
          <w:sz w:val="26"/>
          <w:szCs w:val="26"/>
        </w:rPr>
        <w:t>Alderwoods 2014</w:t>
      </w:r>
      <w:r w:rsidR="00861FCB">
        <w:rPr>
          <w:sz w:val="26"/>
          <w:szCs w:val="26"/>
        </w:rPr>
        <w:t>, 106 A.3d at 39)</w:t>
      </w:r>
      <w:r w:rsidR="007832C8">
        <w:rPr>
          <w:sz w:val="26"/>
          <w:szCs w:val="26"/>
        </w:rPr>
        <w:t>.  Because there is no</w:t>
      </w:r>
      <w:r w:rsidR="001C101C">
        <w:rPr>
          <w:sz w:val="26"/>
          <w:szCs w:val="26"/>
        </w:rPr>
        <w:t>t</w:t>
      </w:r>
      <w:r w:rsidR="007832C8">
        <w:rPr>
          <w:sz w:val="26"/>
          <w:szCs w:val="26"/>
        </w:rPr>
        <w:t xml:space="preserve"> and has never been an allegation against Duquesne that invoked the primary jurisdiction of this Commission, </w:t>
      </w:r>
      <w:r w:rsidR="00272A05">
        <w:rPr>
          <w:sz w:val="26"/>
          <w:szCs w:val="26"/>
        </w:rPr>
        <w:t xml:space="preserve">Alderwoods contends that </w:t>
      </w:r>
      <w:r w:rsidR="007832C8">
        <w:rPr>
          <w:sz w:val="26"/>
          <w:szCs w:val="26"/>
        </w:rPr>
        <w:t xml:space="preserve">the ALJ’s decision must be reversed in order to prevent substantial prejudice and significantly expedite the ultimate resolution of the case.  </w:t>
      </w:r>
    </w:p>
    <w:p w:rsidR="007832C8" w:rsidRDefault="007832C8" w:rsidP="003950AA">
      <w:pPr>
        <w:widowControl/>
        <w:spacing w:line="360" w:lineRule="auto"/>
        <w:ind w:firstLine="1440"/>
        <w:rPr>
          <w:sz w:val="26"/>
          <w:szCs w:val="26"/>
        </w:rPr>
      </w:pPr>
    </w:p>
    <w:p w:rsidR="00C87748" w:rsidRPr="0059755A" w:rsidRDefault="00272A05" w:rsidP="003950AA">
      <w:pPr>
        <w:widowControl/>
        <w:spacing w:line="360" w:lineRule="auto"/>
        <w:ind w:firstLine="1440"/>
        <w:rPr>
          <w:sz w:val="26"/>
          <w:szCs w:val="26"/>
        </w:rPr>
      </w:pPr>
      <w:r>
        <w:rPr>
          <w:sz w:val="26"/>
          <w:szCs w:val="26"/>
        </w:rPr>
        <w:t xml:space="preserve">In </w:t>
      </w:r>
      <w:r w:rsidR="0059755A">
        <w:rPr>
          <w:sz w:val="26"/>
          <w:szCs w:val="26"/>
        </w:rPr>
        <w:t xml:space="preserve">support </w:t>
      </w:r>
      <w:r>
        <w:rPr>
          <w:sz w:val="26"/>
          <w:szCs w:val="26"/>
        </w:rPr>
        <w:t xml:space="preserve">of its second material question, Alderwoods also challenges the Commission’s jurisdiction on the basis of what it claims was the ALJ’s construction of a hypothetical claim in regulatory law </w:t>
      </w:r>
      <w:r w:rsidR="0059755A">
        <w:rPr>
          <w:sz w:val="26"/>
          <w:szCs w:val="26"/>
        </w:rPr>
        <w:t xml:space="preserve">as opposed to the </w:t>
      </w:r>
      <w:r>
        <w:rPr>
          <w:sz w:val="26"/>
          <w:szCs w:val="26"/>
        </w:rPr>
        <w:t xml:space="preserve">tort </w:t>
      </w:r>
      <w:r w:rsidR="0059755A">
        <w:rPr>
          <w:sz w:val="26"/>
          <w:szCs w:val="26"/>
        </w:rPr>
        <w:t>claim asserted by Alderwoods</w:t>
      </w:r>
      <w:r w:rsidR="00C40637" w:rsidRPr="00C40637">
        <w:rPr>
          <w:sz w:val="26"/>
          <w:szCs w:val="26"/>
        </w:rPr>
        <w:t xml:space="preserve"> in order to retain jurisdiction</w:t>
      </w:r>
      <w:r w:rsidR="0059755A">
        <w:rPr>
          <w:sz w:val="26"/>
          <w:szCs w:val="26"/>
        </w:rPr>
        <w:t>.  This, asserts Alderwoods, essentially renders the proceeding before the Commission hypothetical</w:t>
      </w:r>
      <w:r w:rsidR="00F93DBA">
        <w:rPr>
          <w:sz w:val="26"/>
          <w:szCs w:val="26"/>
        </w:rPr>
        <w:t>,</w:t>
      </w:r>
      <w:r w:rsidR="0059755A">
        <w:rPr>
          <w:sz w:val="26"/>
          <w:szCs w:val="26"/>
        </w:rPr>
        <w:t xml:space="preserve"> </w:t>
      </w:r>
      <w:r w:rsidR="00D612B7">
        <w:rPr>
          <w:sz w:val="26"/>
          <w:szCs w:val="26"/>
        </w:rPr>
        <w:t>lacking</w:t>
      </w:r>
      <w:r w:rsidR="0059755A">
        <w:rPr>
          <w:sz w:val="26"/>
          <w:szCs w:val="26"/>
        </w:rPr>
        <w:t xml:space="preserve"> an actual case or controversy</w:t>
      </w:r>
      <w:r>
        <w:rPr>
          <w:sz w:val="26"/>
          <w:szCs w:val="26"/>
        </w:rPr>
        <w:t xml:space="preserve">. </w:t>
      </w:r>
      <w:r w:rsidR="00D612B7">
        <w:rPr>
          <w:sz w:val="26"/>
          <w:szCs w:val="26"/>
        </w:rPr>
        <w:t xml:space="preserve"> </w:t>
      </w:r>
      <w:r w:rsidR="0059755A">
        <w:rPr>
          <w:sz w:val="26"/>
          <w:szCs w:val="26"/>
        </w:rPr>
        <w:t xml:space="preserve">The Petitioner </w:t>
      </w:r>
      <w:r w:rsidR="00D612B7">
        <w:rPr>
          <w:sz w:val="26"/>
          <w:szCs w:val="26"/>
        </w:rPr>
        <w:t xml:space="preserve">again asserts </w:t>
      </w:r>
      <w:r w:rsidR="0059755A">
        <w:rPr>
          <w:sz w:val="26"/>
          <w:szCs w:val="26"/>
        </w:rPr>
        <w:t xml:space="preserve">that it has never alleged a violation of Section 1501.  Thus, for the Commission to retain jurisdiction in order to adjudicate a hypothetical question that if “proven by a preponderance of evidence at a hearing, the allegations </w:t>
      </w:r>
      <w:r w:rsidR="0059755A">
        <w:rPr>
          <w:i/>
          <w:sz w:val="26"/>
          <w:szCs w:val="26"/>
        </w:rPr>
        <w:t xml:space="preserve">may well constitute </w:t>
      </w:r>
      <w:r w:rsidR="0059755A">
        <w:rPr>
          <w:sz w:val="26"/>
          <w:szCs w:val="26"/>
        </w:rPr>
        <w:t xml:space="preserve">a violation of the reasonable and adequate service requirements of Section 1501 of the Code[,]” “highjack[s] the litigation” and “relegate[s Alderwoods] to bystander status in its own case.”  </w:t>
      </w:r>
      <w:r w:rsidR="00861FCB" w:rsidRPr="00861FCB">
        <w:rPr>
          <w:sz w:val="26"/>
          <w:szCs w:val="26"/>
        </w:rPr>
        <w:t>Alderwoods Brief</w:t>
      </w:r>
      <w:r w:rsidR="0059755A">
        <w:rPr>
          <w:sz w:val="26"/>
          <w:szCs w:val="26"/>
        </w:rPr>
        <w:t xml:space="preserve"> at 13-14.  </w:t>
      </w:r>
    </w:p>
    <w:p w:rsidR="00C87748" w:rsidRDefault="00C87748" w:rsidP="003950AA">
      <w:pPr>
        <w:widowControl/>
        <w:spacing w:line="360" w:lineRule="auto"/>
        <w:ind w:firstLine="1440"/>
        <w:rPr>
          <w:sz w:val="26"/>
          <w:szCs w:val="26"/>
        </w:rPr>
      </w:pPr>
    </w:p>
    <w:p w:rsidR="009E1B1F" w:rsidRDefault="00C868A9" w:rsidP="00E44628">
      <w:pPr>
        <w:pStyle w:val="Heading3"/>
      </w:pPr>
      <w:r w:rsidRPr="00C868A9">
        <w:tab/>
      </w:r>
      <w:r w:rsidR="00AD3895">
        <w:tab/>
      </w:r>
      <w:bookmarkStart w:id="13" w:name="_Toc462297977"/>
      <w:r w:rsidR="00AD3895" w:rsidRPr="00AD3895">
        <w:t>2.</w:t>
      </w:r>
      <w:r w:rsidR="00AD3895" w:rsidRPr="00AD3895">
        <w:tab/>
      </w:r>
      <w:r w:rsidRPr="00C868A9">
        <w:t>Duquesne’s Brief</w:t>
      </w:r>
      <w:bookmarkEnd w:id="13"/>
    </w:p>
    <w:p w:rsidR="009E1B1F" w:rsidRDefault="009E1B1F" w:rsidP="009E1B1F">
      <w:pPr>
        <w:widowControl/>
        <w:spacing w:line="360" w:lineRule="auto"/>
        <w:ind w:firstLine="1440"/>
        <w:rPr>
          <w:sz w:val="26"/>
          <w:szCs w:val="26"/>
        </w:rPr>
      </w:pPr>
    </w:p>
    <w:p w:rsidR="004F1E3E" w:rsidRDefault="004F1E3E" w:rsidP="009E1B1F">
      <w:pPr>
        <w:widowControl/>
        <w:spacing w:line="360" w:lineRule="auto"/>
        <w:ind w:firstLine="1440"/>
        <w:rPr>
          <w:sz w:val="26"/>
          <w:szCs w:val="26"/>
        </w:rPr>
      </w:pPr>
      <w:r>
        <w:rPr>
          <w:sz w:val="26"/>
          <w:szCs w:val="26"/>
        </w:rPr>
        <w:t xml:space="preserve">Duquesne argues that Alderwoods has not made the showing to obtain interlocutory review required by the Commission’s regulations.  First, Duquesne argues that Alderwoods has not shown </w:t>
      </w:r>
      <w:r w:rsidR="009A6DE2">
        <w:rPr>
          <w:sz w:val="26"/>
          <w:szCs w:val="26"/>
        </w:rPr>
        <w:t xml:space="preserve">it will be subject to </w:t>
      </w:r>
      <w:r>
        <w:rPr>
          <w:sz w:val="26"/>
          <w:szCs w:val="26"/>
        </w:rPr>
        <w:t xml:space="preserve">substantial prejudice if the Commission does not answer the Petition.  </w:t>
      </w:r>
      <w:r w:rsidR="00A9655E">
        <w:rPr>
          <w:sz w:val="26"/>
          <w:szCs w:val="26"/>
        </w:rPr>
        <w:t xml:space="preserve">According to </w:t>
      </w:r>
      <w:r w:rsidR="009A6DE2">
        <w:rPr>
          <w:sz w:val="26"/>
          <w:szCs w:val="26"/>
        </w:rPr>
        <w:t>Duquesne</w:t>
      </w:r>
      <w:r w:rsidR="00A9655E">
        <w:rPr>
          <w:sz w:val="26"/>
          <w:szCs w:val="26"/>
        </w:rPr>
        <w:t>,</w:t>
      </w:r>
      <w:r w:rsidR="009A6DE2">
        <w:rPr>
          <w:sz w:val="26"/>
          <w:szCs w:val="26"/>
        </w:rPr>
        <w:t xml:space="preserve"> </w:t>
      </w:r>
      <w:r>
        <w:rPr>
          <w:sz w:val="26"/>
          <w:szCs w:val="26"/>
        </w:rPr>
        <w:t xml:space="preserve">the only prejudice </w:t>
      </w:r>
      <w:r w:rsidR="001D4EB3">
        <w:rPr>
          <w:sz w:val="26"/>
          <w:szCs w:val="26"/>
        </w:rPr>
        <w:t xml:space="preserve">claimed by </w:t>
      </w:r>
      <w:r>
        <w:rPr>
          <w:sz w:val="26"/>
          <w:szCs w:val="26"/>
        </w:rPr>
        <w:t>Alderwoods is the normal time it will take to litigate this matter.  Duquesne</w:t>
      </w:r>
      <w:r w:rsidR="001D4EB3">
        <w:rPr>
          <w:sz w:val="26"/>
          <w:szCs w:val="26"/>
        </w:rPr>
        <w:t xml:space="preserve"> continues that</w:t>
      </w:r>
      <w:r>
        <w:rPr>
          <w:sz w:val="26"/>
          <w:szCs w:val="26"/>
        </w:rPr>
        <w:t xml:space="preserve"> this so-called delay is not typically grounds for prejudice.  Second, Duquesne argues that Alderwoods has not shown how answering the Petition will expedite the conduct of the proceeding.  To the contrary, Duquesne points out that the </w:t>
      </w:r>
      <w:r>
        <w:rPr>
          <w:sz w:val="26"/>
          <w:szCs w:val="26"/>
        </w:rPr>
        <w:lastRenderedPageBreak/>
        <w:t>Commission’s jurisdiction to adjudicate this matter has been argued and decided on multiple occasions in civil court.</w:t>
      </w:r>
      <w:r w:rsidR="009A6DE2">
        <w:rPr>
          <w:sz w:val="26"/>
          <w:szCs w:val="26"/>
        </w:rPr>
        <w:t xml:space="preserve">  After the parties’ four-year trip through the civil courts, it is inconceivable to Duquesne that yet another appeal would advance rather than delay the ultimate resolution of this action.  Duquesne</w:t>
      </w:r>
      <w:r w:rsidR="00C73A69">
        <w:rPr>
          <w:sz w:val="26"/>
          <w:szCs w:val="26"/>
        </w:rPr>
        <w:t xml:space="preserve"> continues that</w:t>
      </w:r>
      <w:r w:rsidR="009A6DE2">
        <w:rPr>
          <w:sz w:val="26"/>
          <w:szCs w:val="26"/>
        </w:rPr>
        <w:t xml:space="preserve"> the only way to expedite this proceeding is for the Commission to move on the merits and adjudicate the Complaint.</w:t>
      </w:r>
    </w:p>
    <w:p w:rsidR="004F1E3E" w:rsidRDefault="004F1E3E" w:rsidP="009E1B1F">
      <w:pPr>
        <w:widowControl/>
        <w:spacing w:line="360" w:lineRule="auto"/>
        <w:ind w:firstLine="1440"/>
        <w:rPr>
          <w:sz w:val="26"/>
          <w:szCs w:val="26"/>
        </w:rPr>
      </w:pPr>
    </w:p>
    <w:p w:rsidR="00D612B7" w:rsidRDefault="00A824CD" w:rsidP="009E1B1F">
      <w:pPr>
        <w:widowControl/>
        <w:spacing w:line="360" w:lineRule="auto"/>
        <w:ind w:firstLine="1440"/>
        <w:rPr>
          <w:sz w:val="26"/>
          <w:szCs w:val="26"/>
        </w:rPr>
      </w:pPr>
      <w:r>
        <w:rPr>
          <w:sz w:val="26"/>
          <w:szCs w:val="26"/>
        </w:rPr>
        <w:t xml:space="preserve">On the merits of the Petition, </w:t>
      </w:r>
      <w:r w:rsidR="001A2894">
        <w:rPr>
          <w:sz w:val="26"/>
          <w:szCs w:val="26"/>
        </w:rPr>
        <w:t xml:space="preserve">Duquesne argues that </w:t>
      </w:r>
      <w:r w:rsidR="00B70732">
        <w:rPr>
          <w:sz w:val="26"/>
          <w:szCs w:val="26"/>
        </w:rPr>
        <w:t>Alderwoods raises jurisdiction issues that have already been rejected</w:t>
      </w:r>
      <w:r>
        <w:rPr>
          <w:sz w:val="26"/>
          <w:szCs w:val="26"/>
        </w:rPr>
        <w:t xml:space="preserve"> by the civil courts</w:t>
      </w:r>
      <w:r w:rsidR="00B70732">
        <w:rPr>
          <w:sz w:val="26"/>
          <w:szCs w:val="26"/>
        </w:rPr>
        <w:t xml:space="preserve">.  </w:t>
      </w:r>
      <w:r w:rsidR="00333ED1">
        <w:rPr>
          <w:sz w:val="26"/>
          <w:szCs w:val="26"/>
        </w:rPr>
        <w:t xml:space="preserve">Contextualizing </w:t>
      </w:r>
      <w:r w:rsidR="00861FCB">
        <w:rPr>
          <w:sz w:val="26"/>
          <w:szCs w:val="26"/>
        </w:rPr>
        <w:t>the</w:t>
      </w:r>
      <w:r w:rsidR="00B70732">
        <w:rPr>
          <w:sz w:val="26"/>
          <w:szCs w:val="26"/>
        </w:rPr>
        <w:t xml:space="preserve"> issue </w:t>
      </w:r>
      <w:r w:rsidR="00333ED1">
        <w:rPr>
          <w:sz w:val="26"/>
          <w:szCs w:val="26"/>
        </w:rPr>
        <w:t xml:space="preserve">in the case </w:t>
      </w:r>
      <w:r w:rsidR="00B70732">
        <w:rPr>
          <w:sz w:val="26"/>
          <w:szCs w:val="26"/>
        </w:rPr>
        <w:t xml:space="preserve">as it wound through the civil courts, Duquesne </w:t>
      </w:r>
      <w:r w:rsidR="00861FCB">
        <w:rPr>
          <w:sz w:val="26"/>
          <w:szCs w:val="26"/>
        </w:rPr>
        <w:t xml:space="preserve">notes that it </w:t>
      </w:r>
      <w:r w:rsidR="00B70732">
        <w:rPr>
          <w:sz w:val="26"/>
          <w:szCs w:val="26"/>
        </w:rPr>
        <w:t xml:space="preserve">argued before the trial court that </w:t>
      </w:r>
      <w:r w:rsidR="001A2894">
        <w:rPr>
          <w:sz w:val="26"/>
          <w:szCs w:val="26"/>
        </w:rPr>
        <w:t>it “owed the Funeral Home no legal duty to enter or inspect the Funeral Home before restoring service and, therefore, as a matter of law it could not be found negligent.”  Duquesne Brief</w:t>
      </w:r>
      <w:r w:rsidR="00F93DBA">
        <w:rPr>
          <w:sz w:val="26"/>
          <w:szCs w:val="26"/>
        </w:rPr>
        <w:t xml:space="preserve"> in Opposition to Petition (Duquesne Brief)</w:t>
      </w:r>
      <w:r w:rsidR="001A2894">
        <w:rPr>
          <w:sz w:val="26"/>
          <w:szCs w:val="26"/>
        </w:rPr>
        <w:t xml:space="preserve"> at 2.</w:t>
      </w:r>
      <w:r w:rsidR="00B70732">
        <w:rPr>
          <w:sz w:val="26"/>
          <w:szCs w:val="26"/>
        </w:rPr>
        <w:t xml:space="preserve">  </w:t>
      </w:r>
      <w:r w:rsidR="00333ED1">
        <w:rPr>
          <w:sz w:val="26"/>
          <w:szCs w:val="26"/>
        </w:rPr>
        <w:t>Upo</w:t>
      </w:r>
      <w:r w:rsidR="00B70732">
        <w:rPr>
          <w:sz w:val="26"/>
          <w:szCs w:val="26"/>
        </w:rPr>
        <w:t>n Alderwoods’ successful appeal</w:t>
      </w:r>
      <w:r w:rsidR="00333ED1">
        <w:rPr>
          <w:sz w:val="26"/>
          <w:szCs w:val="26"/>
        </w:rPr>
        <w:t xml:space="preserve">, however, </w:t>
      </w:r>
      <w:r w:rsidR="00B70732">
        <w:rPr>
          <w:sz w:val="26"/>
          <w:szCs w:val="26"/>
        </w:rPr>
        <w:t xml:space="preserve">Duquesne </w:t>
      </w:r>
      <w:r w:rsidR="00D612B7">
        <w:rPr>
          <w:sz w:val="26"/>
          <w:szCs w:val="26"/>
        </w:rPr>
        <w:t>states</w:t>
      </w:r>
      <w:r w:rsidR="00333ED1">
        <w:rPr>
          <w:sz w:val="26"/>
          <w:szCs w:val="26"/>
        </w:rPr>
        <w:t xml:space="preserve"> that</w:t>
      </w:r>
      <w:r w:rsidR="00B70732">
        <w:rPr>
          <w:sz w:val="26"/>
          <w:szCs w:val="26"/>
        </w:rPr>
        <w:t xml:space="preserve"> the Supreme Court found that </w:t>
      </w:r>
      <w:r w:rsidR="00333ED1">
        <w:rPr>
          <w:sz w:val="26"/>
          <w:szCs w:val="26"/>
        </w:rPr>
        <w:t xml:space="preserve">the Company </w:t>
      </w:r>
      <w:r w:rsidR="00B70732">
        <w:rPr>
          <w:sz w:val="26"/>
          <w:szCs w:val="26"/>
        </w:rPr>
        <w:t xml:space="preserve">could have a duty “to take reasonable measures to avert harm in a scenario in which the utility has actual or constructive knowledge of a dangerous condition impacting a customer’s electrical system, occasioned by fallen and intermixed electrical lines proximate to the customer’s premises.”  </w:t>
      </w:r>
      <w:r w:rsidR="00B70732">
        <w:rPr>
          <w:i/>
          <w:sz w:val="26"/>
          <w:szCs w:val="26"/>
        </w:rPr>
        <w:t>Id.</w:t>
      </w:r>
      <w:r w:rsidR="00B70732">
        <w:rPr>
          <w:sz w:val="26"/>
          <w:szCs w:val="26"/>
        </w:rPr>
        <w:t xml:space="preserve"> (</w:t>
      </w:r>
      <w:r w:rsidR="001B707B">
        <w:rPr>
          <w:sz w:val="26"/>
          <w:szCs w:val="26"/>
        </w:rPr>
        <w:t>quoting</w:t>
      </w:r>
      <w:r w:rsidR="00B70732">
        <w:rPr>
          <w:sz w:val="26"/>
          <w:szCs w:val="26"/>
        </w:rPr>
        <w:t xml:space="preserve"> </w:t>
      </w:r>
      <w:r w:rsidR="00B70732">
        <w:rPr>
          <w:i/>
          <w:sz w:val="26"/>
          <w:szCs w:val="26"/>
        </w:rPr>
        <w:t>Alderwoods 2014</w:t>
      </w:r>
      <w:r w:rsidR="00B70732">
        <w:rPr>
          <w:sz w:val="26"/>
          <w:szCs w:val="26"/>
        </w:rPr>
        <w:t>, 106 A.3d at 42).</w:t>
      </w:r>
      <w:r w:rsidR="00123E94">
        <w:rPr>
          <w:sz w:val="26"/>
          <w:szCs w:val="26"/>
        </w:rPr>
        <w:t xml:space="preserve">  </w:t>
      </w:r>
    </w:p>
    <w:p w:rsidR="00D612B7" w:rsidRDefault="00D612B7" w:rsidP="009E1B1F">
      <w:pPr>
        <w:widowControl/>
        <w:spacing w:line="360" w:lineRule="auto"/>
        <w:ind w:firstLine="1440"/>
        <w:rPr>
          <w:sz w:val="26"/>
          <w:szCs w:val="26"/>
        </w:rPr>
      </w:pPr>
    </w:p>
    <w:p w:rsidR="00A17C0D" w:rsidRDefault="00123E94" w:rsidP="009E1B1F">
      <w:pPr>
        <w:widowControl/>
        <w:spacing w:line="360" w:lineRule="auto"/>
        <w:ind w:firstLine="1440"/>
        <w:rPr>
          <w:sz w:val="26"/>
          <w:szCs w:val="26"/>
        </w:rPr>
      </w:pPr>
      <w:r>
        <w:rPr>
          <w:sz w:val="26"/>
          <w:szCs w:val="26"/>
        </w:rPr>
        <w:t xml:space="preserve">Duquesne asserts that Alderwoods amended its negligence action </w:t>
      </w:r>
      <w:r w:rsidR="00D612B7">
        <w:rPr>
          <w:sz w:val="26"/>
          <w:szCs w:val="26"/>
        </w:rPr>
        <w:t xml:space="preserve">on remand </w:t>
      </w:r>
      <w:r>
        <w:rPr>
          <w:sz w:val="26"/>
          <w:szCs w:val="26"/>
        </w:rPr>
        <w:t xml:space="preserve">to include Duquesne’s duty to warn and negligent restoration, an amendment that Duquesne asserts was a fundamental change in its allegation because it now encompassed “subjects that are comprehensively and exclusively regulated by the PUC – restoration of electrical service and communications with customers before restoring service[.]”  </w:t>
      </w:r>
      <w:r w:rsidR="0084737B">
        <w:rPr>
          <w:sz w:val="26"/>
          <w:szCs w:val="26"/>
        </w:rPr>
        <w:t xml:space="preserve">Duquesne Brief </w:t>
      </w:r>
      <w:r>
        <w:rPr>
          <w:sz w:val="26"/>
          <w:szCs w:val="26"/>
        </w:rPr>
        <w:t>at</w:t>
      </w:r>
      <w:r w:rsidR="00D612B7">
        <w:rPr>
          <w:sz w:val="26"/>
          <w:szCs w:val="26"/>
        </w:rPr>
        <w:t> </w:t>
      </w:r>
      <w:r>
        <w:rPr>
          <w:sz w:val="26"/>
          <w:szCs w:val="26"/>
        </w:rPr>
        <w:t>3.  Duquesne contends the trial court properly bifurcated the liability claim</w:t>
      </w:r>
      <w:r w:rsidR="00C40637">
        <w:rPr>
          <w:sz w:val="26"/>
          <w:szCs w:val="26"/>
        </w:rPr>
        <w:t>,</w:t>
      </w:r>
      <w:r>
        <w:rPr>
          <w:sz w:val="26"/>
          <w:szCs w:val="26"/>
        </w:rPr>
        <w:t xml:space="preserve"> and the Superior Court refused further review, decisions </w:t>
      </w:r>
      <w:r w:rsidR="00C40637">
        <w:rPr>
          <w:sz w:val="26"/>
          <w:szCs w:val="26"/>
        </w:rPr>
        <w:t xml:space="preserve">Duquesne argues </w:t>
      </w:r>
      <w:r>
        <w:rPr>
          <w:sz w:val="26"/>
          <w:szCs w:val="26"/>
        </w:rPr>
        <w:t xml:space="preserve">we are bound to follow.  </w:t>
      </w:r>
      <w:r>
        <w:rPr>
          <w:i/>
          <w:sz w:val="26"/>
          <w:szCs w:val="26"/>
        </w:rPr>
        <w:t>Id.</w:t>
      </w:r>
      <w:r>
        <w:rPr>
          <w:sz w:val="26"/>
          <w:szCs w:val="26"/>
        </w:rPr>
        <w:t xml:space="preserve"> at 4, 6.  Duquesne contends that Alderwoods simply justifies </w:t>
      </w:r>
      <w:r w:rsidR="00C40637">
        <w:rPr>
          <w:sz w:val="26"/>
          <w:szCs w:val="26"/>
        </w:rPr>
        <w:t xml:space="preserve">interlocutory </w:t>
      </w:r>
      <w:r>
        <w:rPr>
          <w:sz w:val="26"/>
          <w:szCs w:val="26"/>
        </w:rPr>
        <w:t xml:space="preserve">review by </w:t>
      </w:r>
      <w:r w:rsidR="00A17C0D">
        <w:rPr>
          <w:sz w:val="26"/>
          <w:szCs w:val="26"/>
        </w:rPr>
        <w:t xml:space="preserve">arguing </w:t>
      </w:r>
      <w:r>
        <w:rPr>
          <w:sz w:val="26"/>
          <w:szCs w:val="26"/>
        </w:rPr>
        <w:t xml:space="preserve">the length of time </w:t>
      </w:r>
      <w:r w:rsidR="00165E30">
        <w:rPr>
          <w:sz w:val="26"/>
          <w:szCs w:val="26"/>
        </w:rPr>
        <w:t>that has passed</w:t>
      </w:r>
      <w:r>
        <w:rPr>
          <w:sz w:val="26"/>
          <w:szCs w:val="26"/>
        </w:rPr>
        <w:t xml:space="preserve">, </w:t>
      </w:r>
      <w:r w:rsidR="00165E30">
        <w:rPr>
          <w:sz w:val="26"/>
          <w:szCs w:val="26"/>
        </w:rPr>
        <w:t>claiming ALJ</w:t>
      </w:r>
      <w:r>
        <w:rPr>
          <w:sz w:val="26"/>
          <w:szCs w:val="26"/>
        </w:rPr>
        <w:t xml:space="preserve"> error, </w:t>
      </w:r>
      <w:r>
        <w:rPr>
          <w:sz w:val="26"/>
          <w:szCs w:val="26"/>
        </w:rPr>
        <w:lastRenderedPageBreak/>
        <w:t>and threat</w:t>
      </w:r>
      <w:r w:rsidR="00165E30">
        <w:rPr>
          <w:sz w:val="26"/>
          <w:szCs w:val="26"/>
        </w:rPr>
        <w:t>ening</w:t>
      </w:r>
      <w:r w:rsidR="00A17C0D">
        <w:rPr>
          <w:sz w:val="26"/>
          <w:szCs w:val="26"/>
        </w:rPr>
        <w:t xml:space="preserve"> an appeal, none of which </w:t>
      </w:r>
      <w:r w:rsidR="00C40637">
        <w:rPr>
          <w:sz w:val="26"/>
          <w:szCs w:val="26"/>
        </w:rPr>
        <w:t>presents</w:t>
      </w:r>
      <w:r w:rsidR="00A17C0D">
        <w:rPr>
          <w:sz w:val="26"/>
          <w:szCs w:val="26"/>
        </w:rPr>
        <w:t xml:space="preserve"> an exceptional circumstance.  According to Duquesne, “[t]he only way to expedite this proceeding is to move on to the merits.”  </w:t>
      </w:r>
      <w:r w:rsidR="00A17C0D">
        <w:rPr>
          <w:i/>
          <w:sz w:val="26"/>
          <w:szCs w:val="26"/>
        </w:rPr>
        <w:t>Id.</w:t>
      </w:r>
      <w:r w:rsidR="00A17C0D">
        <w:rPr>
          <w:sz w:val="26"/>
          <w:szCs w:val="26"/>
        </w:rPr>
        <w:t xml:space="preserve"> at 7.  </w:t>
      </w:r>
    </w:p>
    <w:p w:rsidR="00A17C0D" w:rsidRDefault="00A17C0D" w:rsidP="009E1B1F">
      <w:pPr>
        <w:widowControl/>
        <w:spacing w:line="360" w:lineRule="auto"/>
        <w:ind w:firstLine="1440"/>
        <w:rPr>
          <w:sz w:val="26"/>
          <w:szCs w:val="26"/>
        </w:rPr>
      </w:pPr>
    </w:p>
    <w:p w:rsidR="00AA7F5C" w:rsidRDefault="00D612B7" w:rsidP="009E1B1F">
      <w:pPr>
        <w:widowControl/>
        <w:spacing w:line="360" w:lineRule="auto"/>
        <w:ind w:firstLine="1440"/>
        <w:rPr>
          <w:sz w:val="26"/>
          <w:szCs w:val="26"/>
        </w:rPr>
      </w:pPr>
      <w:r>
        <w:rPr>
          <w:sz w:val="26"/>
          <w:szCs w:val="26"/>
        </w:rPr>
        <w:t xml:space="preserve">Arguing </w:t>
      </w:r>
      <w:r w:rsidR="00A17C0D">
        <w:rPr>
          <w:sz w:val="26"/>
          <w:szCs w:val="26"/>
        </w:rPr>
        <w:t xml:space="preserve">in favor of the Commission’s exertion of primary jurisdiction over the claim, Duquesne, like Alderwoods, relies on the principle set forth in </w:t>
      </w:r>
      <w:r w:rsidR="00A17C0D">
        <w:rPr>
          <w:i/>
          <w:sz w:val="26"/>
          <w:szCs w:val="26"/>
        </w:rPr>
        <w:t>Elkin</w:t>
      </w:r>
      <w:r w:rsidR="00A17C0D">
        <w:rPr>
          <w:sz w:val="26"/>
          <w:szCs w:val="26"/>
        </w:rPr>
        <w:t xml:space="preserve">, that </w:t>
      </w:r>
      <w:r w:rsidR="001B707B">
        <w:rPr>
          <w:sz w:val="26"/>
          <w:szCs w:val="26"/>
        </w:rPr>
        <w:t xml:space="preserve">if a </w:t>
      </w:r>
      <w:r w:rsidR="00A17C0D">
        <w:rPr>
          <w:sz w:val="26"/>
          <w:szCs w:val="26"/>
        </w:rPr>
        <w:t xml:space="preserve">subject </w:t>
      </w:r>
      <w:r w:rsidR="001B707B">
        <w:rPr>
          <w:sz w:val="26"/>
          <w:szCs w:val="26"/>
        </w:rPr>
        <w:t xml:space="preserve">is </w:t>
      </w:r>
      <w:r w:rsidR="00A17C0D">
        <w:rPr>
          <w:sz w:val="26"/>
          <w:szCs w:val="26"/>
        </w:rPr>
        <w:t>complex, requiring an agency’s special expertise, and outside the familiarity of a judge or jury</w:t>
      </w:r>
      <w:r w:rsidR="001B707B">
        <w:rPr>
          <w:sz w:val="26"/>
          <w:szCs w:val="26"/>
        </w:rPr>
        <w:t>, it should be referred to the appropriate agency</w:t>
      </w:r>
      <w:r w:rsidR="00A17C0D">
        <w:rPr>
          <w:sz w:val="26"/>
          <w:szCs w:val="26"/>
        </w:rPr>
        <w:t xml:space="preserve">.  </w:t>
      </w:r>
      <w:r w:rsidR="00AA7F5C">
        <w:rPr>
          <w:sz w:val="26"/>
          <w:szCs w:val="26"/>
        </w:rPr>
        <w:t xml:space="preserve">Duquesne </w:t>
      </w:r>
      <w:r w:rsidR="00D319FF">
        <w:rPr>
          <w:sz w:val="26"/>
          <w:szCs w:val="26"/>
        </w:rPr>
        <w:t xml:space="preserve">again </w:t>
      </w:r>
      <w:r w:rsidR="00AA7F5C">
        <w:rPr>
          <w:sz w:val="26"/>
          <w:szCs w:val="26"/>
        </w:rPr>
        <w:t>characterizes Alderwoods</w:t>
      </w:r>
      <w:r w:rsidR="00D319FF">
        <w:rPr>
          <w:sz w:val="26"/>
          <w:szCs w:val="26"/>
        </w:rPr>
        <w:t>’</w:t>
      </w:r>
      <w:r w:rsidR="00AA7F5C">
        <w:rPr>
          <w:sz w:val="26"/>
          <w:szCs w:val="26"/>
        </w:rPr>
        <w:t xml:space="preserve"> claim </w:t>
      </w:r>
      <w:r w:rsidR="00D319FF">
        <w:rPr>
          <w:sz w:val="26"/>
          <w:szCs w:val="26"/>
        </w:rPr>
        <w:t xml:space="preserve">as requiring customer communications before service restorations, stating as </w:t>
      </w:r>
      <w:r w:rsidR="00AA7F5C">
        <w:rPr>
          <w:sz w:val="26"/>
          <w:szCs w:val="26"/>
        </w:rPr>
        <w:t>follows:</w:t>
      </w:r>
    </w:p>
    <w:p w:rsidR="00AA7F5C" w:rsidRDefault="00AA7F5C" w:rsidP="009E1B1F">
      <w:pPr>
        <w:widowControl/>
        <w:spacing w:line="360" w:lineRule="auto"/>
        <w:ind w:firstLine="1440"/>
        <w:rPr>
          <w:sz w:val="26"/>
          <w:szCs w:val="26"/>
        </w:rPr>
      </w:pPr>
    </w:p>
    <w:p w:rsidR="00C147B2" w:rsidRDefault="00A17C0D" w:rsidP="00C147B2">
      <w:pPr>
        <w:widowControl/>
        <w:ind w:left="1440" w:right="1440" w:firstLine="720"/>
        <w:rPr>
          <w:sz w:val="26"/>
          <w:szCs w:val="26"/>
        </w:rPr>
      </w:pPr>
      <w:r>
        <w:rPr>
          <w:sz w:val="26"/>
          <w:szCs w:val="26"/>
        </w:rPr>
        <w:t>This case</w:t>
      </w:r>
      <w:r w:rsidR="00AA7F5C">
        <w:rPr>
          <w:sz w:val="26"/>
          <w:szCs w:val="26"/>
        </w:rPr>
        <w:t xml:space="preserve"> </w:t>
      </w:r>
      <w:r>
        <w:rPr>
          <w:sz w:val="26"/>
          <w:szCs w:val="26"/>
        </w:rPr>
        <w:t xml:space="preserve">falls squarely </w:t>
      </w:r>
      <w:r w:rsidRPr="00C40637">
        <w:rPr>
          <w:sz w:val="26"/>
          <w:szCs w:val="26"/>
        </w:rPr>
        <w:t>within the PUC’s competence because it revolves around the responsibilities a utility company owes to its customer before restoring service after an outag</w:t>
      </w:r>
      <w:r>
        <w:rPr>
          <w:sz w:val="26"/>
          <w:szCs w:val="26"/>
        </w:rPr>
        <w:t>e.</w:t>
      </w:r>
      <w:r w:rsidR="00AA7F5C">
        <w:rPr>
          <w:sz w:val="26"/>
          <w:szCs w:val="26"/>
        </w:rPr>
        <w:t xml:space="preserve">  The thrust of Complainant’s claim is that it was unsafe and unreasonable for Duquesne Light </w:t>
      </w:r>
      <w:r w:rsidR="00AA7F5C" w:rsidRPr="00AA7F5C">
        <w:rPr>
          <w:sz w:val="26"/>
          <w:szCs w:val="26"/>
        </w:rPr>
        <w:t>to restore service to the Funeral Home without first engaging in certain communications with its customer</w:t>
      </w:r>
      <w:r w:rsidR="00AA7F5C">
        <w:rPr>
          <w:sz w:val="26"/>
          <w:szCs w:val="26"/>
        </w:rPr>
        <w:t>.  Such service-related issues are within the exclusive jurisdiction of the PUC.</w:t>
      </w:r>
      <w:r>
        <w:rPr>
          <w:sz w:val="26"/>
          <w:szCs w:val="26"/>
        </w:rPr>
        <w:t xml:space="preserve">  </w:t>
      </w:r>
    </w:p>
    <w:p w:rsidR="005D20DC" w:rsidRDefault="005D20DC" w:rsidP="00C147B2">
      <w:pPr>
        <w:widowControl/>
        <w:ind w:left="1440" w:right="1440" w:firstLine="720"/>
        <w:rPr>
          <w:sz w:val="26"/>
          <w:szCs w:val="26"/>
        </w:rPr>
      </w:pPr>
    </w:p>
    <w:p w:rsidR="005D20DC" w:rsidRDefault="005D20DC" w:rsidP="00C147B2">
      <w:pPr>
        <w:widowControl/>
        <w:ind w:left="1440" w:right="1440" w:firstLine="720"/>
        <w:rPr>
          <w:sz w:val="26"/>
          <w:szCs w:val="26"/>
        </w:rPr>
      </w:pPr>
    </w:p>
    <w:p w:rsidR="009E1B1F" w:rsidRPr="00796D85" w:rsidRDefault="00C40637" w:rsidP="00C147B2">
      <w:pPr>
        <w:widowControl/>
        <w:spacing w:line="360" w:lineRule="auto"/>
        <w:rPr>
          <w:i/>
          <w:sz w:val="26"/>
          <w:szCs w:val="26"/>
        </w:rPr>
      </w:pPr>
      <w:r>
        <w:rPr>
          <w:sz w:val="26"/>
          <w:szCs w:val="26"/>
        </w:rPr>
        <w:t xml:space="preserve">Duquesne Brief </w:t>
      </w:r>
      <w:r w:rsidR="00C147B2">
        <w:rPr>
          <w:sz w:val="26"/>
          <w:szCs w:val="26"/>
        </w:rPr>
        <w:t xml:space="preserve">at 8.  Relying on Sections 102 and 1501 of the Code, </w:t>
      </w:r>
      <w:r w:rsidR="00361E5D">
        <w:rPr>
          <w:sz w:val="26"/>
          <w:szCs w:val="26"/>
        </w:rPr>
        <w:t>our Regulations at Subchapter N of Chapter 57, 52 Pa. Code §§</w:t>
      </w:r>
      <w:r w:rsidR="000F4435">
        <w:rPr>
          <w:sz w:val="26"/>
          <w:szCs w:val="26"/>
        </w:rPr>
        <w:t xml:space="preserve"> </w:t>
      </w:r>
      <w:r w:rsidR="00361E5D">
        <w:rPr>
          <w:sz w:val="26"/>
          <w:szCs w:val="26"/>
        </w:rPr>
        <w:t xml:space="preserve">57.191-57.198, and </w:t>
      </w:r>
      <w:r w:rsidR="00724CFA">
        <w:rPr>
          <w:sz w:val="26"/>
          <w:szCs w:val="26"/>
        </w:rPr>
        <w:t xml:space="preserve">the </w:t>
      </w:r>
      <w:r w:rsidR="00361E5D">
        <w:rPr>
          <w:sz w:val="26"/>
          <w:szCs w:val="26"/>
        </w:rPr>
        <w:t xml:space="preserve">policy statement at </w:t>
      </w:r>
      <w:r w:rsidR="00361E5D" w:rsidRPr="00361E5D">
        <w:rPr>
          <w:sz w:val="26"/>
          <w:szCs w:val="26"/>
        </w:rPr>
        <w:t>52 Pa. Code §§ 69.1901-69.1903</w:t>
      </w:r>
      <w:r w:rsidR="00165E30">
        <w:rPr>
          <w:sz w:val="26"/>
          <w:szCs w:val="26"/>
        </w:rPr>
        <w:t xml:space="preserve">, </w:t>
      </w:r>
      <w:r w:rsidR="00C147B2">
        <w:rPr>
          <w:sz w:val="26"/>
          <w:szCs w:val="26"/>
        </w:rPr>
        <w:t>Duquesne argues that “[u]nder this broad grant of authority, the actions at the heart</w:t>
      </w:r>
      <w:r w:rsidR="005D20DC">
        <w:rPr>
          <w:sz w:val="26"/>
          <w:szCs w:val="26"/>
        </w:rPr>
        <w:t xml:space="preserve"> </w:t>
      </w:r>
      <w:r w:rsidR="00C147B2">
        <w:rPr>
          <w:sz w:val="26"/>
          <w:szCs w:val="26"/>
        </w:rPr>
        <w:t xml:space="preserve">of Complainant’s case fall within the realm of ‘service.’”  </w:t>
      </w:r>
      <w:r w:rsidR="00C147B2">
        <w:rPr>
          <w:i/>
          <w:sz w:val="26"/>
          <w:szCs w:val="26"/>
        </w:rPr>
        <w:t>Id</w:t>
      </w:r>
      <w:r w:rsidR="00D62EB4">
        <w:rPr>
          <w:i/>
          <w:sz w:val="26"/>
          <w:szCs w:val="26"/>
        </w:rPr>
        <w:t>.</w:t>
      </w:r>
      <w:r w:rsidR="00361E5D">
        <w:rPr>
          <w:sz w:val="26"/>
          <w:szCs w:val="26"/>
        </w:rPr>
        <w:t xml:space="preserve">  Duquesne’s position is not just that Alderwoods’ theory of liability is </w:t>
      </w:r>
      <w:r w:rsidR="00361E5D">
        <w:rPr>
          <w:i/>
          <w:sz w:val="26"/>
          <w:szCs w:val="26"/>
        </w:rPr>
        <w:t xml:space="preserve">within </w:t>
      </w:r>
      <w:r w:rsidR="00361E5D">
        <w:rPr>
          <w:sz w:val="26"/>
          <w:szCs w:val="26"/>
        </w:rPr>
        <w:t xml:space="preserve">our jurisdiction, but that </w:t>
      </w:r>
      <w:r w:rsidR="00E047D0">
        <w:rPr>
          <w:sz w:val="26"/>
          <w:szCs w:val="26"/>
        </w:rPr>
        <w:t>the Funeral Home’s</w:t>
      </w:r>
      <w:r w:rsidR="00361E5D">
        <w:rPr>
          <w:sz w:val="26"/>
          <w:szCs w:val="26"/>
        </w:rPr>
        <w:t xml:space="preserve"> allegations </w:t>
      </w:r>
      <w:r w:rsidR="00361E5D" w:rsidRPr="00361E5D">
        <w:rPr>
          <w:i/>
          <w:sz w:val="26"/>
          <w:szCs w:val="26"/>
        </w:rPr>
        <w:t>depend</w:t>
      </w:r>
      <w:r w:rsidR="00361E5D">
        <w:rPr>
          <w:sz w:val="26"/>
          <w:szCs w:val="26"/>
        </w:rPr>
        <w:t xml:space="preserve"> on those matters within our jurisdiction</w:t>
      </w:r>
      <w:r w:rsidR="00E047D0">
        <w:rPr>
          <w:sz w:val="26"/>
          <w:szCs w:val="26"/>
        </w:rPr>
        <w:t>.  This is so, argues Duquesne,</w:t>
      </w:r>
      <w:r w:rsidR="00361E5D">
        <w:rPr>
          <w:sz w:val="26"/>
          <w:szCs w:val="26"/>
        </w:rPr>
        <w:t xml:space="preserve"> because we administer </w:t>
      </w:r>
      <w:r w:rsidR="00165E30">
        <w:rPr>
          <w:sz w:val="26"/>
          <w:szCs w:val="26"/>
        </w:rPr>
        <w:t>R</w:t>
      </w:r>
      <w:r w:rsidR="00361E5D">
        <w:rPr>
          <w:sz w:val="26"/>
          <w:szCs w:val="26"/>
        </w:rPr>
        <w:t>egulations governing service restoration and have special expertise to determine liability</w:t>
      </w:r>
      <w:r w:rsidR="00796D85">
        <w:rPr>
          <w:sz w:val="26"/>
          <w:szCs w:val="26"/>
        </w:rPr>
        <w:t xml:space="preserve"> “in light of the practical implications of the duty Complainant seeks to impose.”  </w:t>
      </w:r>
      <w:r w:rsidR="00796D85">
        <w:rPr>
          <w:i/>
          <w:sz w:val="26"/>
          <w:szCs w:val="26"/>
        </w:rPr>
        <w:t>Id.</w:t>
      </w:r>
      <w:r w:rsidR="00796D85">
        <w:rPr>
          <w:sz w:val="26"/>
          <w:szCs w:val="26"/>
        </w:rPr>
        <w:t xml:space="preserve"> at 9.</w:t>
      </w:r>
    </w:p>
    <w:p w:rsidR="005D20DC" w:rsidRDefault="005D20DC" w:rsidP="00C147B2">
      <w:pPr>
        <w:widowControl/>
        <w:spacing w:line="360" w:lineRule="auto"/>
        <w:rPr>
          <w:sz w:val="26"/>
          <w:szCs w:val="26"/>
        </w:rPr>
      </w:pPr>
    </w:p>
    <w:p w:rsidR="005D20DC" w:rsidRDefault="00C40637" w:rsidP="005D20DC">
      <w:pPr>
        <w:widowControl/>
        <w:spacing w:line="360" w:lineRule="auto"/>
        <w:ind w:firstLine="1440"/>
        <w:rPr>
          <w:sz w:val="26"/>
          <w:szCs w:val="26"/>
        </w:rPr>
      </w:pPr>
      <w:r>
        <w:rPr>
          <w:sz w:val="26"/>
          <w:szCs w:val="26"/>
        </w:rPr>
        <w:lastRenderedPageBreak/>
        <w:t>R</w:t>
      </w:r>
      <w:r w:rsidR="00E047D0">
        <w:rPr>
          <w:sz w:val="26"/>
          <w:szCs w:val="26"/>
        </w:rPr>
        <w:t>espond</w:t>
      </w:r>
      <w:r>
        <w:rPr>
          <w:sz w:val="26"/>
          <w:szCs w:val="26"/>
        </w:rPr>
        <w:t>ing</w:t>
      </w:r>
      <w:r w:rsidR="00E047D0">
        <w:rPr>
          <w:sz w:val="26"/>
          <w:szCs w:val="26"/>
        </w:rPr>
        <w:t xml:space="preserve"> to Alderwoods</w:t>
      </w:r>
      <w:r w:rsidR="00D612B7">
        <w:rPr>
          <w:sz w:val="26"/>
          <w:szCs w:val="26"/>
        </w:rPr>
        <w:t>’</w:t>
      </w:r>
      <w:r w:rsidR="00E047D0">
        <w:rPr>
          <w:sz w:val="26"/>
          <w:szCs w:val="26"/>
        </w:rPr>
        <w:t xml:space="preserve"> suggestion that </w:t>
      </w:r>
      <w:r w:rsidR="00165E30">
        <w:rPr>
          <w:sz w:val="26"/>
          <w:szCs w:val="26"/>
        </w:rPr>
        <w:t xml:space="preserve">a </w:t>
      </w:r>
      <w:r w:rsidR="00E047D0">
        <w:rPr>
          <w:sz w:val="26"/>
          <w:szCs w:val="26"/>
        </w:rPr>
        <w:t>negligence claim accompanied by a claim for damages</w:t>
      </w:r>
      <w:r w:rsidR="00165E30">
        <w:rPr>
          <w:sz w:val="26"/>
          <w:szCs w:val="26"/>
        </w:rPr>
        <w:t xml:space="preserve"> is </w:t>
      </w:r>
      <w:r w:rsidR="00E047D0">
        <w:rPr>
          <w:sz w:val="26"/>
          <w:szCs w:val="26"/>
        </w:rPr>
        <w:t>outside the Commission’s ability to adjudicate</w:t>
      </w:r>
      <w:r>
        <w:rPr>
          <w:sz w:val="26"/>
          <w:szCs w:val="26"/>
        </w:rPr>
        <w:t xml:space="preserve">, </w:t>
      </w:r>
      <w:r w:rsidR="00E047D0">
        <w:rPr>
          <w:sz w:val="26"/>
          <w:szCs w:val="26"/>
        </w:rPr>
        <w:t xml:space="preserve">Duquesne asserts that it is precisely for this reason that the </w:t>
      </w:r>
      <w:r w:rsidR="00E047D0">
        <w:rPr>
          <w:i/>
          <w:sz w:val="26"/>
          <w:szCs w:val="26"/>
        </w:rPr>
        <w:t>Elkin</w:t>
      </w:r>
      <w:r w:rsidR="00E047D0">
        <w:rPr>
          <w:sz w:val="26"/>
          <w:szCs w:val="26"/>
        </w:rPr>
        <w:t xml:space="preserve"> Court established the bifu</w:t>
      </w:r>
      <w:r w:rsidR="0044575B">
        <w:rPr>
          <w:sz w:val="26"/>
          <w:szCs w:val="26"/>
        </w:rPr>
        <w:t>r</w:t>
      </w:r>
      <w:r w:rsidR="00E047D0">
        <w:rPr>
          <w:sz w:val="26"/>
          <w:szCs w:val="26"/>
        </w:rPr>
        <w:t>cation process.  To accept otherwise, contends Duquesne, would “</w:t>
      </w:r>
      <w:r w:rsidR="0044575B">
        <w:rPr>
          <w:sz w:val="26"/>
          <w:szCs w:val="26"/>
        </w:rPr>
        <w:t>‘</w:t>
      </w:r>
      <w:r w:rsidR="00E047D0">
        <w:rPr>
          <w:sz w:val="26"/>
          <w:szCs w:val="26"/>
        </w:rPr>
        <w:t xml:space="preserve">virtually strip’ the PUC of all jurisdiction merely by framing the allegations in contractual and/or trespassory terminology, and demanding damages.”  Duquesne Brief at 10 (citing </w:t>
      </w:r>
      <w:r w:rsidR="00E047D0">
        <w:rPr>
          <w:i/>
          <w:sz w:val="26"/>
          <w:szCs w:val="26"/>
        </w:rPr>
        <w:t xml:space="preserve">Elkin </w:t>
      </w:r>
      <w:r w:rsidR="0044575B" w:rsidRPr="0044575B">
        <w:rPr>
          <w:sz w:val="26"/>
          <w:szCs w:val="26"/>
        </w:rPr>
        <w:t>(in turn citing</w:t>
      </w:r>
      <w:r w:rsidR="0044575B">
        <w:rPr>
          <w:i/>
          <w:sz w:val="26"/>
          <w:szCs w:val="26"/>
        </w:rPr>
        <w:t xml:space="preserve"> Feingold</w:t>
      </w:r>
      <w:r w:rsidR="0044575B">
        <w:rPr>
          <w:sz w:val="26"/>
          <w:szCs w:val="26"/>
        </w:rPr>
        <w:t>)</w:t>
      </w:r>
      <w:r w:rsidR="00E047D0">
        <w:rPr>
          <w:sz w:val="26"/>
          <w:szCs w:val="26"/>
        </w:rPr>
        <w:t>, 420 A.2d at 375</w:t>
      </w:r>
      <w:r w:rsidR="0044575B">
        <w:rPr>
          <w:sz w:val="26"/>
          <w:szCs w:val="26"/>
        </w:rPr>
        <w:t xml:space="preserve">; </w:t>
      </w:r>
      <w:r w:rsidR="0044575B">
        <w:rPr>
          <w:i/>
          <w:sz w:val="26"/>
          <w:szCs w:val="26"/>
        </w:rPr>
        <w:t>Lolly</w:t>
      </w:r>
      <w:r w:rsidR="00E047D0">
        <w:rPr>
          <w:sz w:val="26"/>
          <w:szCs w:val="26"/>
        </w:rPr>
        <w:t xml:space="preserve">). </w:t>
      </w:r>
    </w:p>
    <w:p w:rsidR="0044575B" w:rsidRDefault="0044575B" w:rsidP="005D20DC">
      <w:pPr>
        <w:widowControl/>
        <w:spacing w:line="360" w:lineRule="auto"/>
        <w:ind w:firstLine="1440"/>
        <w:rPr>
          <w:sz w:val="26"/>
          <w:szCs w:val="26"/>
        </w:rPr>
      </w:pPr>
    </w:p>
    <w:p w:rsidR="00D319FF" w:rsidRDefault="0044575B" w:rsidP="005D20DC">
      <w:pPr>
        <w:widowControl/>
        <w:spacing w:line="360" w:lineRule="auto"/>
        <w:ind w:firstLine="1440"/>
        <w:rPr>
          <w:sz w:val="26"/>
          <w:szCs w:val="26"/>
        </w:rPr>
      </w:pPr>
      <w:r>
        <w:rPr>
          <w:sz w:val="26"/>
          <w:szCs w:val="26"/>
        </w:rPr>
        <w:t xml:space="preserve">Finally, Duquesne contends that the </w:t>
      </w:r>
      <w:r>
        <w:rPr>
          <w:i/>
          <w:sz w:val="26"/>
          <w:szCs w:val="26"/>
        </w:rPr>
        <w:t>Poorbaugh</w:t>
      </w:r>
      <w:r w:rsidRPr="0044575B">
        <w:rPr>
          <w:sz w:val="26"/>
          <w:szCs w:val="26"/>
        </w:rPr>
        <w:t>,</w:t>
      </w:r>
      <w:r>
        <w:rPr>
          <w:i/>
          <w:sz w:val="26"/>
          <w:szCs w:val="26"/>
        </w:rPr>
        <w:t xml:space="preserve"> DeFrancesco</w:t>
      </w:r>
      <w:r w:rsidRPr="0044575B">
        <w:rPr>
          <w:sz w:val="26"/>
          <w:szCs w:val="26"/>
        </w:rPr>
        <w:t>,</w:t>
      </w:r>
      <w:r>
        <w:rPr>
          <w:i/>
          <w:sz w:val="26"/>
          <w:szCs w:val="26"/>
        </w:rPr>
        <w:t xml:space="preserve"> </w:t>
      </w:r>
      <w:r>
        <w:rPr>
          <w:sz w:val="26"/>
          <w:szCs w:val="26"/>
        </w:rPr>
        <w:t xml:space="preserve">and </w:t>
      </w:r>
      <w:r>
        <w:rPr>
          <w:i/>
          <w:sz w:val="26"/>
          <w:szCs w:val="26"/>
        </w:rPr>
        <w:t xml:space="preserve">Schriner </w:t>
      </w:r>
      <w:r>
        <w:rPr>
          <w:sz w:val="26"/>
          <w:szCs w:val="26"/>
        </w:rPr>
        <w:t xml:space="preserve">cases relied on by Alderwoods do not undermine the ALJ’s Order.  </w:t>
      </w:r>
      <w:r>
        <w:rPr>
          <w:i/>
          <w:sz w:val="26"/>
          <w:szCs w:val="26"/>
        </w:rPr>
        <w:t>Poorbaugh</w:t>
      </w:r>
      <w:r>
        <w:rPr>
          <w:sz w:val="26"/>
          <w:szCs w:val="26"/>
        </w:rPr>
        <w:t xml:space="preserve">, contends Duquesne, is wholly distinguishable because the theory of liability is entirely different, implicating negligence by the utility’s care of its own equipment and not involving negligence through a duty to warn.  </w:t>
      </w:r>
      <w:r w:rsidR="00D612B7">
        <w:rPr>
          <w:sz w:val="26"/>
          <w:szCs w:val="26"/>
        </w:rPr>
        <w:t xml:space="preserve">Duquesne again </w:t>
      </w:r>
      <w:r w:rsidR="00D319FF">
        <w:rPr>
          <w:sz w:val="26"/>
          <w:szCs w:val="26"/>
        </w:rPr>
        <w:t>posits</w:t>
      </w:r>
      <w:r w:rsidR="00D612B7">
        <w:rPr>
          <w:sz w:val="26"/>
          <w:szCs w:val="26"/>
        </w:rPr>
        <w:t xml:space="preserve"> that o</w:t>
      </w:r>
      <w:r>
        <w:rPr>
          <w:sz w:val="26"/>
          <w:szCs w:val="26"/>
        </w:rPr>
        <w:t>n</w:t>
      </w:r>
      <w:r w:rsidRPr="00C40637">
        <w:rPr>
          <w:sz w:val="26"/>
          <w:szCs w:val="26"/>
        </w:rPr>
        <w:t xml:space="preserve">ly after Alderwoods amended its civil complaint to include a duty to warn did </w:t>
      </w:r>
      <w:r w:rsidR="00BD33B8" w:rsidRPr="00C40637">
        <w:rPr>
          <w:sz w:val="26"/>
          <w:szCs w:val="26"/>
        </w:rPr>
        <w:t>the Company</w:t>
      </w:r>
      <w:r w:rsidRPr="00C40637">
        <w:rPr>
          <w:sz w:val="26"/>
          <w:szCs w:val="26"/>
        </w:rPr>
        <w:t xml:space="preserve"> move to bifurcate</w:t>
      </w:r>
      <w:r>
        <w:rPr>
          <w:sz w:val="26"/>
          <w:szCs w:val="26"/>
        </w:rPr>
        <w:t xml:space="preserve">.  </w:t>
      </w:r>
    </w:p>
    <w:p w:rsidR="00D319FF" w:rsidRDefault="00D319FF" w:rsidP="005D20DC">
      <w:pPr>
        <w:widowControl/>
        <w:spacing w:line="360" w:lineRule="auto"/>
        <w:ind w:firstLine="1440"/>
        <w:rPr>
          <w:sz w:val="26"/>
          <w:szCs w:val="26"/>
        </w:rPr>
      </w:pPr>
    </w:p>
    <w:p w:rsidR="0044575B" w:rsidRDefault="00A91156" w:rsidP="005D20DC">
      <w:pPr>
        <w:widowControl/>
        <w:spacing w:line="360" w:lineRule="auto"/>
        <w:ind w:firstLine="1440"/>
        <w:rPr>
          <w:sz w:val="26"/>
          <w:szCs w:val="26"/>
        </w:rPr>
      </w:pPr>
      <w:r w:rsidRPr="00A91156">
        <w:rPr>
          <w:i/>
          <w:sz w:val="26"/>
          <w:szCs w:val="26"/>
        </w:rPr>
        <w:t xml:space="preserve">DeFrancesco </w:t>
      </w:r>
      <w:r w:rsidRPr="00A91156">
        <w:rPr>
          <w:sz w:val="26"/>
          <w:szCs w:val="26"/>
        </w:rPr>
        <w:t xml:space="preserve">and </w:t>
      </w:r>
      <w:r w:rsidRPr="00A91156">
        <w:rPr>
          <w:i/>
          <w:sz w:val="26"/>
          <w:szCs w:val="26"/>
        </w:rPr>
        <w:t>Schriner</w:t>
      </w:r>
      <w:r w:rsidRPr="00A91156">
        <w:rPr>
          <w:sz w:val="26"/>
          <w:szCs w:val="26"/>
        </w:rPr>
        <w:t>, contend</w:t>
      </w:r>
      <w:r>
        <w:rPr>
          <w:sz w:val="26"/>
          <w:szCs w:val="26"/>
        </w:rPr>
        <w:t>s</w:t>
      </w:r>
      <w:r w:rsidRPr="00A91156">
        <w:rPr>
          <w:sz w:val="26"/>
          <w:szCs w:val="26"/>
        </w:rPr>
        <w:t xml:space="preserve"> Duquesne, are distinguishable</w:t>
      </w:r>
      <w:r>
        <w:rPr>
          <w:sz w:val="26"/>
          <w:szCs w:val="26"/>
        </w:rPr>
        <w:t xml:space="preserve"> because neither dealt with a comprehensive regulatory scheme or </w:t>
      </w:r>
      <w:r w:rsidR="00D612B7">
        <w:rPr>
          <w:sz w:val="26"/>
          <w:szCs w:val="26"/>
        </w:rPr>
        <w:t xml:space="preserve">a </w:t>
      </w:r>
      <w:r>
        <w:rPr>
          <w:sz w:val="26"/>
          <w:szCs w:val="26"/>
        </w:rPr>
        <w:t>duty to warn.</w:t>
      </w:r>
      <w:r w:rsidR="00D319FF">
        <w:rPr>
          <w:sz w:val="26"/>
          <w:szCs w:val="26"/>
        </w:rPr>
        <w:t xml:space="preserve">  </w:t>
      </w:r>
      <w:r w:rsidR="00D168C1">
        <w:rPr>
          <w:sz w:val="26"/>
          <w:szCs w:val="26"/>
        </w:rPr>
        <w:t xml:space="preserve">According to Duquesne, in </w:t>
      </w:r>
      <w:r w:rsidR="00D168C1">
        <w:rPr>
          <w:i/>
          <w:sz w:val="26"/>
          <w:szCs w:val="26"/>
        </w:rPr>
        <w:t>DeFrancesco</w:t>
      </w:r>
      <w:r w:rsidR="00D168C1">
        <w:rPr>
          <w:sz w:val="26"/>
          <w:szCs w:val="26"/>
        </w:rPr>
        <w:t xml:space="preserve">, a case involving allegations of inadequate water service from a hydrant, resolution did not depend on the Commission’s regulation, regulatory scheme, expertise, utility service or facilities owed the public, </w:t>
      </w:r>
      <w:r w:rsidR="00D168C1" w:rsidRPr="00C40637">
        <w:rPr>
          <w:sz w:val="26"/>
          <w:szCs w:val="26"/>
        </w:rPr>
        <w:t>or a particular Commission-enunciated standard of care</w:t>
      </w:r>
      <w:r w:rsidR="00D168C1">
        <w:rPr>
          <w:sz w:val="26"/>
          <w:szCs w:val="26"/>
        </w:rPr>
        <w:t xml:space="preserve">.  </w:t>
      </w:r>
      <w:r w:rsidR="00C40637">
        <w:rPr>
          <w:sz w:val="26"/>
          <w:szCs w:val="26"/>
        </w:rPr>
        <w:t>I</w:t>
      </w:r>
      <w:r w:rsidR="00D168C1">
        <w:rPr>
          <w:sz w:val="26"/>
          <w:szCs w:val="26"/>
        </w:rPr>
        <w:t xml:space="preserve">n </w:t>
      </w:r>
      <w:r w:rsidR="00D168C1">
        <w:rPr>
          <w:i/>
          <w:sz w:val="26"/>
          <w:szCs w:val="26"/>
        </w:rPr>
        <w:t>Schriner</w:t>
      </w:r>
      <w:r w:rsidR="00D168C1">
        <w:rPr>
          <w:sz w:val="26"/>
          <w:szCs w:val="26"/>
        </w:rPr>
        <w:t xml:space="preserve">, </w:t>
      </w:r>
      <w:r w:rsidR="00165E30">
        <w:rPr>
          <w:sz w:val="26"/>
          <w:szCs w:val="26"/>
        </w:rPr>
        <w:t xml:space="preserve">involving stray voltage that </w:t>
      </w:r>
      <w:r w:rsidR="00FC7987">
        <w:rPr>
          <w:sz w:val="26"/>
          <w:szCs w:val="26"/>
        </w:rPr>
        <w:t xml:space="preserve">harmed the </w:t>
      </w:r>
      <w:r w:rsidR="00165E30">
        <w:rPr>
          <w:sz w:val="26"/>
          <w:szCs w:val="26"/>
        </w:rPr>
        <w:t xml:space="preserve">claimant’s </w:t>
      </w:r>
      <w:r w:rsidR="00FC7987">
        <w:rPr>
          <w:sz w:val="26"/>
          <w:szCs w:val="26"/>
        </w:rPr>
        <w:t xml:space="preserve">cows, </w:t>
      </w:r>
      <w:r w:rsidR="00C40637">
        <w:rPr>
          <w:sz w:val="26"/>
          <w:szCs w:val="26"/>
        </w:rPr>
        <w:t xml:space="preserve">Duquesne argues </w:t>
      </w:r>
      <w:r w:rsidR="00FC7987">
        <w:rPr>
          <w:sz w:val="26"/>
          <w:szCs w:val="26"/>
        </w:rPr>
        <w:t xml:space="preserve">the Commission’s jurisdiction was not primary because the case </w:t>
      </w:r>
      <w:r w:rsidR="00FC7987" w:rsidRPr="00C40637">
        <w:rPr>
          <w:sz w:val="26"/>
          <w:szCs w:val="26"/>
        </w:rPr>
        <w:t xml:space="preserve">only </w:t>
      </w:r>
      <w:r w:rsidR="00C40637">
        <w:rPr>
          <w:sz w:val="26"/>
          <w:szCs w:val="26"/>
        </w:rPr>
        <w:t>remotely</w:t>
      </w:r>
      <w:r w:rsidR="00FC7987">
        <w:rPr>
          <w:sz w:val="26"/>
          <w:szCs w:val="26"/>
        </w:rPr>
        <w:t xml:space="preserve"> dealt </w:t>
      </w:r>
      <w:r w:rsidR="000F4435">
        <w:rPr>
          <w:sz w:val="26"/>
          <w:szCs w:val="26"/>
        </w:rPr>
        <w:t xml:space="preserve">with </w:t>
      </w:r>
      <w:r w:rsidR="00FC7987">
        <w:rPr>
          <w:sz w:val="26"/>
          <w:szCs w:val="26"/>
        </w:rPr>
        <w:t>the provision of electric service</w:t>
      </w:r>
      <w:r w:rsidR="006E77C8">
        <w:rPr>
          <w:sz w:val="26"/>
          <w:szCs w:val="26"/>
        </w:rPr>
        <w:t xml:space="preserve">.  </w:t>
      </w:r>
      <w:r w:rsidR="00D319FF">
        <w:rPr>
          <w:sz w:val="26"/>
          <w:szCs w:val="26"/>
        </w:rPr>
        <w:t>Also, c</w:t>
      </w:r>
      <w:r w:rsidR="00FC7987">
        <w:rPr>
          <w:sz w:val="26"/>
          <w:szCs w:val="26"/>
        </w:rPr>
        <w:t xml:space="preserve">omparing stray voltage to overvoltage misses the point according to Duquesne.  “The issue that warrants the PUC’s attention in this case is not the overvoltage [but rather Alderwoods’ allegation that Duquesne] </w:t>
      </w:r>
      <w:r w:rsidR="00FC7987" w:rsidRPr="00C40637">
        <w:rPr>
          <w:i/>
          <w:sz w:val="26"/>
          <w:szCs w:val="26"/>
        </w:rPr>
        <w:t xml:space="preserve">cannot restore service to its customer </w:t>
      </w:r>
      <w:r w:rsidR="00FC7987" w:rsidRPr="00C40637">
        <w:rPr>
          <w:sz w:val="26"/>
          <w:szCs w:val="26"/>
        </w:rPr>
        <w:t>under certain circumstances without first warning</w:t>
      </w:r>
      <w:r w:rsidR="00FC7987">
        <w:rPr>
          <w:sz w:val="26"/>
          <w:szCs w:val="26"/>
        </w:rPr>
        <w:t xml:space="preserve"> the customer about potential problems in the customer’s own equipment.”  Duquesne Brief at 12</w:t>
      </w:r>
      <w:r w:rsidR="00784F1A">
        <w:rPr>
          <w:sz w:val="26"/>
          <w:szCs w:val="26"/>
        </w:rPr>
        <w:t xml:space="preserve"> (emphasis in original)</w:t>
      </w:r>
      <w:r w:rsidR="00FC7987">
        <w:rPr>
          <w:sz w:val="26"/>
          <w:szCs w:val="26"/>
        </w:rPr>
        <w:t xml:space="preserve">.  </w:t>
      </w:r>
      <w:r w:rsidR="006E77C8">
        <w:rPr>
          <w:sz w:val="26"/>
          <w:szCs w:val="26"/>
        </w:rPr>
        <w:t xml:space="preserve">Duquesne </w:t>
      </w:r>
      <w:r w:rsidR="006E77C8">
        <w:rPr>
          <w:sz w:val="26"/>
          <w:szCs w:val="26"/>
        </w:rPr>
        <w:lastRenderedPageBreak/>
        <w:t>again concludes that because Alderwoods’ claim is that the customer should have been denied service “until certain communications had occurred</w:t>
      </w:r>
      <w:r w:rsidR="008D1015">
        <w:rPr>
          <w:sz w:val="26"/>
          <w:szCs w:val="26"/>
        </w:rPr>
        <w:t>,</w:t>
      </w:r>
      <w:r w:rsidR="006E77C8">
        <w:rPr>
          <w:sz w:val="26"/>
          <w:szCs w:val="26"/>
        </w:rPr>
        <w:t xml:space="preserve">” </w:t>
      </w:r>
      <w:r w:rsidR="008D1015">
        <w:rPr>
          <w:sz w:val="26"/>
          <w:szCs w:val="26"/>
        </w:rPr>
        <w:t xml:space="preserve">it </w:t>
      </w:r>
      <w:r w:rsidR="006E77C8">
        <w:rPr>
          <w:sz w:val="26"/>
          <w:szCs w:val="26"/>
        </w:rPr>
        <w:t>is fully within our jurisdiction</w:t>
      </w:r>
      <w:r w:rsidR="00D319FF">
        <w:rPr>
          <w:sz w:val="26"/>
          <w:szCs w:val="26"/>
        </w:rPr>
        <w:t>.</w:t>
      </w:r>
      <w:r w:rsidR="006E77C8">
        <w:rPr>
          <w:sz w:val="26"/>
          <w:szCs w:val="26"/>
        </w:rPr>
        <w:t xml:space="preserve">  </w:t>
      </w:r>
      <w:r w:rsidR="006E77C8">
        <w:rPr>
          <w:i/>
          <w:sz w:val="26"/>
          <w:szCs w:val="26"/>
        </w:rPr>
        <w:t>Id.</w:t>
      </w:r>
    </w:p>
    <w:p w:rsidR="006E77C8" w:rsidRDefault="006E77C8" w:rsidP="005D20DC">
      <w:pPr>
        <w:widowControl/>
        <w:spacing w:line="360" w:lineRule="auto"/>
        <w:ind w:firstLine="1440"/>
        <w:rPr>
          <w:sz w:val="26"/>
          <w:szCs w:val="26"/>
        </w:rPr>
      </w:pPr>
    </w:p>
    <w:p w:rsidR="006E77C8" w:rsidRPr="000B1FEC" w:rsidRDefault="008D1015" w:rsidP="005D20DC">
      <w:pPr>
        <w:widowControl/>
        <w:spacing w:line="360" w:lineRule="auto"/>
        <w:ind w:firstLine="1440"/>
        <w:rPr>
          <w:sz w:val="26"/>
          <w:szCs w:val="26"/>
        </w:rPr>
      </w:pPr>
      <w:r>
        <w:rPr>
          <w:sz w:val="26"/>
          <w:szCs w:val="26"/>
        </w:rPr>
        <w:t xml:space="preserve">Responding </w:t>
      </w:r>
      <w:r w:rsidR="000B1FEC">
        <w:rPr>
          <w:sz w:val="26"/>
          <w:szCs w:val="26"/>
        </w:rPr>
        <w:t xml:space="preserve">to Alderwoods’ second material question, </w:t>
      </w:r>
      <w:r w:rsidR="000B1FEC" w:rsidRPr="000B1FEC">
        <w:rPr>
          <w:sz w:val="26"/>
          <w:szCs w:val="26"/>
        </w:rPr>
        <w:t>that the ALJ’s resolution posits a hypothetical question</w:t>
      </w:r>
      <w:r w:rsidR="000B1FEC">
        <w:rPr>
          <w:sz w:val="26"/>
          <w:szCs w:val="26"/>
        </w:rPr>
        <w:t>,</w:t>
      </w:r>
      <w:r w:rsidR="000B1FEC" w:rsidRPr="000B1FEC">
        <w:rPr>
          <w:sz w:val="26"/>
          <w:szCs w:val="26"/>
        </w:rPr>
        <w:t xml:space="preserve"> </w:t>
      </w:r>
      <w:r w:rsidR="006E77C8">
        <w:rPr>
          <w:sz w:val="26"/>
          <w:szCs w:val="26"/>
        </w:rPr>
        <w:t xml:space="preserve">Duquesne </w:t>
      </w:r>
      <w:r w:rsidR="000B1FEC">
        <w:rPr>
          <w:sz w:val="26"/>
          <w:szCs w:val="26"/>
        </w:rPr>
        <w:t xml:space="preserve">asserts </w:t>
      </w:r>
      <w:r w:rsidR="006E77C8">
        <w:rPr>
          <w:sz w:val="26"/>
          <w:szCs w:val="26"/>
        </w:rPr>
        <w:t xml:space="preserve">that </w:t>
      </w:r>
      <w:r w:rsidR="000B1FEC">
        <w:rPr>
          <w:sz w:val="26"/>
          <w:szCs w:val="26"/>
        </w:rPr>
        <w:t xml:space="preserve">Alderwoods’ characterization </w:t>
      </w:r>
      <w:r w:rsidR="006E77C8">
        <w:rPr>
          <w:sz w:val="26"/>
          <w:szCs w:val="26"/>
        </w:rPr>
        <w:t>distorts the ALJ’s ruling</w:t>
      </w:r>
      <w:r w:rsidR="000B1FEC">
        <w:rPr>
          <w:sz w:val="26"/>
          <w:szCs w:val="26"/>
        </w:rPr>
        <w:t xml:space="preserve"> as well as Duquesne’s requested bifurcation of the liability issue.  Duquesne is seeking </w:t>
      </w:r>
      <w:r w:rsidRPr="008D1015">
        <w:rPr>
          <w:sz w:val="26"/>
          <w:szCs w:val="26"/>
        </w:rPr>
        <w:t>a ruling on liability</w:t>
      </w:r>
      <w:r>
        <w:rPr>
          <w:sz w:val="26"/>
          <w:szCs w:val="26"/>
        </w:rPr>
        <w:t xml:space="preserve"> not </w:t>
      </w:r>
      <w:r w:rsidR="000B1FEC">
        <w:rPr>
          <w:sz w:val="26"/>
          <w:szCs w:val="26"/>
        </w:rPr>
        <w:t xml:space="preserve">an advisory opinion on a hypothetical question.  </w:t>
      </w:r>
      <w:r w:rsidR="000B1FEC">
        <w:rPr>
          <w:i/>
          <w:sz w:val="26"/>
          <w:szCs w:val="26"/>
        </w:rPr>
        <w:t>Id.</w:t>
      </w:r>
      <w:r w:rsidR="000B1FEC">
        <w:rPr>
          <w:sz w:val="26"/>
          <w:szCs w:val="26"/>
        </w:rPr>
        <w:t xml:space="preserve"> at 13.</w:t>
      </w:r>
    </w:p>
    <w:p w:rsidR="00C868A9" w:rsidRPr="00C868A9" w:rsidRDefault="00C868A9" w:rsidP="00C868A9">
      <w:pPr>
        <w:widowControl/>
        <w:spacing w:line="360" w:lineRule="auto"/>
        <w:rPr>
          <w:sz w:val="26"/>
          <w:szCs w:val="26"/>
        </w:rPr>
      </w:pPr>
    </w:p>
    <w:p w:rsidR="001108C1" w:rsidRPr="00C02B8F" w:rsidRDefault="00AD3895" w:rsidP="00E44628">
      <w:pPr>
        <w:pStyle w:val="Heading2"/>
      </w:pPr>
      <w:bookmarkStart w:id="14" w:name="_Toc462297978"/>
      <w:r>
        <w:t>C.</w:t>
      </w:r>
      <w:r>
        <w:tab/>
      </w:r>
      <w:r w:rsidR="00D059CE">
        <w:t>Disposition</w:t>
      </w:r>
      <w:bookmarkEnd w:id="14"/>
    </w:p>
    <w:p w:rsidR="00286B63" w:rsidRDefault="00286B63" w:rsidP="00B90FEE">
      <w:pPr>
        <w:widowControl/>
        <w:spacing w:line="360" w:lineRule="auto"/>
        <w:rPr>
          <w:sz w:val="26"/>
          <w:szCs w:val="26"/>
        </w:rPr>
      </w:pPr>
    </w:p>
    <w:p w:rsidR="001165BA" w:rsidRPr="00E22041" w:rsidRDefault="000D6208" w:rsidP="001165BA">
      <w:pPr>
        <w:spacing w:line="360" w:lineRule="auto"/>
        <w:ind w:firstLine="675"/>
        <w:rPr>
          <w:sz w:val="26"/>
          <w:szCs w:val="26"/>
        </w:rPr>
      </w:pPr>
      <w:r>
        <w:tab/>
      </w:r>
      <w:r>
        <w:tab/>
      </w:r>
      <w:r w:rsidR="005E2E78" w:rsidRPr="001165BA">
        <w:rPr>
          <w:sz w:val="26"/>
          <w:szCs w:val="26"/>
        </w:rPr>
        <w:t xml:space="preserve">Upon review, we decline to answer the material questions set forth in the Petition. </w:t>
      </w:r>
      <w:r w:rsidR="005E2E78">
        <w:rPr>
          <w:b/>
        </w:rPr>
        <w:t xml:space="preserve"> </w:t>
      </w:r>
      <w:r w:rsidR="001165BA" w:rsidRPr="00E22041">
        <w:rPr>
          <w:sz w:val="26"/>
          <w:szCs w:val="26"/>
        </w:rPr>
        <w:t>First, Alderwoods has not shown that granting interlocutory review will prevent substantial prejudice.  The pertinent consideration is whether the error and any prejudice flowing therefrom could not be satisfactorily cured during the normal Commission review process.</w:t>
      </w:r>
      <w:r w:rsidR="001165BA">
        <w:rPr>
          <w:sz w:val="26"/>
          <w:szCs w:val="26"/>
        </w:rPr>
        <w:t xml:space="preserve">  </w:t>
      </w:r>
      <w:r w:rsidR="001165BA" w:rsidRPr="001165BA">
        <w:rPr>
          <w:i/>
          <w:sz w:val="26"/>
          <w:szCs w:val="26"/>
        </w:rPr>
        <w:t>See</w:t>
      </w:r>
      <w:r w:rsidR="001165BA">
        <w:rPr>
          <w:sz w:val="26"/>
          <w:szCs w:val="26"/>
        </w:rPr>
        <w:t>,</w:t>
      </w:r>
      <w:r w:rsidR="001165BA" w:rsidRPr="001165BA">
        <w:rPr>
          <w:bCs/>
          <w:i/>
          <w:sz w:val="26"/>
          <w:szCs w:val="26"/>
        </w:rPr>
        <w:t xml:space="preserve"> Bell Atlantic</w:t>
      </w:r>
      <w:r w:rsidR="001165BA">
        <w:rPr>
          <w:bCs/>
          <w:sz w:val="26"/>
          <w:szCs w:val="26"/>
        </w:rPr>
        <w:t xml:space="preserve">, </w:t>
      </w:r>
      <w:r w:rsidR="001165BA" w:rsidRPr="007B4D28">
        <w:rPr>
          <w:bCs/>
          <w:i/>
          <w:iCs/>
          <w:sz w:val="26"/>
          <w:szCs w:val="26"/>
        </w:rPr>
        <w:t>Frontier Communications</w:t>
      </w:r>
      <w:r w:rsidR="001165BA">
        <w:rPr>
          <w:bCs/>
          <w:iCs/>
          <w:sz w:val="26"/>
          <w:szCs w:val="26"/>
        </w:rPr>
        <w:t xml:space="preserve">, and </w:t>
      </w:r>
      <w:r w:rsidR="00CD6C45" w:rsidRPr="007B4D28">
        <w:rPr>
          <w:i/>
          <w:sz w:val="26"/>
          <w:szCs w:val="24"/>
        </w:rPr>
        <w:t>Knights Limousine Service</w:t>
      </w:r>
      <w:r w:rsidR="00CD6C45">
        <w:rPr>
          <w:sz w:val="26"/>
          <w:szCs w:val="24"/>
        </w:rPr>
        <w:t xml:space="preserve">, </w:t>
      </w:r>
      <w:r w:rsidR="00CD6C45">
        <w:rPr>
          <w:i/>
          <w:sz w:val="26"/>
          <w:szCs w:val="24"/>
        </w:rPr>
        <w:t>supra.</w:t>
      </w:r>
      <w:r w:rsidR="00CD6C45">
        <w:rPr>
          <w:sz w:val="26"/>
          <w:szCs w:val="26"/>
        </w:rPr>
        <w:t xml:space="preserve">  </w:t>
      </w:r>
      <w:r w:rsidR="001165BA" w:rsidRPr="00E22041">
        <w:rPr>
          <w:sz w:val="26"/>
          <w:szCs w:val="26"/>
        </w:rPr>
        <w:t>The only prejudice alleged by Alderwoods is that which is associated with having to litigate the Complaint if the Commission denies its Petition.  However, the Commission has found that the time, effort, and expense associated with having to litigate a case does not typically amount to substantial prejudice for purposes of granting interlocutory review.</w:t>
      </w:r>
      <w:r w:rsidR="001165BA" w:rsidRPr="00E22041">
        <w:rPr>
          <w:rStyle w:val="FootnoteReference"/>
          <w:sz w:val="26"/>
          <w:szCs w:val="26"/>
        </w:rPr>
        <w:footnoteReference w:id="6"/>
      </w:r>
      <w:r w:rsidR="001165BA" w:rsidRPr="00E22041">
        <w:rPr>
          <w:sz w:val="26"/>
          <w:szCs w:val="26"/>
        </w:rPr>
        <w:t xml:space="preserve">  </w:t>
      </w:r>
    </w:p>
    <w:p w:rsidR="001165BA" w:rsidRPr="00E22041" w:rsidRDefault="001165BA" w:rsidP="001165BA">
      <w:pPr>
        <w:spacing w:line="360" w:lineRule="auto"/>
        <w:ind w:firstLine="720"/>
        <w:jc w:val="both"/>
        <w:rPr>
          <w:sz w:val="26"/>
          <w:szCs w:val="26"/>
        </w:rPr>
      </w:pPr>
    </w:p>
    <w:p w:rsidR="001165BA" w:rsidRPr="00E22041" w:rsidRDefault="00CD6C45" w:rsidP="001165BA">
      <w:pPr>
        <w:spacing w:line="360" w:lineRule="auto"/>
        <w:ind w:firstLine="675"/>
        <w:rPr>
          <w:sz w:val="26"/>
          <w:szCs w:val="26"/>
        </w:rPr>
      </w:pPr>
      <w:r>
        <w:rPr>
          <w:sz w:val="26"/>
          <w:szCs w:val="26"/>
        </w:rPr>
        <w:tab/>
      </w:r>
      <w:r>
        <w:rPr>
          <w:sz w:val="26"/>
          <w:szCs w:val="26"/>
        </w:rPr>
        <w:tab/>
      </w:r>
      <w:r w:rsidR="001165BA" w:rsidRPr="00E22041">
        <w:rPr>
          <w:sz w:val="26"/>
          <w:szCs w:val="26"/>
        </w:rPr>
        <w:t xml:space="preserve">Second, Alderwoods has not shown that granting interlocutory review expedites the conduct of the proceeding.  To the contrary, pursuing interlocutory review seems to have </w:t>
      </w:r>
      <w:r w:rsidRPr="00E22041">
        <w:rPr>
          <w:sz w:val="26"/>
          <w:szCs w:val="26"/>
        </w:rPr>
        <w:t xml:space="preserve">unnecessarily </w:t>
      </w:r>
      <w:r w:rsidR="001165BA" w:rsidRPr="00E22041">
        <w:rPr>
          <w:sz w:val="26"/>
          <w:szCs w:val="26"/>
        </w:rPr>
        <w:t xml:space="preserve">prolonged the proceeding, as the civil courts already have </w:t>
      </w:r>
      <w:r w:rsidR="001165BA" w:rsidRPr="00E22041">
        <w:rPr>
          <w:sz w:val="26"/>
          <w:szCs w:val="26"/>
        </w:rPr>
        <w:lastRenderedPageBreak/>
        <w:t>decided that the Commission has primary jurisdiction in this case.</w:t>
      </w:r>
      <w:r w:rsidR="001165BA" w:rsidRPr="00E22041">
        <w:rPr>
          <w:rStyle w:val="FootnoteReference"/>
          <w:sz w:val="26"/>
          <w:szCs w:val="26"/>
        </w:rPr>
        <w:footnoteReference w:id="7"/>
      </w:r>
      <w:r w:rsidR="001165BA" w:rsidRPr="00E22041">
        <w:rPr>
          <w:sz w:val="26"/>
          <w:szCs w:val="26"/>
        </w:rPr>
        <w:t xml:space="preserve">  The court decisions are as follows:</w:t>
      </w:r>
    </w:p>
    <w:p w:rsidR="001165BA" w:rsidRPr="00E22041" w:rsidRDefault="001165BA" w:rsidP="001165BA">
      <w:pPr>
        <w:spacing w:line="360" w:lineRule="auto"/>
        <w:rPr>
          <w:sz w:val="26"/>
          <w:szCs w:val="26"/>
        </w:rPr>
      </w:pPr>
    </w:p>
    <w:p w:rsidR="001165BA" w:rsidRPr="00E22041" w:rsidRDefault="001165BA" w:rsidP="00636482">
      <w:pPr>
        <w:pStyle w:val="ListParagraph"/>
        <w:widowControl/>
        <w:numPr>
          <w:ilvl w:val="0"/>
          <w:numId w:val="10"/>
        </w:numPr>
        <w:ind w:left="2160" w:right="1440" w:hanging="720"/>
        <w:rPr>
          <w:sz w:val="26"/>
          <w:szCs w:val="26"/>
        </w:rPr>
      </w:pPr>
      <w:r w:rsidRPr="00E22041">
        <w:rPr>
          <w:sz w:val="26"/>
          <w:szCs w:val="26"/>
        </w:rPr>
        <w:t>An order entered by the Allegheny Court of Common Pleas granting the motion of Duquesne requesting bifurcation of the Code Section 1501 service issue to the Commission on primary jurisdiction grounds.</w:t>
      </w:r>
      <w:r w:rsidRPr="00E22041">
        <w:rPr>
          <w:rStyle w:val="FootnoteReference"/>
          <w:sz w:val="26"/>
          <w:szCs w:val="26"/>
        </w:rPr>
        <w:footnoteReference w:id="8"/>
      </w:r>
      <w:r w:rsidRPr="00E22041">
        <w:rPr>
          <w:rStyle w:val="FootnoteReference"/>
          <w:sz w:val="26"/>
          <w:szCs w:val="26"/>
        </w:rPr>
        <w:t xml:space="preserve"> </w:t>
      </w:r>
      <w:r w:rsidRPr="00E22041">
        <w:rPr>
          <w:sz w:val="26"/>
          <w:szCs w:val="26"/>
        </w:rPr>
        <w:t xml:space="preserve"> Alderwoods opposed the bifurcation.</w:t>
      </w:r>
    </w:p>
    <w:p w:rsidR="001165BA" w:rsidRPr="00E22041" w:rsidRDefault="001165BA" w:rsidP="001165BA">
      <w:pPr>
        <w:pStyle w:val="ListParagraph"/>
        <w:spacing w:line="360" w:lineRule="auto"/>
        <w:rPr>
          <w:sz w:val="26"/>
          <w:szCs w:val="26"/>
        </w:rPr>
      </w:pPr>
    </w:p>
    <w:p w:rsidR="001165BA" w:rsidRPr="00E22041" w:rsidRDefault="001165BA" w:rsidP="00636482">
      <w:pPr>
        <w:pStyle w:val="ListParagraph"/>
        <w:widowControl/>
        <w:numPr>
          <w:ilvl w:val="0"/>
          <w:numId w:val="10"/>
        </w:numPr>
        <w:ind w:left="2160" w:right="1440" w:hanging="720"/>
        <w:rPr>
          <w:sz w:val="26"/>
          <w:szCs w:val="26"/>
        </w:rPr>
      </w:pPr>
      <w:r w:rsidRPr="00E22041">
        <w:rPr>
          <w:sz w:val="26"/>
          <w:szCs w:val="26"/>
        </w:rPr>
        <w:t xml:space="preserve">An order entered by the Allegheny Court of Common Pleas denying Alderwoods’ motion for reconsideration of the court’s bifurcation order.   </w:t>
      </w:r>
    </w:p>
    <w:p w:rsidR="001165BA" w:rsidRPr="00E22041" w:rsidRDefault="001165BA" w:rsidP="001165BA">
      <w:pPr>
        <w:pStyle w:val="ListParagraph"/>
        <w:spacing w:line="360" w:lineRule="auto"/>
        <w:rPr>
          <w:sz w:val="26"/>
          <w:szCs w:val="26"/>
        </w:rPr>
      </w:pPr>
    </w:p>
    <w:p w:rsidR="001165BA" w:rsidRPr="00E22041" w:rsidRDefault="001165BA" w:rsidP="00636482">
      <w:pPr>
        <w:pStyle w:val="ListParagraph"/>
        <w:widowControl/>
        <w:numPr>
          <w:ilvl w:val="0"/>
          <w:numId w:val="10"/>
        </w:numPr>
        <w:ind w:left="2160" w:right="1440" w:hanging="720"/>
        <w:rPr>
          <w:sz w:val="26"/>
          <w:szCs w:val="26"/>
        </w:rPr>
      </w:pPr>
      <w:r w:rsidRPr="00E22041">
        <w:rPr>
          <w:sz w:val="26"/>
          <w:szCs w:val="26"/>
        </w:rPr>
        <w:t xml:space="preserve">An order of the Pennsylvania Superior Court denying Alderwoods’ petition for review of the lower court’s bifurcation decision.  </w:t>
      </w:r>
    </w:p>
    <w:p w:rsidR="001165BA" w:rsidRPr="00E22041" w:rsidRDefault="001165BA" w:rsidP="001165BA">
      <w:pPr>
        <w:pStyle w:val="ListParagraph"/>
        <w:spacing w:line="360" w:lineRule="auto"/>
        <w:rPr>
          <w:sz w:val="26"/>
          <w:szCs w:val="26"/>
        </w:rPr>
      </w:pPr>
    </w:p>
    <w:p w:rsidR="001165BA" w:rsidRPr="00E22041" w:rsidRDefault="001165BA" w:rsidP="001165BA">
      <w:pPr>
        <w:spacing w:line="360" w:lineRule="auto"/>
        <w:rPr>
          <w:sz w:val="26"/>
          <w:szCs w:val="26"/>
        </w:rPr>
      </w:pPr>
      <w:r w:rsidRPr="00E22041">
        <w:rPr>
          <w:sz w:val="26"/>
          <w:szCs w:val="26"/>
        </w:rPr>
        <w:t xml:space="preserve">Thus, two civil courts, on three separate occasions, have directed that the question of whether Duquesne violated its duty under the Pennsylvania Public Utility Code to provide safe and reasonable service be transferred to the Commission for a </w:t>
      </w:r>
      <w:r w:rsidRPr="00E22041">
        <w:rPr>
          <w:sz w:val="26"/>
          <w:szCs w:val="26"/>
        </w:rPr>
        <w:lastRenderedPageBreak/>
        <w:t>determination.</w:t>
      </w:r>
      <w:r w:rsidRPr="00E22041">
        <w:rPr>
          <w:rStyle w:val="FootnoteReference"/>
          <w:sz w:val="26"/>
          <w:szCs w:val="26"/>
        </w:rPr>
        <w:footnoteReference w:id="9"/>
      </w:r>
      <w:r w:rsidR="00546FF1">
        <w:rPr>
          <w:sz w:val="26"/>
          <w:szCs w:val="26"/>
        </w:rPr>
        <w:t xml:space="preserve">  We </w:t>
      </w:r>
      <w:r w:rsidRPr="00E22041">
        <w:rPr>
          <w:sz w:val="26"/>
          <w:szCs w:val="26"/>
        </w:rPr>
        <w:t>see no reason to reject the courts’ decisions</w:t>
      </w:r>
      <w:r w:rsidR="00B75BED">
        <w:rPr>
          <w:sz w:val="26"/>
          <w:szCs w:val="26"/>
        </w:rPr>
        <w:t xml:space="preserve"> and </w:t>
      </w:r>
      <w:r w:rsidR="00394771">
        <w:rPr>
          <w:sz w:val="26"/>
          <w:szCs w:val="26"/>
        </w:rPr>
        <w:t xml:space="preserve">to </w:t>
      </w:r>
      <w:r w:rsidR="00B75BED">
        <w:rPr>
          <w:sz w:val="26"/>
          <w:szCs w:val="26"/>
        </w:rPr>
        <w:t>refuse to accept the transfer</w:t>
      </w:r>
      <w:r w:rsidRPr="00E22041">
        <w:rPr>
          <w:sz w:val="26"/>
          <w:szCs w:val="26"/>
        </w:rPr>
        <w:t xml:space="preserve">. </w:t>
      </w:r>
    </w:p>
    <w:p w:rsidR="001165BA" w:rsidRPr="00E22041" w:rsidRDefault="001165BA" w:rsidP="001165BA">
      <w:pPr>
        <w:spacing w:line="360" w:lineRule="auto"/>
        <w:rPr>
          <w:sz w:val="26"/>
          <w:szCs w:val="26"/>
        </w:rPr>
      </w:pPr>
    </w:p>
    <w:p w:rsidR="001165BA" w:rsidRPr="00E22041" w:rsidRDefault="00546FF1" w:rsidP="001165BA">
      <w:pPr>
        <w:spacing w:line="360" w:lineRule="auto"/>
        <w:ind w:firstLine="720"/>
        <w:rPr>
          <w:sz w:val="26"/>
          <w:szCs w:val="26"/>
        </w:rPr>
      </w:pPr>
      <w:r>
        <w:rPr>
          <w:sz w:val="26"/>
          <w:szCs w:val="26"/>
        </w:rPr>
        <w:tab/>
      </w:r>
      <w:r w:rsidR="001165BA" w:rsidRPr="00E22041">
        <w:rPr>
          <w:sz w:val="26"/>
          <w:szCs w:val="26"/>
        </w:rPr>
        <w:t xml:space="preserve">For these reasons, </w:t>
      </w:r>
      <w:r>
        <w:rPr>
          <w:sz w:val="26"/>
          <w:szCs w:val="26"/>
        </w:rPr>
        <w:t>we find that</w:t>
      </w:r>
      <w:r w:rsidR="001165BA" w:rsidRPr="00E22041">
        <w:rPr>
          <w:sz w:val="26"/>
          <w:szCs w:val="26"/>
        </w:rPr>
        <w:t xml:space="preserve"> Alderwoods has </w:t>
      </w:r>
      <w:r>
        <w:rPr>
          <w:sz w:val="26"/>
          <w:szCs w:val="26"/>
        </w:rPr>
        <w:t>failed to show</w:t>
      </w:r>
      <w:r w:rsidR="001165BA" w:rsidRPr="00E22041">
        <w:rPr>
          <w:sz w:val="26"/>
          <w:szCs w:val="26"/>
        </w:rPr>
        <w:t xml:space="preserve"> compelling reasons to grant interlocutory review.  Therefore, in accord</w:t>
      </w:r>
      <w:r w:rsidR="003168E4">
        <w:rPr>
          <w:sz w:val="26"/>
          <w:szCs w:val="26"/>
        </w:rPr>
        <w:t>ance with Section 5.303 of our R</w:t>
      </w:r>
      <w:r w:rsidR="001165BA" w:rsidRPr="00E22041">
        <w:rPr>
          <w:sz w:val="26"/>
          <w:szCs w:val="26"/>
        </w:rPr>
        <w:t xml:space="preserve">egulations, </w:t>
      </w:r>
      <w:r>
        <w:rPr>
          <w:sz w:val="26"/>
          <w:szCs w:val="26"/>
        </w:rPr>
        <w:t>we will</w:t>
      </w:r>
      <w:r w:rsidR="001165BA" w:rsidRPr="00E22041">
        <w:rPr>
          <w:sz w:val="26"/>
          <w:szCs w:val="26"/>
        </w:rPr>
        <w:t xml:space="preserve"> decline to answer the questions presented in the Petition.  With this decision, the </w:t>
      </w:r>
      <w:r w:rsidR="00636482">
        <w:rPr>
          <w:sz w:val="26"/>
          <w:szCs w:val="26"/>
        </w:rPr>
        <w:t>ALJ</w:t>
      </w:r>
      <w:r w:rsidR="001165BA" w:rsidRPr="00E22041">
        <w:rPr>
          <w:sz w:val="26"/>
          <w:szCs w:val="26"/>
        </w:rPr>
        <w:t xml:space="preserve">’s Order </w:t>
      </w:r>
      <w:r w:rsidR="00636482">
        <w:rPr>
          <w:sz w:val="26"/>
          <w:szCs w:val="26"/>
        </w:rPr>
        <w:t xml:space="preserve">of April 5, 2016, </w:t>
      </w:r>
      <w:r w:rsidR="001165BA" w:rsidRPr="00E22041">
        <w:rPr>
          <w:sz w:val="26"/>
          <w:szCs w:val="26"/>
        </w:rPr>
        <w:t>ruling on Alderwoods’ Preliminary Objection</w:t>
      </w:r>
      <w:r w:rsidR="003168E4">
        <w:rPr>
          <w:sz w:val="26"/>
          <w:szCs w:val="26"/>
        </w:rPr>
        <w:t>,</w:t>
      </w:r>
      <w:r w:rsidR="001165BA" w:rsidRPr="00E22041">
        <w:rPr>
          <w:sz w:val="26"/>
          <w:szCs w:val="26"/>
        </w:rPr>
        <w:t xml:space="preserve"> remains in effect.</w:t>
      </w:r>
    </w:p>
    <w:p w:rsidR="00546FF1" w:rsidRDefault="00546FF1" w:rsidP="00E44628">
      <w:pPr>
        <w:pStyle w:val="Heading1"/>
      </w:pPr>
    </w:p>
    <w:p w:rsidR="00466AE8" w:rsidRPr="00347808" w:rsidRDefault="00AD3895" w:rsidP="00E44628">
      <w:pPr>
        <w:pStyle w:val="Heading1"/>
      </w:pPr>
      <w:bookmarkStart w:id="15" w:name="_Toc462297979"/>
      <w:r>
        <w:t>VII.</w:t>
      </w:r>
      <w:r>
        <w:tab/>
      </w:r>
      <w:r w:rsidR="00466AE8" w:rsidRPr="00D53276">
        <w:t>Conclusion</w:t>
      </w:r>
      <w:bookmarkEnd w:id="15"/>
    </w:p>
    <w:p w:rsidR="00466AE8" w:rsidRDefault="00466AE8" w:rsidP="00B90FEE">
      <w:pPr>
        <w:widowControl/>
        <w:spacing w:line="360" w:lineRule="auto"/>
        <w:rPr>
          <w:sz w:val="26"/>
          <w:szCs w:val="26"/>
        </w:rPr>
      </w:pPr>
    </w:p>
    <w:p w:rsidR="00651964" w:rsidRDefault="004E3587" w:rsidP="00B90FEE">
      <w:pPr>
        <w:widowControl/>
        <w:spacing w:line="360" w:lineRule="auto"/>
        <w:ind w:firstLine="1440"/>
        <w:rPr>
          <w:sz w:val="26"/>
          <w:szCs w:val="26"/>
        </w:rPr>
      </w:pPr>
      <w:r>
        <w:rPr>
          <w:sz w:val="26"/>
          <w:szCs w:val="26"/>
        </w:rPr>
        <w:t xml:space="preserve">Based on our review of the instant Petition, </w:t>
      </w:r>
      <w:r w:rsidR="00282B68">
        <w:rPr>
          <w:sz w:val="26"/>
          <w:szCs w:val="26"/>
        </w:rPr>
        <w:t xml:space="preserve">as well as </w:t>
      </w:r>
      <w:r>
        <w:rPr>
          <w:sz w:val="26"/>
          <w:szCs w:val="26"/>
        </w:rPr>
        <w:t>the Briefs in Support and Opposition thereto, we shall decline to answer the material questions</w:t>
      </w:r>
      <w:r w:rsidR="00651964">
        <w:rPr>
          <w:sz w:val="26"/>
          <w:szCs w:val="26"/>
        </w:rPr>
        <w:t xml:space="preserve">; </w:t>
      </w:r>
      <w:r w:rsidR="00651964" w:rsidRPr="00D57141">
        <w:rPr>
          <w:b/>
          <w:sz w:val="26"/>
          <w:szCs w:val="26"/>
        </w:rPr>
        <w:t xml:space="preserve">THEREFORE, </w:t>
      </w:r>
    </w:p>
    <w:p w:rsidR="00651964" w:rsidRDefault="00651964" w:rsidP="00B90FEE">
      <w:pPr>
        <w:widowControl/>
        <w:spacing w:line="360" w:lineRule="auto"/>
        <w:ind w:firstLine="1440"/>
        <w:rPr>
          <w:sz w:val="26"/>
          <w:szCs w:val="26"/>
        </w:rPr>
      </w:pPr>
    </w:p>
    <w:p w:rsidR="00651964" w:rsidRDefault="00651964" w:rsidP="008F09BC">
      <w:pPr>
        <w:widowControl/>
        <w:spacing w:after="200" w:line="276" w:lineRule="auto"/>
        <w:rPr>
          <w:b/>
          <w:sz w:val="26"/>
          <w:szCs w:val="26"/>
        </w:rPr>
      </w:pPr>
      <w:r>
        <w:rPr>
          <w:b/>
          <w:sz w:val="26"/>
          <w:szCs w:val="26"/>
        </w:rPr>
        <w:t>IT IS ORDERED:</w:t>
      </w:r>
    </w:p>
    <w:p w:rsidR="00651964" w:rsidRDefault="00651964" w:rsidP="00B90FEE">
      <w:pPr>
        <w:widowControl/>
        <w:rPr>
          <w:sz w:val="26"/>
          <w:szCs w:val="26"/>
        </w:rPr>
      </w:pPr>
    </w:p>
    <w:p w:rsidR="00F7274A" w:rsidRDefault="00F7274A" w:rsidP="00B90FEE">
      <w:pPr>
        <w:widowControl/>
        <w:spacing w:line="360" w:lineRule="auto"/>
        <w:ind w:firstLine="1440"/>
        <w:rPr>
          <w:sz w:val="26"/>
          <w:szCs w:val="26"/>
        </w:rPr>
      </w:pPr>
      <w:r>
        <w:rPr>
          <w:sz w:val="26"/>
          <w:szCs w:val="26"/>
        </w:rPr>
        <w:t>1.</w:t>
      </w:r>
      <w:r>
        <w:rPr>
          <w:sz w:val="26"/>
          <w:szCs w:val="26"/>
        </w:rPr>
        <w:tab/>
        <w:t xml:space="preserve">That </w:t>
      </w:r>
      <w:r w:rsidR="004E3587">
        <w:rPr>
          <w:sz w:val="26"/>
          <w:szCs w:val="26"/>
        </w:rPr>
        <w:t xml:space="preserve">with regard to the </w:t>
      </w:r>
      <w:r w:rsidR="008D11E1">
        <w:rPr>
          <w:sz w:val="26"/>
          <w:szCs w:val="26"/>
        </w:rPr>
        <w:t xml:space="preserve">Petition for </w:t>
      </w:r>
      <w:r w:rsidR="008D11E1">
        <w:rPr>
          <w:color w:val="000000"/>
          <w:sz w:val="26"/>
        </w:rPr>
        <w:t>Interlocutory Review and Answer to Material Question</w:t>
      </w:r>
      <w:r w:rsidR="00FF6D4F">
        <w:rPr>
          <w:color w:val="000000"/>
          <w:sz w:val="26"/>
        </w:rPr>
        <w:t>s</w:t>
      </w:r>
      <w:r w:rsidR="008D11E1">
        <w:rPr>
          <w:color w:val="000000"/>
          <w:sz w:val="26"/>
        </w:rPr>
        <w:t xml:space="preserve"> filed by </w:t>
      </w:r>
      <w:r w:rsidR="00F76CAA">
        <w:rPr>
          <w:color w:val="000000"/>
          <w:sz w:val="26"/>
        </w:rPr>
        <w:t>Alderwoods (Pennsylvania), Inc.</w:t>
      </w:r>
      <w:r w:rsidR="004E3587">
        <w:rPr>
          <w:color w:val="000000"/>
          <w:sz w:val="26"/>
        </w:rPr>
        <w:t>,</w:t>
      </w:r>
      <w:r w:rsidR="008D11E1">
        <w:rPr>
          <w:color w:val="000000"/>
          <w:sz w:val="26"/>
        </w:rPr>
        <w:t xml:space="preserve"> on </w:t>
      </w:r>
      <w:r w:rsidR="00F76CAA">
        <w:rPr>
          <w:color w:val="000000"/>
          <w:sz w:val="26"/>
        </w:rPr>
        <w:t>April 22</w:t>
      </w:r>
      <w:r w:rsidR="008D11E1">
        <w:rPr>
          <w:color w:val="000000"/>
          <w:sz w:val="26"/>
        </w:rPr>
        <w:t>, 201</w:t>
      </w:r>
      <w:r w:rsidR="00FF6D4F">
        <w:rPr>
          <w:color w:val="000000"/>
          <w:sz w:val="26"/>
        </w:rPr>
        <w:t>6</w:t>
      </w:r>
      <w:r w:rsidR="008D11E1">
        <w:rPr>
          <w:color w:val="000000"/>
          <w:sz w:val="26"/>
        </w:rPr>
        <w:t>,</w:t>
      </w:r>
      <w:r>
        <w:rPr>
          <w:sz w:val="26"/>
          <w:szCs w:val="26"/>
        </w:rPr>
        <w:t xml:space="preserve"> </w:t>
      </w:r>
      <w:r w:rsidR="004E3587">
        <w:rPr>
          <w:sz w:val="26"/>
          <w:szCs w:val="26"/>
        </w:rPr>
        <w:t>we decline to answer the following material questions:</w:t>
      </w:r>
    </w:p>
    <w:p w:rsidR="00F7274A" w:rsidRDefault="00F7274A" w:rsidP="00B90FEE">
      <w:pPr>
        <w:widowControl/>
        <w:spacing w:line="360" w:lineRule="auto"/>
        <w:rPr>
          <w:sz w:val="26"/>
          <w:szCs w:val="26"/>
        </w:rPr>
      </w:pPr>
    </w:p>
    <w:p w:rsidR="00494983" w:rsidRPr="00494983" w:rsidRDefault="004E3587" w:rsidP="004E3587">
      <w:pPr>
        <w:widowControl/>
        <w:ind w:left="2160" w:right="1440"/>
        <w:rPr>
          <w:sz w:val="26"/>
          <w:szCs w:val="26"/>
        </w:rPr>
      </w:pPr>
      <w:r>
        <w:rPr>
          <w:sz w:val="26"/>
          <w:szCs w:val="26"/>
        </w:rPr>
        <w:t>a.</w:t>
      </w:r>
      <w:r>
        <w:rPr>
          <w:sz w:val="26"/>
          <w:szCs w:val="26"/>
        </w:rPr>
        <w:tab/>
      </w:r>
      <w:r w:rsidR="00494983" w:rsidRPr="00494983">
        <w:rPr>
          <w:sz w:val="26"/>
          <w:szCs w:val="26"/>
        </w:rPr>
        <w:t xml:space="preserve">Under the doctrine of primary jurisdiction, does the </w:t>
      </w:r>
      <w:r w:rsidR="00280AC8">
        <w:rPr>
          <w:sz w:val="26"/>
          <w:szCs w:val="26"/>
        </w:rPr>
        <w:t>[Commission]</w:t>
      </w:r>
      <w:r w:rsidR="00494983" w:rsidRPr="00494983">
        <w:rPr>
          <w:sz w:val="26"/>
          <w:szCs w:val="26"/>
        </w:rPr>
        <w:t xml:space="preserve"> have jurisdiction to determine the liability of a utility to one customer who alleges property damage caused by the negligent restoration of electrical service to that one customer on one particular occasion, when the customer does not allege, and has never alleged, violation of the reasonable and adequate service requirements of 66 Pa. C.S. § 1501 or any other statutory or regulatory violation? </w:t>
      </w:r>
    </w:p>
    <w:p w:rsidR="00494983" w:rsidRPr="00494983" w:rsidRDefault="00494983" w:rsidP="00494983">
      <w:pPr>
        <w:widowControl/>
        <w:ind w:left="2880" w:right="1440" w:hanging="720"/>
        <w:rPr>
          <w:sz w:val="26"/>
          <w:szCs w:val="26"/>
        </w:rPr>
      </w:pPr>
    </w:p>
    <w:p w:rsidR="00494983" w:rsidRPr="00494983" w:rsidRDefault="004E3587" w:rsidP="004E3587">
      <w:pPr>
        <w:widowControl/>
        <w:ind w:left="2160" w:right="1440"/>
        <w:rPr>
          <w:sz w:val="26"/>
          <w:szCs w:val="26"/>
        </w:rPr>
      </w:pPr>
      <w:r>
        <w:rPr>
          <w:sz w:val="26"/>
          <w:szCs w:val="26"/>
        </w:rPr>
        <w:t>b.</w:t>
      </w:r>
      <w:r>
        <w:rPr>
          <w:sz w:val="26"/>
          <w:szCs w:val="26"/>
        </w:rPr>
        <w:tab/>
      </w:r>
      <w:r w:rsidR="00494983" w:rsidRPr="00494983">
        <w:rPr>
          <w:sz w:val="26"/>
          <w:szCs w:val="26"/>
        </w:rPr>
        <w:t xml:space="preserve">May the </w:t>
      </w:r>
      <w:r w:rsidR="00280AC8">
        <w:rPr>
          <w:sz w:val="26"/>
          <w:szCs w:val="26"/>
        </w:rPr>
        <w:t>[Commission]</w:t>
      </w:r>
      <w:r w:rsidR="00494983" w:rsidRPr="00494983">
        <w:rPr>
          <w:sz w:val="26"/>
          <w:szCs w:val="26"/>
        </w:rPr>
        <w:t xml:space="preserve"> adjudicate a hypothetical question, not involving an actual case or controversy, which has been raised by the Presiding Officer but not by the complainant, when doing so deprives the complainant of a stake in the outcome of the adjudication?</w:t>
      </w:r>
    </w:p>
    <w:p w:rsidR="00FA33CE" w:rsidRDefault="00FA33CE" w:rsidP="00B90FEE">
      <w:pPr>
        <w:widowControl/>
        <w:ind w:left="2880" w:right="1440" w:hanging="720"/>
        <w:rPr>
          <w:sz w:val="26"/>
          <w:szCs w:val="26"/>
        </w:rPr>
      </w:pPr>
    </w:p>
    <w:p w:rsidR="00FA33CE" w:rsidRPr="00FA33CE" w:rsidRDefault="00FA33CE" w:rsidP="00B90FEE">
      <w:pPr>
        <w:widowControl/>
        <w:ind w:left="2880" w:right="1440" w:hanging="720"/>
        <w:rPr>
          <w:sz w:val="26"/>
          <w:szCs w:val="26"/>
        </w:rPr>
      </w:pPr>
    </w:p>
    <w:p w:rsidR="00651964" w:rsidRDefault="004E3587" w:rsidP="004E3587">
      <w:pPr>
        <w:widowControl/>
        <w:spacing w:line="360" w:lineRule="auto"/>
        <w:ind w:firstLine="1440"/>
        <w:rPr>
          <w:sz w:val="26"/>
          <w:szCs w:val="26"/>
        </w:rPr>
      </w:pPr>
      <w:r>
        <w:rPr>
          <w:sz w:val="26"/>
          <w:szCs w:val="26"/>
        </w:rPr>
        <w:t>2</w:t>
      </w:r>
      <w:r w:rsidR="00651964">
        <w:rPr>
          <w:sz w:val="26"/>
          <w:szCs w:val="26"/>
        </w:rPr>
        <w:t>.</w:t>
      </w:r>
      <w:r w:rsidR="00651964">
        <w:rPr>
          <w:sz w:val="26"/>
          <w:szCs w:val="26"/>
        </w:rPr>
        <w:tab/>
        <w:t xml:space="preserve">That </w:t>
      </w:r>
      <w:r>
        <w:rPr>
          <w:sz w:val="26"/>
          <w:szCs w:val="26"/>
        </w:rPr>
        <w:t xml:space="preserve">this matter is returned to the Office of Administrative Law Judge.  </w:t>
      </w:r>
    </w:p>
    <w:p w:rsidR="00651964" w:rsidRDefault="00651964" w:rsidP="007D7DEB">
      <w:pPr>
        <w:widowControl/>
        <w:spacing w:line="360" w:lineRule="auto"/>
        <w:ind w:left="1440"/>
        <w:rPr>
          <w:sz w:val="26"/>
          <w:szCs w:val="26"/>
        </w:rPr>
      </w:pPr>
    </w:p>
    <w:p w:rsidR="00651964" w:rsidRDefault="000760E3" w:rsidP="007D7DEB">
      <w:pPr>
        <w:widowControl/>
        <w:tabs>
          <w:tab w:val="left" w:pos="-720"/>
        </w:tabs>
        <w:spacing w:line="360" w:lineRule="auto"/>
        <w:ind w:firstLine="5040"/>
        <w:rPr>
          <w:sz w:val="26"/>
          <w:szCs w:val="26"/>
        </w:rPr>
      </w:pPr>
      <w:r>
        <w:rPr>
          <w:noProof/>
        </w:rPr>
        <w:drawing>
          <wp:anchor distT="0" distB="0" distL="114300" distR="114300" simplePos="0" relativeHeight="251659264" behindDoc="1" locked="0" layoutInCell="1" allowOverlap="1" wp14:anchorId="7CE570DC" wp14:editId="0927ACA0">
            <wp:simplePos x="0" y="0"/>
            <wp:positionH relativeFrom="column">
              <wp:posOffset>3171825</wp:posOffset>
            </wp:positionH>
            <wp:positionV relativeFrom="paragraph">
              <wp:posOffset>65405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4E3587">
        <w:rPr>
          <w:b/>
          <w:sz w:val="26"/>
          <w:szCs w:val="26"/>
        </w:rPr>
        <w:t>BY THE COMMISSION</w:t>
      </w:r>
    </w:p>
    <w:p w:rsidR="00651964" w:rsidRDefault="00651964" w:rsidP="00B90FEE">
      <w:pPr>
        <w:widowControl/>
        <w:tabs>
          <w:tab w:val="left" w:pos="-720"/>
        </w:tabs>
        <w:rPr>
          <w:sz w:val="26"/>
          <w:szCs w:val="26"/>
        </w:rPr>
      </w:pPr>
    </w:p>
    <w:p w:rsidR="000760E3" w:rsidRDefault="000760E3"/>
    <w:p w:rsidR="00651964" w:rsidRDefault="00651964" w:rsidP="00B90FEE">
      <w:pPr>
        <w:widowControl/>
        <w:tabs>
          <w:tab w:val="left" w:pos="-720"/>
        </w:tabs>
        <w:rPr>
          <w:sz w:val="26"/>
          <w:szCs w:val="26"/>
        </w:rPr>
      </w:pPr>
    </w:p>
    <w:p w:rsidR="00651964" w:rsidRDefault="00651964" w:rsidP="00B90FEE">
      <w:pPr>
        <w:widowControl/>
        <w:tabs>
          <w:tab w:val="left" w:pos="-720"/>
        </w:tabs>
        <w:ind w:firstLine="5040"/>
        <w:rPr>
          <w:b/>
          <w:sz w:val="26"/>
          <w:szCs w:val="26"/>
        </w:rPr>
      </w:pPr>
      <w:r>
        <w:rPr>
          <w:sz w:val="26"/>
          <w:szCs w:val="26"/>
        </w:rPr>
        <w:t>Rosemary Chiavetta</w:t>
      </w:r>
    </w:p>
    <w:p w:rsidR="00651964" w:rsidRDefault="00651964" w:rsidP="00B90FEE">
      <w:pPr>
        <w:widowControl/>
        <w:tabs>
          <w:tab w:val="left" w:pos="-720"/>
        </w:tabs>
        <w:ind w:firstLine="5040"/>
        <w:rPr>
          <w:sz w:val="26"/>
          <w:szCs w:val="26"/>
        </w:rPr>
      </w:pPr>
      <w:r>
        <w:rPr>
          <w:sz w:val="26"/>
          <w:szCs w:val="26"/>
        </w:rPr>
        <w:t>Secretary</w:t>
      </w:r>
    </w:p>
    <w:p w:rsidR="00651964" w:rsidRDefault="00651964" w:rsidP="00B90FEE">
      <w:pPr>
        <w:widowControl/>
        <w:tabs>
          <w:tab w:val="left" w:pos="-720"/>
        </w:tabs>
        <w:rPr>
          <w:sz w:val="26"/>
          <w:szCs w:val="26"/>
        </w:rPr>
      </w:pPr>
    </w:p>
    <w:p w:rsidR="00651964" w:rsidRDefault="00651964" w:rsidP="00B90FEE">
      <w:pPr>
        <w:widowControl/>
        <w:tabs>
          <w:tab w:val="left" w:pos="-720"/>
        </w:tabs>
        <w:rPr>
          <w:sz w:val="26"/>
          <w:szCs w:val="26"/>
        </w:rPr>
      </w:pPr>
      <w:r>
        <w:rPr>
          <w:sz w:val="26"/>
          <w:szCs w:val="26"/>
        </w:rPr>
        <w:t>(SEAL)</w:t>
      </w:r>
    </w:p>
    <w:p w:rsidR="00651964" w:rsidRDefault="00651964" w:rsidP="00B90FEE">
      <w:pPr>
        <w:widowControl/>
        <w:tabs>
          <w:tab w:val="left" w:pos="-720"/>
        </w:tabs>
        <w:rPr>
          <w:sz w:val="26"/>
          <w:szCs w:val="26"/>
        </w:rPr>
      </w:pPr>
    </w:p>
    <w:p w:rsidR="00651964" w:rsidRDefault="00651964" w:rsidP="00B90FEE">
      <w:pPr>
        <w:widowControl/>
        <w:tabs>
          <w:tab w:val="left" w:pos="-720"/>
        </w:tabs>
        <w:rPr>
          <w:sz w:val="26"/>
          <w:szCs w:val="26"/>
        </w:rPr>
      </w:pPr>
      <w:r>
        <w:rPr>
          <w:sz w:val="26"/>
          <w:szCs w:val="26"/>
        </w:rPr>
        <w:t>ORDER ADOPTED:</w:t>
      </w:r>
      <w:r w:rsidR="00BB6278">
        <w:rPr>
          <w:sz w:val="26"/>
          <w:szCs w:val="26"/>
        </w:rPr>
        <w:t xml:space="preserve">  </w:t>
      </w:r>
      <w:r w:rsidR="0059755A">
        <w:rPr>
          <w:sz w:val="26"/>
          <w:szCs w:val="26"/>
        </w:rPr>
        <w:t>September</w:t>
      </w:r>
      <w:r w:rsidR="00494983">
        <w:rPr>
          <w:sz w:val="26"/>
          <w:szCs w:val="26"/>
        </w:rPr>
        <w:t xml:space="preserve"> </w:t>
      </w:r>
      <w:r w:rsidR="004A031C">
        <w:rPr>
          <w:sz w:val="26"/>
          <w:szCs w:val="26"/>
        </w:rPr>
        <w:t>15</w:t>
      </w:r>
      <w:r w:rsidR="00FA33CE">
        <w:rPr>
          <w:sz w:val="26"/>
          <w:szCs w:val="26"/>
        </w:rPr>
        <w:t>, 2016</w:t>
      </w:r>
    </w:p>
    <w:p w:rsidR="00651964" w:rsidRDefault="00651964" w:rsidP="00B90FEE">
      <w:pPr>
        <w:widowControl/>
        <w:tabs>
          <w:tab w:val="left" w:pos="-720"/>
        </w:tabs>
        <w:rPr>
          <w:sz w:val="26"/>
          <w:szCs w:val="26"/>
        </w:rPr>
      </w:pPr>
    </w:p>
    <w:p w:rsidR="00494983" w:rsidRDefault="00651964" w:rsidP="00296B7E">
      <w:pPr>
        <w:widowControl/>
        <w:tabs>
          <w:tab w:val="left" w:pos="-720"/>
        </w:tabs>
        <w:rPr>
          <w:sz w:val="26"/>
          <w:szCs w:val="26"/>
        </w:rPr>
      </w:pPr>
      <w:r>
        <w:rPr>
          <w:sz w:val="26"/>
          <w:szCs w:val="26"/>
        </w:rPr>
        <w:t xml:space="preserve">ORDER ENTERED:  </w:t>
      </w:r>
      <w:r w:rsidR="000760E3">
        <w:rPr>
          <w:sz w:val="26"/>
          <w:szCs w:val="26"/>
        </w:rPr>
        <w:t>October 13, 2016</w:t>
      </w:r>
      <w:bookmarkStart w:id="16" w:name="_GoBack"/>
      <w:bookmarkEnd w:id="16"/>
    </w:p>
    <w:sectPr w:rsidR="00494983" w:rsidSect="00E4462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6D28" w:rsidRDefault="000D6D28" w:rsidP="003E62C2">
      <w:r>
        <w:separator/>
      </w:r>
    </w:p>
  </w:endnote>
  <w:endnote w:type="continuationSeparator" w:id="0">
    <w:p w:rsidR="000D6D28" w:rsidRDefault="000D6D28" w:rsidP="003E6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8678296"/>
      <w:docPartObj>
        <w:docPartGallery w:val="Page Numbers (Bottom of Page)"/>
        <w:docPartUnique/>
      </w:docPartObj>
    </w:sdtPr>
    <w:sdtEndPr>
      <w:rPr>
        <w:noProof/>
        <w:sz w:val="26"/>
        <w:szCs w:val="26"/>
      </w:rPr>
    </w:sdtEndPr>
    <w:sdtContent>
      <w:p w:rsidR="00114F37" w:rsidRPr="00E555D1" w:rsidRDefault="00114F37">
        <w:pPr>
          <w:pStyle w:val="Footer"/>
          <w:jc w:val="center"/>
          <w:rPr>
            <w:sz w:val="26"/>
            <w:szCs w:val="26"/>
          </w:rPr>
        </w:pPr>
        <w:r w:rsidRPr="00E555D1">
          <w:rPr>
            <w:sz w:val="26"/>
            <w:szCs w:val="26"/>
          </w:rPr>
          <w:fldChar w:fldCharType="begin"/>
        </w:r>
        <w:r w:rsidRPr="00E555D1">
          <w:rPr>
            <w:sz w:val="26"/>
            <w:szCs w:val="26"/>
          </w:rPr>
          <w:instrText xml:space="preserve"> PAGE   \* MERGEFORMAT </w:instrText>
        </w:r>
        <w:r w:rsidRPr="00E555D1">
          <w:rPr>
            <w:sz w:val="26"/>
            <w:szCs w:val="26"/>
          </w:rPr>
          <w:fldChar w:fldCharType="separate"/>
        </w:r>
        <w:r w:rsidR="000760E3">
          <w:rPr>
            <w:noProof/>
            <w:sz w:val="26"/>
            <w:szCs w:val="26"/>
          </w:rPr>
          <w:t>i</w:t>
        </w:r>
        <w:r w:rsidRPr="00E555D1">
          <w:rPr>
            <w:noProof/>
            <w:sz w:val="26"/>
            <w:szCs w:val="2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6D28" w:rsidRDefault="000D6D28" w:rsidP="003E62C2">
      <w:r>
        <w:separator/>
      </w:r>
    </w:p>
  </w:footnote>
  <w:footnote w:type="continuationSeparator" w:id="0">
    <w:p w:rsidR="000D6D28" w:rsidRDefault="000D6D28" w:rsidP="003E62C2">
      <w:r>
        <w:continuationSeparator/>
      </w:r>
    </w:p>
  </w:footnote>
  <w:footnote w:id="1">
    <w:p w:rsidR="00114F37" w:rsidRDefault="00114F37" w:rsidP="00B07D88">
      <w:pPr>
        <w:pStyle w:val="FootnoteText"/>
        <w:ind w:firstLine="720"/>
      </w:pPr>
      <w:r w:rsidRPr="00D20532">
        <w:rPr>
          <w:rStyle w:val="FootnoteReference"/>
          <w:sz w:val="26"/>
          <w:szCs w:val="26"/>
        </w:rPr>
        <w:footnoteRef/>
      </w:r>
      <w:r w:rsidRPr="00D20532">
        <w:rPr>
          <w:sz w:val="26"/>
          <w:szCs w:val="26"/>
        </w:rPr>
        <w:t xml:space="preserve"> </w:t>
      </w:r>
      <w:r w:rsidRPr="00D20532">
        <w:rPr>
          <w:sz w:val="26"/>
          <w:szCs w:val="26"/>
        </w:rPr>
        <w:tab/>
        <w:t>Alderwoods assert</w:t>
      </w:r>
      <w:r>
        <w:rPr>
          <w:sz w:val="26"/>
          <w:szCs w:val="26"/>
        </w:rPr>
        <w:t>ed</w:t>
      </w:r>
      <w:r w:rsidRPr="00D20532">
        <w:rPr>
          <w:sz w:val="26"/>
          <w:szCs w:val="26"/>
        </w:rPr>
        <w:t xml:space="preserve"> that the Funeral Home was the sole building receiving electric service from the pole damaged in the collision.</w:t>
      </w:r>
      <w:r>
        <w:rPr>
          <w:sz w:val="26"/>
          <w:szCs w:val="26"/>
        </w:rPr>
        <w:t xml:space="preserve"> Alderwoods Brief at 2.</w:t>
      </w:r>
    </w:p>
  </w:footnote>
  <w:footnote w:id="2">
    <w:p w:rsidR="00114F37" w:rsidRPr="00AF47A6" w:rsidRDefault="00114F37" w:rsidP="00AF47A6">
      <w:pPr>
        <w:pStyle w:val="FootnoteText"/>
        <w:ind w:firstLine="720"/>
        <w:rPr>
          <w:sz w:val="26"/>
          <w:szCs w:val="26"/>
        </w:rPr>
      </w:pPr>
      <w:r w:rsidRPr="00AF47A6">
        <w:rPr>
          <w:rStyle w:val="FootnoteReference"/>
          <w:sz w:val="26"/>
          <w:szCs w:val="26"/>
        </w:rPr>
        <w:footnoteRef/>
      </w:r>
      <w:r w:rsidRPr="00AF47A6">
        <w:rPr>
          <w:sz w:val="26"/>
          <w:szCs w:val="26"/>
        </w:rPr>
        <w:t xml:space="preserve"> </w:t>
      </w:r>
      <w:r>
        <w:rPr>
          <w:sz w:val="26"/>
          <w:szCs w:val="26"/>
        </w:rPr>
        <w:tab/>
        <w:t>Alderwoods sought d</w:t>
      </w:r>
      <w:r w:rsidRPr="00AF47A6">
        <w:rPr>
          <w:sz w:val="26"/>
          <w:szCs w:val="26"/>
        </w:rPr>
        <w:t>isqualification because</w:t>
      </w:r>
      <w:r>
        <w:rPr>
          <w:sz w:val="26"/>
          <w:szCs w:val="26"/>
        </w:rPr>
        <w:t xml:space="preserve">, as referenced by the Supreme Court in </w:t>
      </w:r>
      <w:r>
        <w:rPr>
          <w:i/>
          <w:sz w:val="26"/>
          <w:szCs w:val="26"/>
        </w:rPr>
        <w:t>Alderwoods 2014</w:t>
      </w:r>
      <w:r>
        <w:rPr>
          <w:sz w:val="26"/>
          <w:szCs w:val="26"/>
        </w:rPr>
        <w:t xml:space="preserve">, </w:t>
      </w:r>
      <w:r w:rsidRPr="00AF47A6">
        <w:rPr>
          <w:sz w:val="26"/>
          <w:szCs w:val="26"/>
        </w:rPr>
        <w:t>the Law Bureau</w:t>
      </w:r>
      <w:r>
        <w:rPr>
          <w:sz w:val="26"/>
          <w:szCs w:val="26"/>
        </w:rPr>
        <w:t xml:space="preserve"> ha</w:t>
      </w:r>
      <w:r w:rsidRPr="00AF47A6">
        <w:rPr>
          <w:sz w:val="26"/>
          <w:szCs w:val="26"/>
        </w:rPr>
        <w:t xml:space="preserve">d filed an </w:t>
      </w:r>
      <w:r w:rsidRPr="00AF47A6">
        <w:rPr>
          <w:i/>
          <w:sz w:val="26"/>
          <w:szCs w:val="26"/>
        </w:rPr>
        <w:t>amicus curiae</w:t>
      </w:r>
      <w:r w:rsidRPr="00AF47A6">
        <w:rPr>
          <w:sz w:val="26"/>
          <w:szCs w:val="26"/>
        </w:rPr>
        <w:t xml:space="preserve"> brief i</w:t>
      </w:r>
      <w:r>
        <w:rPr>
          <w:sz w:val="26"/>
          <w:szCs w:val="26"/>
        </w:rPr>
        <w:t>n</w:t>
      </w:r>
      <w:r w:rsidRPr="00AF47A6">
        <w:rPr>
          <w:sz w:val="26"/>
          <w:szCs w:val="26"/>
        </w:rPr>
        <w:t xml:space="preserve"> the Supreme Court.  In its motion, Alderwoods contended that </w:t>
      </w:r>
      <w:r>
        <w:rPr>
          <w:sz w:val="26"/>
          <w:szCs w:val="26"/>
        </w:rPr>
        <w:t>having already taken a position on the matter at odds with Alderwoods, the four Law Bureau attorneys identified on the brief had already prejudged issues</w:t>
      </w:r>
      <w:r w:rsidRPr="00AF47A6">
        <w:rPr>
          <w:sz w:val="26"/>
          <w:szCs w:val="26"/>
        </w:rPr>
        <w:t>.</w:t>
      </w:r>
    </w:p>
  </w:footnote>
  <w:footnote w:id="3">
    <w:p w:rsidR="00114F37" w:rsidRPr="00F85F1A" w:rsidRDefault="00114F37" w:rsidP="00F85F1A">
      <w:pPr>
        <w:pStyle w:val="FootnoteText"/>
        <w:ind w:firstLine="720"/>
        <w:rPr>
          <w:sz w:val="26"/>
          <w:szCs w:val="26"/>
        </w:rPr>
      </w:pPr>
      <w:r w:rsidRPr="00F85F1A">
        <w:rPr>
          <w:rStyle w:val="FootnoteReference"/>
          <w:sz w:val="26"/>
          <w:szCs w:val="26"/>
        </w:rPr>
        <w:footnoteRef/>
      </w:r>
      <w:r w:rsidRPr="00F85F1A">
        <w:rPr>
          <w:sz w:val="26"/>
          <w:szCs w:val="26"/>
        </w:rPr>
        <w:t xml:space="preserve"> </w:t>
      </w:r>
      <w:r w:rsidRPr="00F85F1A">
        <w:rPr>
          <w:sz w:val="26"/>
          <w:szCs w:val="26"/>
        </w:rPr>
        <w:tab/>
        <w:t xml:space="preserve">Alderwoods repeated and expanded its request for disqualification with the filing of an additional motion on May 2, 2016, for the continued disqualification of the four Law Bureau counsel as well as the construction of an “ethical wall” to </w:t>
      </w:r>
      <w:r>
        <w:rPr>
          <w:sz w:val="26"/>
          <w:szCs w:val="26"/>
        </w:rPr>
        <w:t>pre</w:t>
      </w:r>
      <w:r w:rsidRPr="00F85F1A">
        <w:rPr>
          <w:sz w:val="26"/>
          <w:szCs w:val="26"/>
        </w:rPr>
        <w:t xml:space="preserve">clude any new attorneys in the Commission who may be assigned to this matter from having any access to or involvement with </w:t>
      </w:r>
      <w:r>
        <w:rPr>
          <w:sz w:val="26"/>
          <w:szCs w:val="26"/>
        </w:rPr>
        <w:t>A</w:t>
      </w:r>
      <w:r w:rsidRPr="00F85F1A">
        <w:rPr>
          <w:sz w:val="26"/>
          <w:szCs w:val="26"/>
        </w:rPr>
        <w:t xml:space="preserve">lderwoods’ civil action, including appeals, for the period 2009 through 2015.  The February 25, 2016 Secretarial Letter remains operative, and mindful of our obligations under Section 308 of the Code, we </w:t>
      </w:r>
      <w:r>
        <w:rPr>
          <w:sz w:val="26"/>
          <w:szCs w:val="26"/>
        </w:rPr>
        <w:t xml:space="preserve">have </w:t>
      </w:r>
      <w:r w:rsidRPr="00F85F1A">
        <w:rPr>
          <w:sz w:val="26"/>
          <w:szCs w:val="26"/>
        </w:rPr>
        <w:t xml:space="preserve">neither </w:t>
      </w:r>
      <w:r>
        <w:rPr>
          <w:sz w:val="26"/>
          <w:szCs w:val="26"/>
        </w:rPr>
        <w:t xml:space="preserve">sought nor accepted </w:t>
      </w:r>
      <w:r w:rsidRPr="00F85F1A">
        <w:rPr>
          <w:sz w:val="26"/>
          <w:szCs w:val="26"/>
        </w:rPr>
        <w:t>advice from any Law Bureau attorney who was involved in or had access to Alderwoods’ civil action.</w:t>
      </w:r>
    </w:p>
  </w:footnote>
  <w:footnote w:id="4">
    <w:p w:rsidR="00114F37" w:rsidRPr="00D239E6" w:rsidRDefault="00114F37" w:rsidP="001137E4">
      <w:pPr>
        <w:pStyle w:val="FootnoteText"/>
        <w:ind w:firstLine="720"/>
        <w:rPr>
          <w:sz w:val="26"/>
          <w:szCs w:val="26"/>
        </w:rPr>
      </w:pPr>
      <w:r w:rsidRPr="002C79C8">
        <w:rPr>
          <w:rStyle w:val="FootnoteReference"/>
          <w:sz w:val="26"/>
          <w:szCs w:val="26"/>
        </w:rPr>
        <w:footnoteRef/>
      </w:r>
      <w:r w:rsidRPr="002C79C8">
        <w:rPr>
          <w:sz w:val="26"/>
          <w:szCs w:val="26"/>
        </w:rPr>
        <w:t xml:space="preserve"> </w:t>
      </w:r>
      <w:r w:rsidRPr="002C79C8">
        <w:rPr>
          <w:sz w:val="26"/>
          <w:szCs w:val="26"/>
        </w:rPr>
        <w:tab/>
        <w:t>Section 5.101</w:t>
      </w:r>
      <w:r>
        <w:rPr>
          <w:sz w:val="26"/>
          <w:szCs w:val="26"/>
        </w:rPr>
        <w:t>(a)</w:t>
      </w:r>
      <w:r w:rsidRPr="002C79C8">
        <w:rPr>
          <w:sz w:val="26"/>
          <w:szCs w:val="26"/>
        </w:rPr>
        <w:t>(4)</w:t>
      </w:r>
      <w:r>
        <w:rPr>
          <w:sz w:val="26"/>
          <w:szCs w:val="26"/>
        </w:rPr>
        <w:t xml:space="preserve"> of our Regulations</w:t>
      </w:r>
      <w:r w:rsidRPr="002C79C8">
        <w:rPr>
          <w:sz w:val="26"/>
          <w:szCs w:val="26"/>
        </w:rPr>
        <w:t xml:space="preserve"> </w:t>
      </w:r>
      <w:r>
        <w:rPr>
          <w:sz w:val="26"/>
          <w:szCs w:val="26"/>
        </w:rPr>
        <w:t>recognizes</w:t>
      </w:r>
      <w:r w:rsidRPr="002C79C8">
        <w:rPr>
          <w:sz w:val="26"/>
          <w:szCs w:val="26"/>
        </w:rPr>
        <w:t xml:space="preserve"> </w:t>
      </w:r>
      <w:r>
        <w:rPr>
          <w:sz w:val="26"/>
          <w:szCs w:val="26"/>
        </w:rPr>
        <w:t xml:space="preserve">the legal insufficiency of a pleading as </w:t>
      </w:r>
      <w:r w:rsidRPr="002C79C8">
        <w:rPr>
          <w:sz w:val="26"/>
          <w:szCs w:val="26"/>
        </w:rPr>
        <w:t xml:space="preserve">a ground for </w:t>
      </w:r>
      <w:r>
        <w:rPr>
          <w:sz w:val="26"/>
          <w:szCs w:val="26"/>
        </w:rPr>
        <w:t xml:space="preserve">a </w:t>
      </w:r>
      <w:r w:rsidRPr="002C79C8">
        <w:rPr>
          <w:sz w:val="26"/>
          <w:szCs w:val="26"/>
        </w:rPr>
        <w:t>preliminary objection</w:t>
      </w:r>
      <w:r>
        <w:rPr>
          <w:sz w:val="26"/>
          <w:szCs w:val="26"/>
        </w:rPr>
        <w:t xml:space="preserve">.  Alderwoods is correct that in filing a motion raising the legal insufficiency of Alderwoods’ Preliminary Objection, Duquesne in essence filed a Preliminary Objection to Alderwoods’ Preliminary Objection, a pleading specifically disallowed under Section 5.101(a).  To this point, we also note that there is no provision under our Regulations for a Reply to an Answer to a Preliminary Objection, rendering Alderwoods’ Reply to Answer improper as well.  In his ruling on the Preliminary Objection, </w:t>
      </w:r>
      <w:r w:rsidRPr="002348FC">
        <w:rPr>
          <w:sz w:val="26"/>
          <w:szCs w:val="26"/>
        </w:rPr>
        <w:t>the ALJ noted that</w:t>
      </w:r>
      <w:r>
        <w:rPr>
          <w:sz w:val="26"/>
          <w:szCs w:val="26"/>
        </w:rPr>
        <w:t xml:space="preserve"> his disposition of the Preliminary Objection rendered any further consideration of these subsequent pleadings unnecessary.  Order at 4 n.4.  With respect to the impact of these additional pleadings, we agree with the ALJ’s conclusion.</w:t>
      </w:r>
    </w:p>
  </w:footnote>
  <w:footnote w:id="5">
    <w:p w:rsidR="00114F37" w:rsidRPr="00884BDF" w:rsidRDefault="00114F37" w:rsidP="00884BDF">
      <w:pPr>
        <w:pStyle w:val="FootnoteText"/>
        <w:ind w:firstLine="720"/>
        <w:rPr>
          <w:sz w:val="26"/>
          <w:szCs w:val="26"/>
        </w:rPr>
      </w:pPr>
      <w:r w:rsidRPr="00884BDF">
        <w:rPr>
          <w:rStyle w:val="FootnoteReference"/>
          <w:sz w:val="26"/>
          <w:szCs w:val="26"/>
        </w:rPr>
        <w:footnoteRef/>
      </w:r>
      <w:r w:rsidRPr="00884BDF">
        <w:rPr>
          <w:sz w:val="26"/>
          <w:szCs w:val="26"/>
        </w:rPr>
        <w:t xml:space="preserve"> </w:t>
      </w:r>
      <w:r w:rsidRPr="00884BDF">
        <w:rPr>
          <w:sz w:val="26"/>
          <w:szCs w:val="26"/>
        </w:rPr>
        <w:tab/>
        <w:t xml:space="preserve">These cases are discussed in further detail </w:t>
      </w:r>
      <w:r w:rsidRPr="00884BDF">
        <w:rPr>
          <w:i/>
          <w:sz w:val="26"/>
          <w:szCs w:val="26"/>
        </w:rPr>
        <w:t>infra</w:t>
      </w:r>
      <w:r w:rsidRPr="00884BDF">
        <w:rPr>
          <w:sz w:val="26"/>
          <w:szCs w:val="26"/>
        </w:rPr>
        <w:t>.</w:t>
      </w:r>
    </w:p>
  </w:footnote>
  <w:footnote w:id="6">
    <w:p w:rsidR="00114F37" w:rsidRPr="00E22041" w:rsidRDefault="00114F37" w:rsidP="001165BA">
      <w:pPr>
        <w:pStyle w:val="FootnoteText"/>
        <w:rPr>
          <w:sz w:val="26"/>
          <w:szCs w:val="26"/>
        </w:rPr>
      </w:pPr>
      <w:r>
        <w:rPr>
          <w:sz w:val="26"/>
          <w:szCs w:val="26"/>
        </w:rPr>
        <w:tab/>
      </w:r>
      <w:r w:rsidRPr="00E22041">
        <w:rPr>
          <w:rStyle w:val="FootnoteReference"/>
          <w:sz w:val="26"/>
          <w:szCs w:val="26"/>
        </w:rPr>
        <w:footnoteRef/>
      </w:r>
      <w:r w:rsidRPr="00E22041">
        <w:rPr>
          <w:sz w:val="26"/>
          <w:szCs w:val="26"/>
        </w:rPr>
        <w:t xml:space="preserve"> </w:t>
      </w:r>
      <w:r>
        <w:rPr>
          <w:sz w:val="26"/>
          <w:szCs w:val="26"/>
        </w:rPr>
        <w:tab/>
      </w:r>
      <w:r w:rsidRPr="00E22041">
        <w:rPr>
          <w:i/>
          <w:sz w:val="26"/>
          <w:szCs w:val="26"/>
        </w:rPr>
        <w:t>See, e.g., Mobilfone of Northeastern PA, Inc. v. Paul Kelly d/b/a American Teletronix</w:t>
      </w:r>
      <w:r>
        <w:rPr>
          <w:sz w:val="26"/>
          <w:szCs w:val="26"/>
        </w:rPr>
        <w:t xml:space="preserve">, 67 Pa. P.U.C. 256 (1988); and </w:t>
      </w:r>
      <w:r w:rsidRPr="003168E4">
        <w:rPr>
          <w:i/>
          <w:sz w:val="26"/>
          <w:szCs w:val="26"/>
        </w:rPr>
        <w:t>Petition of West Penn Power Company d/b/a Allegheny Power</w:t>
      </w:r>
      <w:r>
        <w:rPr>
          <w:sz w:val="26"/>
          <w:szCs w:val="26"/>
        </w:rPr>
        <w:t xml:space="preserve">, Docket No. P-2010-2158084 (Order entered November 8, 2010).  </w:t>
      </w:r>
    </w:p>
  </w:footnote>
  <w:footnote w:id="7">
    <w:p w:rsidR="00114F37" w:rsidRPr="00E22041" w:rsidRDefault="00114F37" w:rsidP="001165BA">
      <w:pPr>
        <w:pStyle w:val="FootnoteText"/>
        <w:rPr>
          <w:sz w:val="26"/>
          <w:szCs w:val="26"/>
        </w:rPr>
      </w:pPr>
      <w:r>
        <w:rPr>
          <w:sz w:val="26"/>
          <w:szCs w:val="26"/>
        </w:rPr>
        <w:tab/>
      </w:r>
      <w:r w:rsidRPr="00E22041">
        <w:rPr>
          <w:rStyle w:val="FootnoteReference"/>
          <w:sz w:val="26"/>
          <w:szCs w:val="26"/>
        </w:rPr>
        <w:footnoteRef/>
      </w:r>
      <w:r w:rsidRPr="00E22041">
        <w:rPr>
          <w:sz w:val="26"/>
          <w:szCs w:val="26"/>
        </w:rPr>
        <w:t xml:space="preserve"> </w:t>
      </w:r>
      <w:r>
        <w:rPr>
          <w:sz w:val="26"/>
          <w:szCs w:val="26"/>
        </w:rPr>
        <w:tab/>
      </w:r>
      <w:r w:rsidRPr="00E22041">
        <w:rPr>
          <w:sz w:val="26"/>
          <w:szCs w:val="26"/>
        </w:rPr>
        <w:t xml:space="preserve">Because the question of the Commission’s jurisdiction has already been decided, Duquesne argues it is “law of the case” and cannot be disturbed.  </w:t>
      </w:r>
      <w:r w:rsidRPr="00E22041">
        <w:rPr>
          <w:i/>
          <w:sz w:val="26"/>
          <w:szCs w:val="26"/>
        </w:rPr>
        <w:t xml:space="preserve">Tyro Industries, Inc. v. James A. Wood, Inc. </w:t>
      </w:r>
      <w:r w:rsidRPr="00E22041">
        <w:rPr>
          <w:sz w:val="26"/>
          <w:szCs w:val="26"/>
        </w:rPr>
        <w:t xml:space="preserve">614 A.2d 279, 284 (Pa. Super. 1992). </w:t>
      </w:r>
    </w:p>
  </w:footnote>
  <w:footnote w:id="8">
    <w:p w:rsidR="00114F37" w:rsidRPr="00E22041" w:rsidRDefault="00114F37" w:rsidP="001165BA">
      <w:pPr>
        <w:pStyle w:val="FootnoteText"/>
        <w:rPr>
          <w:sz w:val="26"/>
          <w:szCs w:val="26"/>
        </w:rPr>
      </w:pPr>
      <w:r>
        <w:rPr>
          <w:sz w:val="26"/>
          <w:szCs w:val="26"/>
        </w:rPr>
        <w:tab/>
      </w:r>
      <w:r w:rsidRPr="00E22041">
        <w:rPr>
          <w:rStyle w:val="FootnoteReference"/>
          <w:sz w:val="26"/>
          <w:szCs w:val="26"/>
        </w:rPr>
        <w:footnoteRef/>
      </w:r>
      <w:r w:rsidRPr="00E22041">
        <w:rPr>
          <w:sz w:val="26"/>
          <w:szCs w:val="26"/>
        </w:rPr>
        <w:t xml:space="preserve"> </w:t>
      </w:r>
      <w:r>
        <w:rPr>
          <w:sz w:val="26"/>
          <w:szCs w:val="26"/>
        </w:rPr>
        <w:tab/>
      </w:r>
      <w:r w:rsidRPr="00E22041">
        <w:rPr>
          <w:sz w:val="26"/>
          <w:szCs w:val="26"/>
        </w:rPr>
        <w:t>The Court’s order does not contain any reasoning in support of the decision to bifurcate.  However, the order notes that the Court considered all argume</w:t>
      </w:r>
      <w:r w:rsidR="00FB79C0">
        <w:rPr>
          <w:sz w:val="26"/>
          <w:szCs w:val="26"/>
        </w:rPr>
        <w:t>nts of counsel, and Duquesne’s m</w:t>
      </w:r>
      <w:r w:rsidRPr="00E22041">
        <w:rPr>
          <w:sz w:val="26"/>
          <w:szCs w:val="26"/>
        </w:rPr>
        <w:t>otion requesting bifurcation specifically identified primary jurisdiction as a basis to bifurcate the liability piece and transfer it to the Commission.  Therefore, it is reasonable to concl</w:t>
      </w:r>
      <w:r w:rsidR="00FB79C0">
        <w:rPr>
          <w:sz w:val="26"/>
          <w:szCs w:val="26"/>
        </w:rPr>
        <w:t>ude the Court, in granting the m</w:t>
      </w:r>
      <w:r w:rsidRPr="00E22041">
        <w:rPr>
          <w:sz w:val="26"/>
          <w:szCs w:val="26"/>
        </w:rPr>
        <w:t>otion, ag</w:t>
      </w:r>
      <w:r w:rsidR="00FB79C0">
        <w:rPr>
          <w:sz w:val="26"/>
          <w:szCs w:val="26"/>
        </w:rPr>
        <w:t>reed with the reasoning in the m</w:t>
      </w:r>
      <w:r w:rsidRPr="00E22041">
        <w:rPr>
          <w:sz w:val="26"/>
          <w:szCs w:val="26"/>
        </w:rPr>
        <w:t>otion.</w:t>
      </w:r>
    </w:p>
  </w:footnote>
  <w:footnote w:id="9">
    <w:p w:rsidR="00114F37" w:rsidRPr="00E22041" w:rsidRDefault="00114F37" w:rsidP="007625D6">
      <w:pPr>
        <w:keepNext/>
        <w:keepLines/>
        <w:rPr>
          <w:sz w:val="26"/>
          <w:szCs w:val="26"/>
        </w:rPr>
      </w:pPr>
      <w:r>
        <w:rPr>
          <w:sz w:val="26"/>
          <w:szCs w:val="26"/>
        </w:rPr>
        <w:tab/>
      </w:r>
      <w:r w:rsidRPr="00E22041">
        <w:rPr>
          <w:rStyle w:val="FootnoteReference"/>
          <w:sz w:val="26"/>
          <w:szCs w:val="26"/>
        </w:rPr>
        <w:footnoteRef/>
      </w:r>
      <w:r w:rsidRPr="00E22041">
        <w:rPr>
          <w:sz w:val="26"/>
          <w:szCs w:val="26"/>
        </w:rPr>
        <w:t xml:space="preserve"> </w:t>
      </w:r>
      <w:r>
        <w:rPr>
          <w:sz w:val="26"/>
          <w:szCs w:val="26"/>
        </w:rPr>
        <w:tab/>
      </w:r>
      <w:r w:rsidR="00FB79C0">
        <w:rPr>
          <w:sz w:val="26"/>
          <w:szCs w:val="26"/>
        </w:rPr>
        <w:t>We recognize that t</w:t>
      </w:r>
      <w:r w:rsidRPr="00E22041">
        <w:rPr>
          <w:sz w:val="26"/>
          <w:szCs w:val="26"/>
        </w:rPr>
        <w:t>he Commission granted interloc</w:t>
      </w:r>
      <w:r>
        <w:rPr>
          <w:sz w:val="26"/>
          <w:szCs w:val="26"/>
        </w:rPr>
        <w:t>utory review regarding several formal c</w:t>
      </w:r>
      <w:r w:rsidRPr="00E22041">
        <w:rPr>
          <w:sz w:val="26"/>
          <w:szCs w:val="26"/>
        </w:rPr>
        <w:t>omplaints filed by the Pennsylvania Office of Attorney General and the Pennsylvania Office of Con</w:t>
      </w:r>
      <w:r>
        <w:rPr>
          <w:sz w:val="26"/>
          <w:szCs w:val="26"/>
        </w:rPr>
        <w:t>sumer Advocate against certain electric generation s</w:t>
      </w:r>
      <w:r w:rsidRPr="00E22041">
        <w:rPr>
          <w:sz w:val="26"/>
          <w:szCs w:val="26"/>
        </w:rPr>
        <w:t xml:space="preserve">uppliers in Pennsylvania.  </w:t>
      </w:r>
      <w:r w:rsidRPr="00636482">
        <w:rPr>
          <w:i/>
          <w:sz w:val="26"/>
          <w:szCs w:val="26"/>
        </w:rPr>
        <w:t>Com. of Pa., et al. v. Blue Pilot Energy, LLC</w:t>
      </w:r>
      <w:r>
        <w:rPr>
          <w:sz w:val="26"/>
          <w:szCs w:val="26"/>
        </w:rPr>
        <w:t xml:space="preserve">, Docket No. C-2014-2427655 (Order entered December 11, 2014); </w:t>
      </w:r>
      <w:r w:rsidRPr="00636482">
        <w:rPr>
          <w:i/>
          <w:sz w:val="26"/>
          <w:szCs w:val="26"/>
        </w:rPr>
        <w:t>Com. of Pa., et al.</w:t>
      </w:r>
      <w:r>
        <w:rPr>
          <w:i/>
          <w:sz w:val="26"/>
          <w:szCs w:val="26"/>
        </w:rPr>
        <w:t xml:space="preserve"> v. IDT Energy, Inc.</w:t>
      </w:r>
      <w:r>
        <w:rPr>
          <w:sz w:val="26"/>
          <w:szCs w:val="26"/>
        </w:rPr>
        <w:t xml:space="preserve">, Docket No. C-2014-2427657 (Order entered December 18, 2014) </w:t>
      </w:r>
      <w:r w:rsidR="00A02041">
        <w:rPr>
          <w:sz w:val="26"/>
          <w:szCs w:val="26"/>
        </w:rPr>
        <w:t xml:space="preserve">and </w:t>
      </w:r>
      <w:r w:rsidR="00A02041" w:rsidRPr="00636482">
        <w:rPr>
          <w:i/>
          <w:sz w:val="26"/>
          <w:szCs w:val="26"/>
        </w:rPr>
        <w:t>Com. of Pa., et al.</w:t>
      </w:r>
      <w:r w:rsidR="00A02041">
        <w:rPr>
          <w:i/>
          <w:sz w:val="26"/>
          <w:szCs w:val="26"/>
        </w:rPr>
        <w:t xml:space="preserve"> v. Respond Power</w:t>
      </w:r>
      <w:r w:rsidR="00A02041">
        <w:rPr>
          <w:sz w:val="26"/>
          <w:szCs w:val="26"/>
        </w:rPr>
        <w:t xml:space="preserve">, </w:t>
      </w:r>
      <w:r w:rsidR="00A02041">
        <w:rPr>
          <w:i/>
          <w:sz w:val="26"/>
          <w:szCs w:val="26"/>
        </w:rPr>
        <w:t>Inc.,</w:t>
      </w:r>
      <w:r w:rsidR="00A02041">
        <w:rPr>
          <w:sz w:val="26"/>
          <w:szCs w:val="26"/>
        </w:rPr>
        <w:t xml:space="preserve"> Docket No. C-2014-2427659 (Order entered April 9, 2015)</w:t>
      </w:r>
      <w:r>
        <w:rPr>
          <w:sz w:val="26"/>
          <w:szCs w:val="26"/>
        </w:rPr>
        <w:t>.  The c</w:t>
      </w:r>
      <w:r w:rsidRPr="00E22041">
        <w:rPr>
          <w:sz w:val="26"/>
          <w:szCs w:val="26"/>
        </w:rPr>
        <w:t xml:space="preserve">omplaints </w:t>
      </w:r>
      <w:r>
        <w:rPr>
          <w:sz w:val="26"/>
          <w:szCs w:val="26"/>
        </w:rPr>
        <w:t xml:space="preserve">in those cases </w:t>
      </w:r>
      <w:r w:rsidRPr="00E22041">
        <w:rPr>
          <w:sz w:val="26"/>
          <w:szCs w:val="26"/>
        </w:rPr>
        <w:t>arose out of numerous customer contacts and complaints that were received related to the variable rates for electric supply service charged by the suppliers.  The Commission gra</w:t>
      </w:r>
      <w:r>
        <w:rPr>
          <w:sz w:val="26"/>
          <w:szCs w:val="26"/>
        </w:rPr>
        <w:t>nted interlocutory review in</w:t>
      </w:r>
      <w:r w:rsidR="00482A9E">
        <w:rPr>
          <w:sz w:val="26"/>
          <w:szCs w:val="26"/>
        </w:rPr>
        <w:t xml:space="preserve"> those cases</w:t>
      </w:r>
      <w:r w:rsidRPr="00E22041">
        <w:rPr>
          <w:sz w:val="26"/>
          <w:szCs w:val="26"/>
        </w:rPr>
        <w:t>, in part, because it would expedite the conduct of the proceedings by providing guidance on the scope of the Commission’s subject matter jurisdiction and authority in the cases.  However, no such guidance is needed here, in light of the civil court decisions.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A0F50"/>
    <w:multiLevelType w:val="hybridMultilevel"/>
    <w:tmpl w:val="BBF8CCE0"/>
    <w:lvl w:ilvl="0" w:tplc="C5FA8F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A441308"/>
    <w:multiLevelType w:val="hybridMultilevel"/>
    <w:tmpl w:val="1A3CEE8A"/>
    <w:lvl w:ilvl="0" w:tplc="51B29156">
      <w:start w:val="1"/>
      <w:numFmt w:val="decimal"/>
      <w:lvlText w:val="(%1)"/>
      <w:lvlJc w:val="left"/>
      <w:pPr>
        <w:ind w:left="3312" w:hanging="1872"/>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FC24548"/>
    <w:multiLevelType w:val="hybridMultilevel"/>
    <w:tmpl w:val="2A8CA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371134D9"/>
    <w:multiLevelType w:val="hybridMultilevel"/>
    <w:tmpl w:val="CA90AD48"/>
    <w:lvl w:ilvl="0" w:tplc="8DFC60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B552837"/>
    <w:multiLevelType w:val="hybridMultilevel"/>
    <w:tmpl w:val="F3F6E65E"/>
    <w:lvl w:ilvl="0" w:tplc="45A8B6F8">
      <w:start w:val="1"/>
      <w:numFmt w:val="decimal"/>
      <w:lvlText w:val="(%1)"/>
      <w:lvlJc w:val="left"/>
      <w:pPr>
        <w:ind w:left="2160" w:hanging="72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5C54445D"/>
    <w:multiLevelType w:val="hybridMultilevel"/>
    <w:tmpl w:val="AC30221E"/>
    <w:lvl w:ilvl="0" w:tplc="E2C647C0">
      <w:start w:val="1"/>
      <w:numFmt w:val="decimal"/>
      <w:lvlText w:val="%1."/>
      <w:lvlJc w:val="left"/>
      <w:pPr>
        <w:ind w:left="27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73066B8D"/>
    <w:multiLevelType w:val="hybridMultilevel"/>
    <w:tmpl w:val="D9BCA8C0"/>
    <w:lvl w:ilvl="0" w:tplc="788294E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7B1239B2"/>
    <w:multiLevelType w:val="hybridMultilevel"/>
    <w:tmpl w:val="01FC5B6E"/>
    <w:lvl w:ilvl="0" w:tplc="46D031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0"/>
  </w:num>
  <w:num w:numId="3">
    <w:abstractNumId w:val="1"/>
  </w:num>
  <w:num w:numId="4">
    <w:abstractNumId w:val="4"/>
  </w:num>
  <w:num w:numId="5">
    <w:abstractNumId w:val="8"/>
  </w:num>
  <w:num w:numId="6">
    <w:abstractNumId w:val="7"/>
  </w:num>
  <w:num w:numId="7">
    <w:abstractNumId w:val="6"/>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7EC"/>
    <w:rsid w:val="00000D47"/>
    <w:rsid w:val="00001FC8"/>
    <w:rsid w:val="00003B2D"/>
    <w:rsid w:val="000050C9"/>
    <w:rsid w:val="00006685"/>
    <w:rsid w:val="00006728"/>
    <w:rsid w:val="00006F35"/>
    <w:rsid w:val="000111CB"/>
    <w:rsid w:val="00011FED"/>
    <w:rsid w:val="000133E0"/>
    <w:rsid w:val="00013BDD"/>
    <w:rsid w:val="00013D1D"/>
    <w:rsid w:val="00014C0A"/>
    <w:rsid w:val="00014EFB"/>
    <w:rsid w:val="00016D57"/>
    <w:rsid w:val="00016EA7"/>
    <w:rsid w:val="00017852"/>
    <w:rsid w:val="00020583"/>
    <w:rsid w:val="00020F0F"/>
    <w:rsid w:val="00021E46"/>
    <w:rsid w:val="00022B74"/>
    <w:rsid w:val="00022DC6"/>
    <w:rsid w:val="0002389C"/>
    <w:rsid w:val="00023BD9"/>
    <w:rsid w:val="00024835"/>
    <w:rsid w:val="00024A98"/>
    <w:rsid w:val="0002524C"/>
    <w:rsid w:val="00025F3F"/>
    <w:rsid w:val="00026774"/>
    <w:rsid w:val="000268D9"/>
    <w:rsid w:val="00026CD2"/>
    <w:rsid w:val="00030145"/>
    <w:rsid w:val="00030480"/>
    <w:rsid w:val="00030B0F"/>
    <w:rsid w:val="000313D0"/>
    <w:rsid w:val="00031B7D"/>
    <w:rsid w:val="00031B94"/>
    <w:rsid w:val="00033B52"/>
    <w:rsid w:val="00034904"/>
    <w:rsid w:val="00034F74"/>
    <w:rsid w:val="000354BD"/>
    <w:rsid w:val="00035A23"/>
    <w:rsid w:val="00035E59"/>
    <w:rsid w:val="00035F05"/>
    <w:rsid w:val="00040A8E"/>
    <w:rsid w:val="00040AEA"/>
    <w:rsid w:val="000423AB"/>
    <w:rsid w:val="0004293B"/>
    <w:rsid w:val="00043F04"/>
    <w:rsid w:val="00044580"/>
    <w:rsid w:val="00044A74"/>
    <w:rsid w:val="00047874"/>
    <w:rsid w:val="00047F4A"/>
    <w:rsid w:val="00050373"/>
    <w:rsid w:val="000523D1"/>
    <w:rsid w:val="00052760"/>
    <w:rsid w:val="00052B8F"/>
    <w:rsid w:val="00053842"/>
    <w:rsid w:val="00053E6E"/>
    <w:rsid w:val="00054001"/>
    <w:rsid w:val="0005427D"/>
    <w:rsid w:val="00054612"/>
    <w:rsid w:val="000547FA"/>
    <w:rsid w:val="00054814"/>
    <w:rsid w:val="00055556"/>
    <w:rsid w:val="000556CF"/>
    <w:rsid w:val="0005572E"/>
    <w:rsid w:val="0005618F"/>
    <w:rsid w:val="00056286"/>
    <w:rsid w:val="00056B30"/>
    <w:rsid w:val="00056E1D"/>
    <w:rsid w:val="0005788A"/>
    <w:rsid w:val="000612FD"/>
    <w:rsid w:val="0006174D"/>
    <w:rsid w:val="0006176F"/>
    <w:rsid w:val="00061B68"/>
    <w:rsid w:val="00061CDB"/>
    <w:rsid w:val="00062935"/>
    <w:rsid w:val="00063EFD"/>
    <w:rsid w:val="00064193"/>
    <w:rsid w:val="000642AA"/>
    <w:rsid w:val="000649EC"/>
    <w:rsid w:val="00066475"/>
    <w:rsid w:val="00066EE5"/>
    <w:rsid w:val="00067260"/>
    <w:rsid w:val="00072808"/>
    <w:rsid w:val="000729F7"/>
    <w:rsid w:val="00072E0D"/>
    <w:rsid w:val="000736E7"/>
    <w:rsid w:val="00075007"/>
    <w:rsid w:val="000760E3"/>
    <w:rsid w:val="0007631D"/>
    <w:rsid w:val="000767AE"/>
    <w:rsid w:val="00076F35"/>
    <w:rsid w:val="000814F5"/>
    <w:rsid w:val="00083855"/>
    <w:rsid w:val="00084573"/>
    <w:rsid w:val="00084AF9"/>
    <w:rsid w:val="000852FA"/>
    <w:rsid w:val="000854C8"/>
    <w:rsid w:val="00087ABB"/>
    <w:rsid w:val="000918D4"/>
    <w:rsid w:val="00093164"/>
    <w:rsid w:val="00093B23"/>
    <w:rsid w:val="0009402A"/>
    <w:rsid w:val="000945DD"/>
    <w:rsid w:val="00094D20"/>
    <w:rsid w:val="00095221"/>
    <w:rsid w:val="00095AFC"/>
    <w:rsid w:val="0009612D"/>
    <w:rsid w:val="00096A2C"/>
    <w:rsid w:val="00097287"/>
    <w:rsid w:val="00097504"/>
    <w:rsid w:val="000A0593"/>
    <w:rsid w:val="000A16D1"/>
    <w:rsid w:val="000A1D94"/>
    <w:rsid w:val="000A258E"/>
    <w:rsid w:val="000A365D"/>
    <w:rsid w:val="000A3E2E"/>
    <w:rsid w:val="000A6366"/>
    <w:rsid w:val="000A6950"/>
    <w:rsid w:val="000A7E5D"/>
    <w:rsid w:val="000B1148"/>
    <w:rsid w:val="000B1EBF"/>
    <w:rsid w:val="000B1FEC"/>
    <w:rsid w:val="000B216D"/>
    <w:rsid w:val="000B270F"/>
    <w:rsid w:val="000B2755"/>
    <w:rsid w:val="000B2D29"/>
    <w:rsid w:val="000B3E16"/>
    <w:rsid w:val="000B4EAE"/>
    <w:rsid w:val="000B5238"/>
    <w:rsid w:val="000B607A"/>
    <w:rsid w:val="000B67F1"/>
    <w:rsid w:val="000B6B15"/>
    <w:rsid w:val="000B7AB8"/>
    <w:rsid w:val="000C1B72"/>
    <w:rsid w:val="000C29B6"/>
    <w:rsid w:val="000C2AE3"/>
    <w:rsid w:val="000C3C90"/>
    <w:rsid w:val="000C557B"/>
    <w:rsid w:val="000C564D"/>
    <w:rsid w:val="000C58B5"/>
    <w:rsid w:val="000C6004"/>
    <w:rsid w:val="000C6540"/>
    <w:rsid w:val="000C6741"/>
    <w:rsid w:val="000C7084"/>
    <w:rsid w:val="000C709A"/>
    <w:rsid w:val="000D0E07"/>
    <w:rsid w:val="000D19F4"/>
    <w:rsid w:val="000D2E0E"/>
    <w:rsid w:val="000D3BBF"/>
    <w:rsid w:val="000D3D3A"/>
    <w:rsid w:val="000D40CB"/>
    <w:rsid w:val="000D4412"/>
    <w:rsid w:val="000D44DB"/>
    <w:rsid w:val="000D537C"/>
    <w:rsid w:val="000D5842"/>
    <w:rsid w:val="000D5967"/>
    <w:rsid w:val="000D6208"/>
    <w:rsid w:val="000D6D28"/>
    <w:rsid w:val="000D7065"/>
    <w:rsid w:val="000D75CE"/>
    <w:rsid w:val="000E14CF"/>
    <w:rsid w:val="000E31E6"/>
    <w:rsid w:val="000E3E09"/>
    <w:rsid w:val="000E4D48"/>
    <w:rsid w:val="000E52ED"/>
    <w:rsid w:val="000E5E8E"/>
    <w:rsid w:val="000E6935"/>
    <w:rsid w:val="000E6F80"/>
    <w:rsid w:val="000E78B9"/>
    <w:rsid w:val="000F00E5"/>
    <w:rsid w:val="000F14BA"/>
    <w:rsid w:val="000F179E"/>
    <w:rsid w:val="000F1B28"/>
    <w:rsid w:val="000F209C"/>
    <w:rsid w:val="000F32F2"/>
    <w:rsid w:val="000F4251"/>
    <w:rsid w:val="000F4307"/>
    <w:rsid w:val="000F4435"/>
    <w:rsid w:val="000F65C0"/>
    <w:rsid w:val="000F799D"/>
    <w:rsid w:val="000F7C59"/>
    <w:rsid w:val="001004BC"/>
    <w:rsid w:val="00100824"/>
    <w:rsid w:val="00100E2F"/>
    <w:rsid w:val="0010158F"/>
    <w:rsid w:val="00101F51"/>
    <w:rsid w:val="0010248D"/>
    <w:rsid w:val="001026CA"/>
    <w:rsid w:val="00104272"/>
    <w:rsid w:val="00104A5C"/>
    <w:rsid w:val="00104D9B"/>
    <w:rsid w:val="0011048F"/>
    <w:rsid w:val="001106D2"/>
    <w:rsid w:val="001108C1"/>
    <w:rsid w:val="001137E4"/>
    <w:rsid w:val="00113B89"/>
    <w:rsid w:val="00114E79"/>
    <w:rsid w:val="00114F37"/>
    <w:rsid w:val="001160BB"/>
    <w:rsid w:val="001165BA"/>
    <w:rsid w:val="00116B16"/>
    <w:rsid w:val="00116C91"/>
    <w:rsid w:val="00117CB2"/>
    <w:rsid w:val="00120892"/>
    <w:rsid w:val="00120B39"/>
    <w:rsid w:val="00122901"/>
    <w:rsid w:val="00123170"/>
    <w:rsid w:val="001235EB"/>
    <w:rsid w:val="001238E5"/>
    <w:rsid w:val="00123A2E"/>
    <w:rsid w:val="00123E94"/>
    <w:rsid w:val="00124071"/>
    <w:rsid w:val="001267D4"/>
    <w:rsid w:val="001269D2"/>
    <w:rsid w:val="00130E65"/>
    <w:rsid w:val="0013163B"/>
    <w:rsid w:val="001323CB"/>
    <w:rsid w:val="001325F6"/>
    <w:rsid w:val="001333D7"/>
    <w:rsid w:val="0013344A"/>
    <w:rsid w:val="0013382A"/>
    <w:rsid w:val="00134A14"/>
    <w:rsid w:val="00134F2A"/>
    <w:rsid w:val="00135429"/>
    <w:rsid w:val="001357D9"/>
    <w:rsid w:val="00135972"/>
    <w:rsid w:val="001360FC"/>
    <w:rsid w:val="00137FEB"/>
    <w:rsid w:val="00140967"/>
    <w:rsid w:val="001429F9"/>
    <w:rsid w:val="00142C14"/>
    <w:rsid w:val="001431AC"/>
    <w:rsid w:val="00143B22"/>
    <w:rsid w:val="001447A0"/>
    <w:rsid w:val="0014497F"/>
    <w:rsid w:val="00144AAC"/>
    <w:rsid w:val="00145CB5"/>
    <w:rsid w:val="001466B8"/>
    <w:rsid w:val="00146DDD"/>
    <w:rsid w:val="00146E58"/>
    <w:rsid w:val="00147145"/>
    <w:rsid w:val="0014754C"/>
    <w:rsid w:val="00150096"/>
    <w:rsid w:val="001508E4"/>
    <w:rsid w:val="00151981"/>
    <w:rsid w:val="00152B0D"/>
    <w:rsid w:val="0015380A"/>
    <w:rsid w:val="00154A88"/>
    <w:rsid w:val="00154CB6"/>
    <w:rsid w:val="00155811"/>
    <w:rsid w:val="00156C14"/>
    <w:rsid w:val="001624F9"/>
    <w:rsid w:val="00162C1C"/>
    <w:rsid w:val="00163E75"/>
    <w:rsid w:val="00164DA4"/>
    <w:rsid w:val="001657B4"/>
    <w:rsid w:val="00165CFE"/>
    <w:rsid w:val="00165E30"/>
    <w:rsid w:val="00166298"/>
    <w:rsid w:val="001663C8"/>
    <w:rsid w:val="001663D6"/>
    <w:rsid w:val="0017140C"/>
    <w:rsid w:val="001717B8"/>
    <w:rsid w:val="001721A1"/>
    <w:rsid w:val="00172B50"/>
    <w:rsid w:val="00172C47"/>
    <w:rsid w:val="00172C54"/>
    <w:rsid w:val="001742F7"/>
    <w:rsid w:val="00174BD1"/>
    <w:rsid w:val="00174D3D"/>
    <w:rsid w:val="001765BA"/>
    <w:rsid w:val="00176675"/>
    <w:rsid w:val="0017774C"/>
    <w:rsid w:val="001801DE"/>
    <w:rsid w:val="0018023B"/>
    <w:rsid w:val="0018037C"/>
    <w:rsid w:val="00180E31"/>
    <w:rsid w:val="00180E5D"/>
    <w:rsid w:val="00182478"/>
    <w:rsid w:val="00182A12"/>
    <w:rsid w:val="00182C1E"/>
    <w:rsid w:val="00184083"/>
    <w:rsid w:val="00184CDF"/>
    <w:rsid w:val="001852F8"/>
    <w:rsid w:val="00185538"/>
    <w:rsid w:val="0018693D"/>
    <w:rsid w:val="00186A97"/>
    <w:rsid w:val="0019126C"/>
    <w:rsid w:val="00192901"/>
    <w:rsid w:val="00194EC1"/>
    <w:rsid w:val="001950C2"/>
    <w:rsid w:val="0019530E"/>
    <w:rsid w:val="001956EC"/>
    <w:rsid w:val="00195DB7"/>
    <w:rsid w:val="00195F2E"/>
    <w:rsid w:val="00196A1B"/>
    <w:rsid w:val="00197881"/>
    <w:rsid w:val="001A23CB"/>
    <w:rsid w:val="001A2894"/>
    <w:rsid w:val="001A46FC"/>
    <w:rsid w:val="001A56F8"/>
    <w:rsid w:val="001A6066"/>
    <w:rsid w:val="001A7342"/>
    <w:rsid w:val="001A74C4"/>
    <w:rsid w:val="001A7D31"/>
    <w:rsid w:val="001A7DC7"/>
    <w:rsid w:val="001B01E1"/>
    <w:rsid w:val="001B0729"/>
    <w:rsid w:val="001B100B"/>
    <w:rsid w:val="001B17C4"/>
    <w:rsid w:val="001B1DB4"/>
    <w:rsid w:val="001B2019"/>
    <w:rsid w:val="001B212F"/>
    <w:rsid w:val="001B22D4"/>
    <w:rsid w:val="001B2DB4"/>
    <w:rsid w:val="001B2DD3"/>
    <w:rsid w:val="001B459D"/>
    <w:rsid w:val="001B46B7"/>
    <w:rsid w:val="001B5BAC"/>
    <w:rsid w:val="001B707B"/>
    <w:rsid w:val="001B7714"/>
    <w:rsid w:val="001C027C"/>
    <w:rsid w:val="001C101C"/>
    <w:rsid w:val="001C151E"/>
    <w:rsid w:val="001C227F"/>
    <w:rsid w:val="001C3449"/>
    <w:rsid w:val="001C3B2E"/>
    <w:rsid w:val="001C4581"/>
    <w:rsid w:val="001C4978"/>
    <w:rsid w:val="001C63BE"/>
    <w:rsid w:val="001D0ED2"/>
    <w:rsid w:val="001D17F4"/>
    <w:rsid w:val="001D454A"/>
    <w:rsid w:val="001D4EB3"/>
    <w:rsid w:val="001D5AF4"/>
    <w:rsid w:val="001E0B61"/>
    <w:rsid w:val="001E1272"/>
    <w:rsid w:val="001E1276"/>
    <w:rsid w:val="001E14FB"/>
    <w:rsid w:val="001E19F1"/>
    <w:rsid w:val="001E3962"/>
    <w:rsid w:val="001E48E1"/>
    <w:rsid w:val="001E5E56"/>
    <w:rsid w:val="001E6A71"/>
    <w:rsid w:val="001E7C03"/>
    <w:rsid w:val="001F0FE6"/>
    <w:rsid w:val="001F105A"/>
    <w:rsid w:val="001F214E"/>
    <w:rsid w:val="001F285E"/>
    <w:rsid w:val="001F475A"/>
    <w:rsid w:val="001F50F9"/>
    <w:rsid w:val="001F7005"/>
    <w:rsid w:val="0020003B"/>
    <w:rsid w:val="00200EA0"/>
    <w:rsid w:val="00202524"/>
    <w:rsid w:val="002028CB"/>
    <w:rsid w:val="00202BE9"/>
    <w:rsid w:val="00202C49"/>
    <w:rsid w:val="002042A3"/>
    <w:rsid w:val="002046D1"/>
    <w:rsid w:val="00205134"/>
    <w:rsid w:val="0020573D"/>
    <w:rsid w:val="00210736"/>
    <w:rsid w:val="00210F81"/>
    <w:rsid w:val="00211622"/>
    <w:rsid w:val="0021170B"/>
    <w:rsid w:val="002118EB"/>
    <w:rsid w:val="00211B2E"/>
    <w:rsid w:val="0021229A"/>
    <w:rsid w:val="00213F46"/>
    <w:rsid w:val="00214B3E"/>
    <w:rsid w:val="00214B98"/>
    <w:rsid w:val="00216049"/>
    <w:rsid w:val="002167B8"/>
    <w:rsid w:val="00223053"/>
    <w:rsid w:val="00223F24"/>
    <w:rsid w:val="00224029"/>
    <w:rsid w:val="00224DEA"/>
    <w:rsid w:val="00225070"/>
    <w:rsid w:val="00225F49"/>
    <w:rsid w:val="00226273"/>
    <w:rsid w:val="0022698E"/>
    <w:rsid w:val="00226A29"/>
    <w:rsid w:val="002274D5"/>
    <w:rsid w:val="00227912"/>
    <w:rsid w:val="00227965"/>
    <w:rsid w:val="00230513"/>
    <w:rsid w:val="002311EE"/>
    <w:rsid w:val="002318DE"/>
    <w:rsid w:val="00232B57"/>
    <w:rsid w:val="00233877"/>
    <w:rsid w:val="00233BDD"/>
    <w:rsid w:val="002348FC"/>
    <w:rsid w:val="0023542F"/>
    <w:rsid w:val="0023683B"/>
    <w:rsid w:val="002370F5"/>
    <w:rsid w:val="00240879"/>
    <w:rsid w:val="00240ACA"/>
    <w:rsid w:val="00240C5E"/>
    <w:rsid w:val="00240D7B"/>
    <w:rsid w:val="00241299"/>
    <w:rsid w:val="002429A2"/>
    <w:rsid w:val="00243296"/>
    <w:rsid w:val="002434E3"/>
    <w:rsid w:val="0024352B"/>
    <w:rsid w:val="00245B48"/>
    <w:rsid w:val="00247991"/>
    <w:rsid w:val="0025221C"/>
    <w:rsid w:val="002524E1"/>
    <w:rsid w:val="00252CE4"/>
    <w:rsid w:val="0025430F"/>
    <w:rsid w:val="00255462"/>
    <w:rsid w:val="00257B81"/>
    <w:rsid w:val="00260882"/>
    <w:rsid w:val="00260957"/>
    <w:rsid w:val="00261013"/>
    <w:rsid w:val="00261919"/>
    <w:rsid w:val="00263BC1"/>
    <w:rsid w:val="00263CCD"/>
    <w:rsid w:val="00264378"/>
    <w:rsid w:val="00264646"/>
    <w:rsid w:val="0026573F"/>
    <w:rsid w:val="00267A91"/>
    <w:rsid w:val="0027006C"/>
    <w:rsid w:val="00270624"/>
    <w:rsid w:val="00270BC0"/>
    <w:rsid w:val="0027126F"/>
    <w:rsid w:val="0027232D"/>
    <w:rsid w:val="00272A05"/>
    <w:rsid w:val="00273782"/>
    <w:rsid w:val="00274A77"/>
    <w:rsid w:val="00274D0F"/>
    <w:rsid w:val="002763CC"/>
    <w:rsid w:val="00276ACB"/>
    <w:rsid w:val="00277500"/>
    <w:rsid w:val="00280AC8"/>
    <w:rsid w:val="002811EA"/>
    <w:rsid w:val="00281A5F"/>
    <w:rsid w:val="00281C76"/>
    <w:rsid w:val="00282B68"/>
    <w:rsid w:val="00282CAA"/>
    <w:rsid w:val="00282E4A"/>
    <w:rsid w:val="002836BD"/>
    <w:rsid w:val="00283C10"/>
    <w:rsid w:val="00283C96"/>
    <w:rsid w:val="002850F7"/>
    <w:rsid w:val="00285918"/>
    <w:rsid w:val="002861FA"/>
    <w:rsid w:val="00286B63"/>
    <w:rsid w:val="00291F68"/>
    <w:rsid w:val="00294284"/>
    <w:rsid w:val="00294A8B"/>
    <w:rsid w:val="002950D1"/>
    <w:rsid w:val="00296B7E"/>
    <w:rsid w:val="002A0444"/>
    <w:rsid w:val="002A060A"/>
    <w:rsid w:val="002A1F0B"/>
    <w:rsid w:val="002A2B38"/>
    <w:rsid w:val="002A4450"/>
    <w:rsid w:val="002A610A"/>
    <w:rsid w:val="002A65D8"/>
    <w:rsid w:val="002A6750"/>
    <w:rsid w:val="002A746B"/>
    <w:rsid w:val="002A7607"/>
    <w:rsid w:val="002B00AD"/>
    <w:rsid w:val="002B1ABF"/>
    <w:rsid w:val="002B2296"/>
    <w:rsid w:val="002B2812"/>
    <w:rsid w:val="002B3A1D"/>
    <w:rsid w:val="002B4407"/>
    <w:rsid w:val="002B4D91"/>
    <w:rsid w:val="002B67B7"/>
    <w:rsid w:val="002B7B6E"/>
    <w:rsid w:val="002C0020"/>
    <w:rsid w:val="002C0429"/>
    <w:rsid w:val="002C0F76"/>
    <w:rsid w:val="002C11C3"/>
    <w:rsid w:val="002C1942"/>
    <w:rsid w:val="002C19E4"/>
    <w:rsid w:val="002C2364"/>
    <w:rsid w:val="002C27BB"/>
    <w:rsid w:val="002C34B0"/>
    <w:rsid w:val="002C36F6"/>
    <w:rsid w:val="002C3E0C"/>
    <w:rsid w:val="002C5D9E"/>
    <w:rsid w:val="002C60AE"/>
    <w:rsid w:val="002C6BBC"/>
    <w:rsid w:val="002C6CC4"/>
    <w:rsid w:val="002C78EF"/>
    <w:rsid w:val="002C79C8"/>
    <w:rsid w:val="002D13C4"/>
    <w:rsid w:val="002D275E"/>
    <w:rsid w:val="002D37E2"/>
    <w:rsid w:val="002D428D"/>
    <w:rsid w:val="002D5EB4"/>
    <w:rsid w:val="002D603C"/>
    <w:rsid w:val="002D6357"/>
    <w:rsid w:val="002D6BF1"/>
    <w:rsid w:val="002D7584"/>
    <w:rsid w:val="002E0A07"/>
    <w:rsid w:val="002E0B5B"/>
    <w:rsid w:val="002E1203"/>
    <w:rsid w:val="002E2855"/>
    <w:rsid w:val="002E2CF9"/>
    <w:rsid w:val="002E3026"/>
    <w:rsid w:val="002E3931"/>
    <w:rsid w:val="002E3F06"/>
    <w:rsid w:val="002E6FFA"/>
    <w:rsid w:val="002E730D"/>
    <w:rsid w:val="002E76CD"/>
    <w:rsid w:val="002E7F8F"/>
    <w:rsid w:val="002F1C37"/>
    <w:rsid w:val="002F1D85"/>
    <w:rsid w:val="002F2AD0"/>
    <w:rsid w:val="002F3F04"/>
    <w:rsid w:val="002F3F38"/>
    <w:rsid w:val="002F41BA"/>
    <w:rsid w:val="002F636B"/>
    <w:rsid w:val="002F6FB4"/>
    <w:rsid w:val="00300885"/>
    <w:rsid w:val="003018AA"/>
    <w:rsid w:val="00302016"/>
    <w:rsid w:val="003028F9"/>
    <w:rsid w:val="00302C52"/>
    <w:rsid w:val="003031B5"/>
    <w:rsid w:val="00303B99"/>
    <w:rsid w:val="00304B71"/>
    <w:rsid w:val="00305914"/>
    <w:rsid w:val="003065DA"/>
    <w:rsid w:val="0030714F"/>
    <w:rsid w:val="003073E2"/>
    <w:rsid w:val="003078B4"/>
    <w:rsid w:val="00307DA5"/>
    <w:rsid w:val="00307DDF"/>
    <w:rsid w:val="00311A19"/>
    <w:rsid w:val="0031204C"/>
    <w:rsid w:val="00312E5B"/>
    <w:rsid w:val="00313665"/>
    <w:rsid w:val="00313936"/>
    <w:rsid w:val="00313CCA"/>
    <w:rsid w:val="00314655"/>
    <w:rsid w:val="00314A43"/>
    <w:rsid w:val="00314A52"/>
    <w:rsid w:val="003155D9"/>
    <w:rsid w:val="003165A6"/>
    <w:rsid w:val="003168E4"/>
    <w:rsid w:val="00316A4B"/>
    <w:rsid w:val="00316B23"/>
    <w:rsid w:val="00316E54"/>
    <w:rsid w:val="0031766A"/>
    <w:rsid w:val="00317B3D"/>
    <w:rsid w:val="00320B5D"/>
    <w:rsid w:val="00321D6B"/>
    <w:rsid w:val="00322040"/>
    <w:rsid w:val="00322087"/>
    <w:rsid w:val="00323E25"/>
    <w:rsid w:val="003240B8"/>
    <w:rsid w:val="00325422"/>
    <w:rsid w:val="0032575B"/>
    <w:rsid w:val="0032696E"/>
    <w:rsid w:val="00326BE5"/>
    <w:rsid w:val="00327857"/>
    <w:rsid w:val="00330726"/>
    <w:rsid w:val="00330C8F"/>
    <w:rsid w:val="003310BC"/>
    <w:rsid w:val="00331450"/>
    <w:rsid w:val="00331D9E"/>
    <w:rsid w:val="00333ED1"/>
    <w:rsid w:val="00333FDA"/>
    <w:rsid w:val="003340DE"/>
    <w:rsid w:val="003366C8"/>
    <w:rsid w:val="00336C18"/>
    <w:rsid w:val="00340D19"/>
    <w:rsid w:val="003416EE"/>
    <w:rsid w:val="0034265C"/>
    <w:rsid w:val="00343123"/>
    <w:rsid w:val="00343BDE"/>
    <w:rsid w:val="00344804"/>
    <w:rsid w:val="00345387"/>
    <w:rsid w:val="00345453"/>
    <w:rsid w:val="0034546A"/>
    <w:rsid w:val="0034594F"/>
    <w:rsid w:val="00347808"/>
    <w:rsid w:val="00347B93"/>
    <w:rsid w:val="00350772"/>
    <w:rsid w:val="003518C8"/>
    <w:rsid w:val="003524F3"/>
    <w:rsid w:val="003533B5"/>
    <w:rsid w:val="00353DDB"/>
    <w:rsid w:val="003549AD"/>
    <w:rsid w:val="00354E1F"/>
    <w:rsid w:val="003554DC"/>
    <w:rsid w:val="003556C5"/>
    <w:rsid w:val="00355B25"/>
    <w:rsid w:val="00356EFB"/>
    <w:rsid w:val="003578D0"/>
    <w:rsid w:val="00357927"/>
    <w:rsid w:val="0036143E"/>
    <w:rsid w:val="00361706"/>
    <w:rsid w:val="00361E5D"/>
    <w:rsid w:val="003622CA"/>
    <w:rsid w:val="00363030"/>
    <w:rsid w:val="00363097"/>
    <w:rsid w:val="00363640"/>
    <w:rsid w:val="00363712"/>
    <w:rsid w:val="00363DC6"/>
    <w:rsid w:val="0036462C"/>
    <w:rsid w:val="00364A42"/>
    <w:rsid w:val="00364B5F"/>
    <w:rsid w:val="00364CA7"/>
    <w:rsid w:val="0036574F"/>
    <w:rsid w:val="00365DDC"/>
    <w:rsid w:val="00366089"/>
    <w:rsid w:val="00366984"/>
    <w:rsid w:val="003703DC"/>
    <w:rsid w:val="00370B54"/>
    <w:rsid w:val="003716A9"/>
    <w:rsid w:val="003755FB"/>
    <w:rsid w:val="0037577C"/>
    <w:rsid w:val="0037638E"/>
    <w:rsid w:val="003768A1"/>
    <w:rsid w:val="003772EC"/>
    <w:rsid w:val="003774F8"/>
    <w:rsid w:val="0038018F"/>
    <w:rsid w:val="00380275"/>
    <w:rsid w:val="003803D1"/>
    <w:rsid w:val="00380E99"/>
    <w:rsid w:val="00380F36"/>
    <w:rsid w:val="00381ABE"/>
    <w:rsid w:val="00382A5E"/>
    <w:rsid w:val="00382CC5"/>
    <w:rsid w:val="0038428D"/>
    <w:rsid w:val="00384336"/>
    <w:rsid w:val="00385502"/>
    <w:rsid w:val="00385D4B"/>
    <w:rsid w:val="00391A43"/>
    <w:rsid w:val="003923D0"/>
    <w:rsid w:val="00392682"/>
    <w:rsid w:val="00392A0A"/>
    <w:rsid w:val="0039310C"/>
    <w:rsid w:val="003931E1"/>
    <w:rsid w:val="00393C88"/>
    <w:rsid w:val="00394771"/>
    <w:rsid w:val="003950AA"/>
    <w:rsid w:val="00397D4C"/>
    <w:rsid w:val="003A064B"/>
    <w:rsid w:val="003A10C8"/>
    <w:rsid w:val="003A2691"/>
    <w:rsid w:val="003A2C14"/>
    <w:rsid w:val="003A2D6D"/>
    <w:rsid w:val="003A4072"/>
    <w:rsid w:val="003A51BB"/>
    <w:rsid w:val="003A58B4"/>
    <w:rsid w:val="003A6214"/>
    <w:rsid w:val="003A75B9"/>
    <w:rsid w:val="003B00E1"/>
    <w:rsid w:val="003B0611"/>
    <w:rsid w:val="003B0780"/>
    <w:rsid w:val="003B14B5"/>
    <w:rsid w:val="003B1B86"/>
    <w:rsid w:val="003B23FB"/>
    <w:rsid w:val="003B3316"/>
    <w:rsid w:val="003B397A"/>
    <w:rsid w:val="003B3E70"/>
    <w:rsid w:val="003B42D9"/>
    <w:rsid w:val="003C1ADC"/>
    <w:rsid w:val="003C3140"/>
    <w:rsid w:val="003C3599"/>
    <w:rsid w:val="003C35C8"/>
    <w:rsid w:val="003C3E02"/>
    <w:rsid w:val="003C3FE8"/>
    <w:rsid w:val="003C4D05"/>
    <w:rsid w:val="003C5415"/>
    <w:rsid w:val="003C59A5"/>
    <w:rsid w:val="003C6464"/>
    <w:rsid w:val="003C73F9"/>
    <w:rsid w:val="003D0639"/>
    <w:rsid w:val="003D2168"/>
    <w:rsid w:val="003D24D7"/>
    <w:rsid w:val="003D2F6E"/>
    <w:rsid w:val="003D37B9"/>
    <w:rsid w:val="003D37C8"/>
    <w:rsid w:val="003D5F07"/>
    <w:rsid w:val="003D6AB5"/>
    <w:rsid w:val="003E1B8D"/>
    <w:rsid w:val="003E3B89"/>
    <w:rsid w:val="003E3FF5"/>
    <w:rsid w:val="003E5354"/>
    <w:rsid w:val="003E5CB0"/>
    <w:rsid w:val="003E5F8F"/>
    <w:rsid w:val="003E62C2"/>
    <w:rsid w:val="003E7709"/>
    <w:rsid w:val="003E7F85"/>
    <w:rsid w:val="003F0F99"/>
    <w:rsid w:val="003F2E25"/>
    <w:rsid w:val="003F3147"/>
    <w:rsid w:val="003F4138"/>
    <w:rsid w:val="003F41B0"/>
    <w:rsid w:val="003F51F4"/>
    <w:rsid w:val="003F52C6"/>
    <w:rsid w:val="003F558E"/>
    <w:rsid w:val="003F576B"/>
    <w:rsid w:val="003F5EDA"/>
    <w:rsid w:val="003F7204"/>
    <w:rsid w:val="00400485"/>
    <w:rsid w:val="004017A5"/>
    <w:rsid w:val="004027C0"/>
    <w:rsid w:val="004027CA"/>
    <w:rsid w:val="00402946"/>
    <w:rsid w:val="0040340B"/>
    <w:rsid w:val="00403418"/>
    <w:rsid w:val="00403D6E"/>
    <w:rsid w:val="0040415E"/>
    <w:rsid w:val="004044EA"/>
    <w:rsid w:val="00404E93"/>
    <w:rsid w:val="00406349"/>
    <w:rsid w:val="00407182"/>
    <w:rsid w:val="00407AC0"/>
    <w:rsid w:val="00407EAB"/>
    <w:rsid w:val="00407F19"/>
    <w:rsid w:val="00410578"/>
    <w:rsid w:val="0041146F"/>
    <w:rsid w:val="00412E30"/>
    <w:rsid w:val="004130D7"/>
    <w:rsid w:val="0041386E"/>
    <w:rsid w:val="00416D48"/>
    <w:rsid w:val="004170AF"/>
    <w:rsid w:val="00417B03"/>
    <w:rsid w:val="004225AB"/>
    <w:rsid w:val="0043089C"/>
    <w:rsid w:val="00430EE8"/>
    <w:rsid w:val="0043125A"/>
    <w:rsid w:val="00432BB7"/>
    <w:rsid w:val="00432D60"/>
    <w:rsid w:val="00433057"/>
    <w:rsid w:val="004331E9"/>
    <w:rsid w:val="00433E8D"/>
    <w:rsid w:val="00434AD1"/>
    <w:rsid w:val="0043592C"/>
    <w:rsid w:val="004379E9"/>
    <w:rsid w:val="00437FC4"/>
    <w:rsid w:val="004407DA"/>
    <w:rsid w:val="00440E59"/>
    <w:rsid w:val="004411B9"/>
    <w:rsid w:val="00441207"/>
    <w:rsid w:val="00441F65"/>
    <w:rsid w:val="004422CA"/>
    <w:rsid w:val="00443578"/>
    <w:rsid w:val="00443807"/>
    <w:rsid w:val="00443E78"/>
    <w:rsid w:val="00443EC1"/>
    <w:rsid w:val="004441EA"/>
    <w:rsid w:val="0044575B"/>
    <w:rsid w:val="00445A3B"/>
    <w:rsid w:val="004462F7"/>
    <w:rsid w:val="00450DF7"/>
    <w:rsid w:val="00452692"/>
    <w:rsid w:val="00453620"/>
    <w:rsid w:val="00453D57"/>
    <w:rsid w:val="00457EE0"/>
    <w:rsid w:val="0046019C"/>
    <w:rsid w:val="0046019D"/>
    <w:rsid w:val="004604C7"/>
    <w:rsid w:val="00460C18"/>
    <w:rsid w:val="00461294"/>
    <w:rsid w:val="004630C2"/>
    <w:rsid w:val="00463426"/>
    <w:rsid w:val="00463935"/>
    <w:rsid w:val="00464536"/>
    <w:rsid w:val="00464DAE"/>
    <w:rsid w:val="0046514E"/>
    <w:rsid w:val="0046517C"/>
    <w:rsid w:val="00465373"/>
    <w:rsid w:val="00465FA4"/>
    <w:rsid w:val="0046623C"/>
    <w:rsid w:val="00466603"/>
    <w:rsid w:val="00466666"/>
    <w:rsid w:val="00466AE8"/>
    <w:rsid w:val="00467739"/>
    <w:rsid w:val="0047061D"/>
    <w:rsid w:val="00470D0C"/>
    <w:rsid w:val="004740C6"/>
    <w:rsid w:val="00474E22"/>
    <w:rsid w:val="004758FF"/>
    <w:rsid w:val="0047608F"/>
    <w:rsid w:val="004762AD"/>
    <w:rsid w:val="00476554"/>
    <w:rsid w:val="0047786A"/>
    <w:rsid w:val="00477DDA"/>
    <w:rsid w:val="004813D4"/>
    <w:rsid w:val="004814BC"/>
    <w:rsid w:val="00482A9E"/>
    <w:rsid w:val="004849AD"/>
    <w:rsid w:val="00485DF2"/>
    <w:rsid w:val="00486581"/>
    <w:rsid w:val="0048688D"/>
    <w:rsid w:val="00486A08"/>
    <w:rsid w:val="00491C9B"/>
    <w:rsid w:val="00491D91"/>
    <w:rsid w:val="0049348A"/>
    <w:rsid w:val="00493FF5"/>
    <w:rsid w:val="0049446F"/>
    <w:rsid w:val="0049454E"/>
    <w:rsid w:val="00494983"/>
    <w:rsid w:val="0049580C"/>
    <w:rsid w:val="00496225"/>
    <w:rsid w:val="00496391"/>
    <w:rsid w:val="00496A01"/>
    <w:rsid w:val="00496D3E"/>
    <w:rsid w:val="0049768F"/>
    <w:rsid w:val="004A031C"/>
    <w:rsid w:val="004A04E5"/>
    <w:rsid w:val="004A0787"/>
    <w:rsid w:val="004A1495"/>
    <w:rsid w:val="004A2165"/>
    <w:rsid w:val="004A24FC"/>
    <w:rsid w:val="004A3F09"/>
    <w:rsid w:val="004A5F74"/>
    <w:rsid w:val="004A6B9B"/>
    <w:rsid w:val="004B0AD1"/>
    <w:rsid w:val="004B1052"/>
    <w:rsid w:val="004B1D0E"/>
    <w:rsid w:val="004B2B6D"/>
    <w:rsid w:val="004B2CB7"/>
    <w:rsid w:val="004B4A94"/>
    <w:rsid w:val="004B5108"/>
    <w:rsid w:val="004B6B14"/>
    <w:rsid w:val="004B775A"/>
    <w:rsid w:val="004B7B3A"/>
    <w:rsid w:val="004B7ECB"/>
    <w:rsid w:val="004C042A"/>
    <w:rsid w:val="004C29F8"/>
    <w:rsid w:val="004C5852"/>
    <w:rsid w:val="004C75D3"/>
    <w:rsid w:val="004C7AB9"/>
    <w:rsid w:val="004C7D3D"/>
    <w:rsid w:val="004D0317"/>
    <w:rsid w:val="004D04A7"/>
    <w:rsid w:val="004D159A"/>
    <w:rsid w:val="004D3B83"/>
    <w:rsid w:val="004D5F5B"/>
    <w:rsid w:val="004D6B01"/>
    <w:rsid w:val="004E0B2A"/>
    <w:rsid w:val="004E3587"/>
    <w:rsid w:val="004E4390"/>
    <w:rsid w:val="004E47EC"/>
    <w:rsid w:val="004E4BCE"/>
    <w:rsid w:val="004E514F"/>
    <w:rsid w:val="004E737F"/>
    <w:rsid w:val="004E79AE"/>
    <w:rsid w:val="004E7C8C"/>
    <w:rsid w:val="004F03DE"/>
    <w:rsid w:val="004F06B3"/>
    <w:rsid w:val="004F0ABA"/>
    <w:rsid w:val="004F183D"/>
    <w:rsid w:val="004F18EA"/>
    <w:rsid w:val="004F1E3E"/>
    <w:rsid w:val="004F22DA"/>
    <w:rsid w:val="004F422F"/>
    <w:rsid w:val="004F4709"/>
    <w:rsid w:val="004F5630"/>
    <w:rsid w:val="004F5D68"/>
    <w:rsid w:val="005001A4"/>
    <w:rsid w:val="00500429"/>
    <w:rsid w:val="0050068D"/>
    <w:rsid w:val="00501891"/>
    <w:rsid w:val="00502165"/>
    <w:rsid w:val="0050235D"/>
    <w:rsid w:val="00502B96"/>
    <w:rsid w:val="00503557"/>
    <w:rsid w:val="00503F26"/>
    <w:rsid w:val="00504834"/>
    <w:rsid w:val="00504C7A"/>
    <w:rsid w:val="00505AEE"/>
    <w:rsid w:val="0050632E"/>
    <w:rsid w:val="0050752D"/>
    <w:rsid w:val="00511EF3"/>
    <w:rsid w:val="0051207B"/>
    <w:rsid w:val="005124F7"/>
    <w:rsid w:val="005129A7"/>
    <w:rsid w:val="00514507"/>
    <w:rsid w:val="005149C0"/>
    <w:rsid w:val="00514E8A"/>
    <w:rsid w:val="00515650"/>
    <w:rsid w:val="005164AF"/>
    <w:rsid w:val="00521350"/>
    <w:rsid w:val="005219FA"/>
    <w:rsid w:val="00521FBE"/>
    <w:rsid w:val="00522A8D"/>
    <w:rsid w:val="00527297"/>
    <w:rsid w:val="00530051"/>
    <w:rsid w:val="00533E82"/>
    <w:rsid w:val="0053468E"/>
    <w:rsid w:val="005351B9"/>
    <w:rsid w:val="00536011"/>
    <w:rsid w:val="005377F4"/>
    <w:rsid w:val="00537CFE"/>
    <w:rsid w:val="00540A8F"/>
    <w:rsid w:val="00541F34"/>
    <w:rsid w:val="00544707"/>
    <w:rsid w:val="005450A1"/>
    <w:rsid w:val="005450C8"/>
    <w:rsid w:val="005451FF"/>
    <w:rsid w:val="0054520B"/>
    <w:rsid w:val="00546D18"/>
    <w:rsid w:val="00546FF1"/>
    <w:rsid w:val="00547611"/>
    <w:rsid w:val="00547AB2"/>
    <w:rsid w:val="00550B79"/>
    <w:rsid w:val="00550F08"/>
    <w:rsid w:val="0055150B"/>
    <w:rsid w:val="00552200"/>
    <w:rsid w:val="00552520"/>
    <w:rsid w:val="00552865"/>
    <w:rsid w:val="005532F9"/>
    <w:rsid w:val="005537E4"/>
    <w:rsid w:val="0055440B"/>
    <w:rsid w:val="0055458F"/>
    <w:rsid w:val="00554A08"/>
    <w:rsid w:val="0055543C"/>
    <w:rsid w:val="0055708D"/>
    <w:rsid w:val="005601A0"/>
    <w:rsid w:val="00561CA6"/>
    <w:rsid w:val="00561EEF"/>
    <w:rsid w:val="005622CA"/>
    <w:rsid w:val="005630CB"/>
    <w:rsid w:val="005639EA"/>
    <w:rsid w:val="005642F4"/>
    <w:rsid w:val="00564565"/>
    <w:rsid w:val="005647BE"/>
    <w:rsid w:val="00566299"/>
    <w:rsid w:val="0056798A"/>
    <w:rsid w:val="005704A7"/>
    <w:rsid w:val="0057147D"/>
    <w:rsid w:val="00571DAD"/>
    <w:rsid w:val="00571F1B"/>
    <w:rsid w:val="005725F6"/>
    <w:rsid w:val="00574858"/>
    <w:rsid w:val="00575468"/>
    <w:rsid w:val="00577FCD"/>
    <w:rsid w:val="00580A6C"/>
    <w:rsid w:val="0058298D"/>
    <w:rsid w:val="00586817"/>
    <w:rsid w:val="00586D92"/>
    <w:rsid w:val="00587037"/>
    <w:rsid w:val="005871AE"/>
    <w:rsid w:val="00587507"/>
    <w:rsid w:val="0058771C"/>
    <w:rsid w:val="00590B16"/>
    <w:rsid w:val="00591A09"/>
    <w:rsid w:val="00591E84"/>
    <w:rsid w:val="005925CC"/>
    <w:rsid w:val="00592A82"/>
    <w:rsid w:val="00592F7A"/>
    <w:rsid w:val="005943FA"/>
    <w:rsid w:val="00594907"/>
    <w:rsid w:val="00595A75"/>
    <w:rsid w:val="00595D5F"/>
    <w:rsid w:val="00596A0B"/>
    <w:rsid w:val="00596E05"/>
    <w:rsid w:val="00596F85"/>
    <w:rsid w:val="005970FA"/>
    <w:rsid w:val="0059755A"/>
    <w:rsid w:val="00597B98"/>
    <w:rsid w:val="005A0176"/>
    <w:rsid w:val="005A088E"/>
    <w:rsid w:val="005A183C"/>
    <w:rsid w:val="005A2298"/>
    <w:rsid w:val="005A28C1"/>
    <w:rsid w:val="005A28CA"/>
    <w:rsid w:val="005A388E"/>
    <w:rsid w:val="005A4158"/>
    <w:rsid w:val="005A5FE3"/>
    <w:rsid w:val="005A72FC"/>
    <w:rsid w:val="005B0388"/>
    <w:rsid w:val="005B092B"/>
    <w:rsid w:val="005B109A"/>
    <w:rsid w:val="005B3E94"/>
    <w:rsid w:val="005B468B"/>
    <w:rsid w:val="005C14E6"/>
    <w:rsid w:val="005C2FD5"/>
    <w:rsid w:val="005C3C77"/>
    <w:rsid w:val="005C524C"/>
    <w:rsid w:val="005C5378"/>
    <w:rsid w:val="005C5923"/>
    <w:rsid w:val="005C71EC"/>
    <w:rsid w:val="005C7F1F"/>
    <w:rsid w:val="005D20DC"/>
    <w:rsid w:val="005D2AB9"/>
    <w:rsid w:val="005D34E2"/>
    <w:rsid w:val="005D3EA7"/>
    <w:rsid w:val="005D496E"/>
    <w:rsid w:val="005D4BDC"/>
    <w:rsid w:val="005D5B95"/>
    <w:rsid w:val="005D685B"/>
    <w:rsid w:val="005D6AE4"/>
    <w:rsid w:val="005D7A80"/>
    <w:rsid w:val="005D7C20"/>
    <w:rsid w:val="005D7D72"/>
    <w:rsid w:val="005E064C"/>
    <w:rsid w:val="005E07B0"/>
    <w:rsid w:val="005E1829"/>
    <w:rsid w:val="005E25B6"/>
    <w:rsid w:val="005E2E78"/>
    <w:rsid w:val="005E5E3C"/>
    <w:rsid w:val="005E677C"/>
    <w:rsid w:val="005E691B"/>
    <w:rsid w:val="005E6960"/>
    <w:rsid w:val="005E6AA5"/>
    <w:rsid w:val="005E7E31"/>
    <w:rsid w:val="005E7EB8"/>
    <w:rsid w:val="005F0256"/>
    <w:rsid w:val="005F18D6"/>
    <w:rsid w:val="005F1BEA"/>
    <w:rsid w:val="005F623B"/>
    <w:rsid w:val="005F6318"/>
    <w:rsid w:val="005F6575"/>
    <w:rsid w:val="005F684D"/>
    <w:rsid w:val="00603024"/>
    <w:rsid w:val="00603841"/>
    <w:rsid w:val="0060522F"/>
    <w:rsid w:val="00606B53"/>
    <w:rsid w:val="00607E96"/>
    <w:rsid w:val="006100C1"/>
    <w:rsid w:val="006116E3"/>
    <w:rsid w:val="006123B6"/>
    <w:rsid w:val="0061311E"/>
    <w:rsid w:val="00614FFA"/>
    <w:rsid w:val="0061543D"/>
    <w:rsid w:val="00615E3B"/>
    <w:rsid w:val="00616201"/>
    <w:rsid w:val="00620356"/>
    <w:rsid w:val="00620DF1"/>
    <w:rsid w:val="006231EB"/>
    <w:rsid w:val="00623FAF"/>
    <w:rsid w:val="00624400"/>
    <w:rsid w:val="00624E51"/>
    <w:rsid w:val="006257BF"/>
    <w:rsid w:val="00626162"/>
    <w:rsid w:val="006267DC"/>
    <w:rsid w:val="00626877"/>
    <w:rsid w:val="00626B43"/>
    <w:rsid w:val="00630ED7"/>
    <w:rsid w:val="00631152"/>
    <w:rsid w:val="0063131D"/>
    <w:rsid w:val="00632219"/>
    <w:rsid w:val="00633810"/>
    <w:rsid w:val="006339F6"/>
    <w:rsid w:val="00634219"/>
    <w:rsid w:val="00634719"/>
    <w:rsid w:val="00634A35"/>
    <w:rsid w:val="00634D8B"/>
    <w:rsid w:val="00635308"/>
    <w:rsid w:val="0063536D"/>
    <w:rsid w:val="00636482"/>
    <w:rsid w:val="00637A63"/>
    <w:rsid w:val="00637F62"/>
    <w:rsid w:val="006415F3"/>
    <w:rsid w:val="00641FC1"/>
    <w:rsid w:val="00642759"/>
    <w:rsid w:val="0064342B"/>
    <w:rsid w:val="00647287"/>
    <w:rsid w:val="006503E8"/>
    <w:rsid w:val="00651964"/>
    <w:rsid w:val="00654A4A"/>
    <w:rsid w:val="0065545A"/>
    <w:rsid w:val="00655464"/>
    <w:rsid w:val="006558B1"/>
    <w:rsid w:val="00656AB6"/>
    <w:rsid w:val="00657586"/>
    <w:rsid w:val="00661142"/>
    <w:rsid w:val="006612D8"/>
    <w:rsid w:val="00661639"/>
    <w:rsid w:val="0066214A"/>
    <w:rsid w:val="00662834"/>
    <w:rsid w:val="006632D6"/>
    <w:rsid w:val="006656AA"/>
    <w:rsid w:val="006661CF"/>
    <w:rsid w:val="006662A5"/>
    <w:rsid w:val="006676D0"/>
    <w:rsid w:val="00670703"/>
    <w:rsid w:val="00670BFD"/>
    <w:rsid w:val="006710F1"/>
    <w:rsid w:val="00671E4C"/>
    <w:rsid w:val="00671F3B"/>
    <w:rsid w:val="00673969"/>
    <w:rsid w:val="00674295"/>
    <w:rsid w:val="00675C5E"/>
    <w:rsid w:val="0067671E"/>
    <w:rsid w:val="00677300"/>
    <w:rsid w:val="006777E3"/>
    <w:rsid w:val="006818A8"/>
    <w:rsid w:val="00681A51"/>
    <w:rsid w:val="00682469"/>
    <w:rsid w:val="0068249B"/>
    <w:rsid w:val="00683D97"/>
    <w:rsid w:val="00684C5F"/>
    <w:rsid w:val="00684FCA"/>
    <w:rsid w:val="0068597D"/>
    <w:rsid w:val="00686B5C"/>
    <w:rsid w:val="00690CF2"/>
    <w:rsid w:val="006910D8"/>
    <w:rsid w:val="00691FC3"/>
    <w:rsid w:val="006930EC"/>
    <w:rsid w:val="0069485D"/>
    <w:rsid w:val="00695299"/>
    <w:rsid w:val="00695C58"/>
    <w:rsid w:val="00696997"/>
    <w:rsid w:val="0069760A"/>
    <w:rsid w:val="006A0265"/>
    <w:rsid w:val="006A1795"/>
    <w:rsid w:val="006A2B40"/>
    <w:rsid w:val="006A4182"/>
    <w:rsid w:val="006A4C03"/>
    <w:rsid w:val="006A528C"/>
    <w:rsid w:val="006A5F7C"/>
    <w:rsid w:val="006A7090"/>
    <w:rsid w:val="006A758C"/>
    <w:rsid w:val="006B28F5"/>
    <w:rsid w:val="006B4A74"/>
    <w:rsid w:val="006B4D1C"/>
    <w:rsid w:val="006B5B2C"/>
    <w:rsid w:val="006B637D"/>
    <w:rsid w:val="006C090A"/>
    <w:rsid w:val="006C114F"/>
    <w:rsid w:val="006C1EEC"/>
    <w:rsid w:val="006C1FE0"/>
    <w:rsid w:val="006C2B00"/>
    <w:rsid w:val="006C2D24"/>
    <w:rsid w:val="006C3FEA"/>
    <w:rsid w:val="006C460B"/>
    <w:rsid w:val="006C5479"/>
    <w:rsid w:val="006C5730"/>
    <w:rsid w:val="006C69DA"/>
    <w:rsid w:val="006C69E7"/>
    <w:rsid w:val="006C7772"/>
    <w:rsid w:val="006C7C60"/>
    <w:rsid w:val="006D0187"/>
    <w:rsid w:val="006D10AE"/>
    <w:rsid w:val="006D1A53"/>
    <w:rsid w:val="006D1C89"/>
    <w:rsid w:val="006D29F2"/>
    <w:rsid w:val="006D3925"/>
    <w:rsid w:val="006D3D11"/>
    <w:rsid w:val="006D76E2"/>
    <w:rsid w:val="006D7CA2"/>
    <w:rsid w:val="006E065B"/>
    <w:rsid w:val="006E071D"/>
    <w:rsid w:val="006E09D3"/>
    <w:rsid w:val="006E1B65"/>
    <w:rsid w:val="006E1E6C"/>
    <w:rsid w:val="006E2087"/>
    <w:rsid w:val="006E3F2B"/>
    <w:rsid w:val="006E5505"/>
    <w:rsid w:val="006E77C8"/>
    <w:rsid w:val="006F072A"/>
    <w:rsid w:val="006F0D35"/>
    <w:rsid w:val="006F11C1"/>
    <w:rsid w:val="006F140D"/>
    <w:rsid w:val="006F240A"/>
    <w:rsid w:val="006F2FB3"/>
    <w:rsid w:val="006F531B"/>
    <w:rsid w:val="006F56C6"/>
    <w:rsid w:val="006F580D"/>
    <w:rsid w:val="006F5939"/>
    <w:rsid w:val="006F62BC"/>
    <w:rsid w:val="006F6DB8"/>
    <w:rsid w:val="006F738F"/>
    <w:rsid w:val="006F7676"/>
    <w:rsid w:val="006F7E0E"/>
    <w:rsid w:val="0070082A"/>
    <w:rsid w:val="00701BDC"/>
    <w:rsid w:val="00702493"/>
    <w:rsid w:val="0070306C"/>
    <w:rsid w:val="00704043"/>
    <w:rsid w:val="00704121"/>
    <w:rsid w:val="00704A4C"/>
    <w:rsid w:val="00710149"/>
    <w:rsid w:val="00710F0C"/>
    <w:rsid w:val="007117CC"/>
    <w:rsid w:val="00711B71"/>
    <w:rsid w:val="00712B01"/>
    <w:rsid w:val="00714F3B"/>
    <w:rsid w:val="007166F7"/>
    <w:rsid w:val="007168BD"/>
    <w:rsid w:val="00716AEF"/>
    <w:rsid w:val="00717076"/>
    <w:rsid w:val="00717296"/>
    <w:rsid w:val="007176C0"/>
    <w:rsid w:val="007216BE"/>
    <w:rsid w:val="00722C25"/>
    <w:rsid w:val="00723204"/>
    <w:rsid w:val="00723262"/>
    <w:rsid w:val="00723EE3"/>
    <w:rsid w:val="00724B72"/>
    <w:rsid w:val="00724CFA"/>
    <w:rsid w:val="00725594"/>
    <w:rsid w:val="00725A27"/>
    <w:rsid w:val="00727370"/>
    <w:rsid w:val="007274FE"/>
    <w:rsid w:val="00727A5F"/>
    <w:rsid w:val="00732A97"/>
    <w:rsid w:val="00732FDD"/>
    <w:rsid w:val="00733047"/>
    <w:rsid w:val="00733E86"/>
    <w:rsid w:val="00733FD3"/>
    <w:rsid w:val="00734C87"/>
    <w:rsid w:val="0073557E"/>
    <w:rsid w:val="007357A3"/>
    <w:rsid w:val="00735D9E"/>
    <w:rsid w:val="00736AC6"/>
    <w:rsid w:val="00736F9F"/>
    <w:rsid w:val="00737912"/>
    <w:rsid w:val="00740603"/>
    <w:rsid w:val="0074109C"/>
    <w:rsid w:val="00742335"/>
    <w:rsid w:val="00742842"/>
    <w:rsid w:val="00742D72"/>
    <w:rsid w:val="007460F6"/>
    <w:rsid w:val="00747619"/>
    <w:rsid w:val="00752843"/>
    <w:rsid w:val="007532F9"/>
    <w:rsid w:val="00753376"/>
    <w:rsid w:val="007543B0"/>
    <w:rsid w:val="007549DF"/>
    <w:rsid w:val="007568A9"/>
    <w:rsid w:val="00757BF3"/>
    <w:rsid w:val="00757F75"/>
    <w:rsid w:val="00761514"/>
    <w:rsid w:val="00761A1E"/>
    <w:rsid w:val="007625D6"/>
    <w:rsid w:val="007638C0"/>
    <w:rsid w:val="00763974"/>
    <w:rsid w:val="00763CE7"/>
    <w:rsid w:val="00764058"/>
    <w:rsid w:val="007666BC"/>
    <w:rsid w:val="00766BF3"/>
    <w:rsid w:val="007677A5"/>
    <w:rsid w:val="0077098A"/>
    <w:rsid w:val="00772177"/>
    <w:rsid w:val="00774766"/>
    <w:rsid w:val="00775C65"/>
    <w:rsid w:val="0077639A"/>
    <w:rsid w:val="00777F38"/>
    <w:rsid w:val="0078100C"/>
    <w:rsid w:val="0078157F"/>
    <w:rsid w:val="00783022"/>
    <w:rsid w:val="007832C8"/>
    <w:rsid w:val="007837EF"/>
    <w:rsid w:val="00784F1A"/>
    <w:rsid w:val="00786432"/>
    <w:rsid w:val="00786F48"/>
    <w:rsid w:val="0078772C"/>
    <w:rsid w:val="007878E4"/>
    <w:rsid w:val="0079492E"/>
    <w:rsid w:val="007963BD"/>
    <w:rsid w:val="00796D85"/>
    <w:rsid w:val="007972C1"/>
    <w:rsid w:val="0079731F"/>
    <w:rsid w:val="00797BF8"/>
    <w:rsid w:val="007A0051"/>
    <w:rsid w:val="007A00DE"/>
    <w:rsid w:val="007A2D05"/>
    <w:rsid w:val="007A424B"/>
    <w:rsid w:val="007A4783"/>
    <w:rsid w:val="007A4A9F"/>
    <w:rsid w:val="007A5191"/>
    <w:rsid w:val="007A5588"/>
    <w:rsid w:val="007A6425"/>
    <w:rsid w:val="007A64DA"/>
    <w:rsid w:val="007B0500"/>
    <w:rsid w:val="007B07B5"/>
    <w:rsid w:val="007B111B"/>
    <w:rsid w:val="007B1899"/>
    <w:rsid w:val="007B3AE8"/>
    <w:rsid w:val="007B4418"/>
    <w:rsid w:val="007B4D28"/>
    <w:rsid w:val="007B5F62"/>
    <w:rsid w:val="007B66B3"/>
    <w:rsid w:val="007B68EE"/>
    <w:rsid w:val="007B6FA2"/>
    <w:rsid w:val="007B7077"/>
    <w:rsid w:val="007B7679"/>
    <w:rsid w:val="007C1E80"/>
    <w:rsid w:val="007C3003"/>
    <w:rsid w:val="007C337E"/>
    <w:rsid w:val="007C39A4"/>
    <w:rsid w:val="007C3F48"/>
    <w:rsid w:val="007C3FAB"/>
    <w:rsid w:val="007C44F7"/>
    <w:rsid w:val="007C627F"/>
    <w:rsid w:val="007C6B60"/>
    <w:rsid w:val="007C6F85"/>
    <w:rsid w:val="007C7A14"/>
    <w:rsid w:val="007C7A6E"/>
    <w:rsid w:val="007D35FE"/>
    <w:rsid w:val="007D3AA0"/>
    <w:rsid w:val="007D3FE2"/>
    <w:rsid w:val="007D3FE5"/>
    <w:rsid w:val="007D5690"/>
    <w:rsid w:val="007D6607"/>
    <w:rsid w:val="007D69FA"/>
    <w:rsid w:val="007D6DF8"/>
    <w:rsid w:val="007D7294"/>
    <w:rsid w:val="007D7525"/>
    <w:rsid w:val="007D7DEB"/>
    <w:rsid w:val="007E093F"/>
    <w:rsid w:val="007E1600"/>
    <w:rsid w:val="007E3281"/>
    <w:rsid w:val="007E4E49"/>
    <w:rsid w:val="007E5832"/>
    <w:rsid w:val="007E6A13"/>
    <w:rsid w:val="007E70D3"/>
    <w:rsid w:val="007E74CC"/>
    <w:rsid w:val="007F075B"/>
    <w:rsid w:val="007F29F2"/>
    <w:rsid w:val="007F7CDC"/>
    <w:rsid w:val="008000CF"/>
    <w:rsid w:val="00802DF4"/>
    <w:rsid w:val="008035F7"/>
    <w:rsid w:val="00803B7E"/>
    <w:rsid w:val="008054D0"/>
    <w:rsid w:val="008058BF"/>
    <w:rsid w:val="00805AEE"/>
    <w:rsid w:val="00806026"/>
    <w:rsid w:val="00806EA2"/>
    <w:rsid w:val="00807A02"/>
    <w:rsid w:val="008104C7"/>
    <w:rsid w:val="00810603"/>
    <w:rsid w:val="00810BBB"/>
    <w:rsid w:val="008120F6"/>
    <w:rsid w:val="0081363F"/>
    <w:rsid w:val="00814283"/>
    <w:rsid w:val="0081552E"/>
    <w:rsid w:val="0081584B"/>
    <w:rsid w:val="008158CE"/>
    <w:rsid w:val="00815E77"/>
    <w:rsid w:val="00816972"/>
    <w:rsid w:val="00816B8D"/>
    <w:rsid w:val="00816E21"/>
    <w:rsid w:val="008201FA"/>
    <w:rsid w:val="00820209"/>
    <w:rsid w:val="00820F35"/>
    <w:rsid w:val="00820FEC"/>
    <w:rsid w:val="00822A07"/>
    <w:rsid w:val="0082393D"/>
    <w:rsid w:val="00823D79"/>
    <w:rsid w:val="00823FF2"/>
    <w:rsid w:val="0082484B"/>
    <w:rsid w:val="0082536E"/>
    <w:rsid w:val="00831842"/>
    <w:rsid w:val="00831D03"/>
    <w:rsid w:val="00833248"/>
    <w:rsid w:val="0083324D"/>
    <w:rsid w:val="0083532E"/>
    <w:rsid w:val="00836A61"/>
    <w:rsid w:val="00837F03"/>
    <w:rsid w:val="00840C90"/>
    <w:rsid w:val="00841087"/>
    <w:rsid w:val="00841733"/>
    <w:rsid w:val="008418E0"/>
    <w:rsid w:val="00843FB8"/>
    <w:rsid w:val="00844963"/>
    <w:rsid w:val="008449D3"/>
    <w:rsid w:val="00844D38"/>
    <w:rsid w:val="00844D85"/>
    <w:rsid w:val="00845369"/>
    <w:rsid w:val="008466EB"/>
    <w:rsid w:val="0084737B"/>
    <w:rsid w:val="008477BB"/>
    <w:rsid w:val="008503DE"/>
    <w:rsid w:val="008524BE"/>
    <w:rsid w:val="0085271A"/>
    <w:rsid w:val="00853BC2"/>
    <w:rsid w:val="00854278"/>
    <w:rsid w:val="00854AA8"/>
    <w:rsid w:val="00855C85"/>
    <w:rsid w:val="00856063"/>
    <w:rsid w:val="00856BC4"/>
    <w:rsid w:val="00857172"/>
    <w:rsid w:val="00861FCB"/>
    <w:rsid w:val="0086236A"/>
    <w:rsid w:val="00862CD5"/>
    <w:rsid w:val="00862F9F"/>
    <w:rsid w:val="0086498F"/>
    <w:rsid w:val="00864D18"/>
    <w:rsid w:val="00865B02"/>
    <w:rsid w:val="008663BD"/>
    <w:rsid w:val="00867E3F"/>
    <w:rsid w:val="0087035A"/>
    <w:rsid w:val="0087195E"/>
    <w:rsid w:val="00872AE4"/>
    <w:rsid w:val="0087347D"/>
    <w:rsid w:val="00874301"/>
    <w:rsid w:val="008753FA"/>
    <w:rsid w:val="00880245"/>
    <w:rsid w:val="00882DAD"/>
    <w:rsid w:val="00883008"/>
    <w:rsid w:val="0088496E"/>
    <w:rsid w:val="00884BDF"/>
    <w:rsid w:val="00885263"/>
    <w:rsid w:val="00885F86"/>
    <w:rsid w:val="00886A5F"/>
    <w:rsid w:val="00886AF6"/>
    <w:rsid w:val="00886C66"/>
    <w:rsid w:val="00886CEC"/>
    <w:rsid w:val="00886F6C"/>
    <w:rsid w:val="00890411"/>
    <w:rsid w:val="00890564"/>
    <w:rsid w:val="00890FF0"/>
    <w:rsid w:val="00891912"/>
    <w:rsid w:val="00892076"/>
    <w:rsid w:val="00892DA5"/>
    <w:rsid w:val="00893368"/>
    <w:rsid w:val="008947E3"/>
    <w:rsid w:val="008949B1"/>
    <w:rsid w:val="00895C79"/>
    <w:rsid w:val="0089641E"/>
    <w:rsid w:val="00896C1F"/>
    <w:rsid w:val="0089713E"/>
    <w:rsid w:val="0089729B"/>
    <w:rsid w:val="0089751C"/>
    <w:rsid w:val="008979B6"/>
    <w:rsid w:val="00897ED3"/>
    <w:rsid w:val="008A00AC"/>
    <w:rsid w:val="008A10F3"/>
    <w:rsid w:val="008A138F"/>
    <w:rsid w:val="008A2C06"/>
    <w:rsid w:val="008A33D2"/>
    <w:rsid w:val="008A3816"/>
    <w:rsid w:val="008A39F7"/>
    <w:rsid w:val="008A4439"/>
    <w:rsid w:val="008A4902"/>
    <w:rsid w:val="008A5C0F"/>
    <w:rsid w:val="008A7947"/>
    <w:rsid w:val="008B1596"/>
    <w:rsid w:val="008B22F1"/>
    <w:rsid w:val="008B4510"/>
    <w:rsid w:val="008B4A93"/>
    <w:rsid w:val="008B4AB7"/>
    <w:rsid w:val="008B5A3C"/>
    <w:rsid w:val="008B69F1"/>
    <w:rsid w:val="008C09C4"/>
    <w:rsid w:val="008C13FD"/>
    <w:rsid w:val="008C1F44"/>
    <w:rsid w:val="008C5482"/>
    <w:rsid w:val="008C646F"/>
    <w:rsid w:val="008D02AC"/>
    <w:rsid w:val="008D0460"/>
    <w:rsid w:val="008D1015"/>
    <w:rsid w:val="008D11E1"/>
    <w:rsid w:val="008D19CC"/>
    <w:rsid w:val="008D24B7"/>
    <w:rsid w:val="008D3A32"/>
    <w:rsid w:val="008D44EC"/>
    <w:rsid w:val="008D47ED"/>
    <w:rsid w:val="008D4E01"/>
    <w:rsid w:val="008D4EC4"/>
    <w:rsid w:val="008D736D"/>
    <w:rsid w:val="008D79FD"/>
    <w:rsid w:val="008D7D95"/>
    <w:rsid w:val="008E05BE"/>
    <w:rsid w:val="008E0B12"/>
    <w:rsid w:val="008E1833"/>
    <w:rsid w:val="008E23F0"/>
    <w:rsid w:val="008E268D"/>
    <w:rsid w:val="008E32C6"/>
    <w:rsid w:val="008E3E2F"/>
    <w:rsid w:val="008E3E4B"/>
    <w:rsid w:val="008E3F9F"/>
    <w:rsid w:val="008E4331"/>
    <w:rsid w:val="008E478A"/>
    <w:rsid w:val="008E4E06"/>
    <w:rsid w:val="008E4EF9"/>
    <w:rsid w:val="008E5174"/>
    <w:rsid w:val="008E6DFC"/>
    <w:rsid w:val="008E7710"/>
    <w:rsid w:val="008F09BC"/>
    <w:rsid w:val="008F0BEE"/>
    <w:rsid w:val="008F1AB1"/>
    <w:rsid w:val="008F2AC6"/>
    <w:rsid w:val="008F2CB9"/>
    <w:rsid w:val="008F3744"/>
    <w:rsid w:val="008F6CC9"/>
    <w:rsid w:val="00900695"/>
    <w:rsid w:val="00900D4D"/>
    <w:rsid w:val="009025CF"/>
    <w:rsid w:val="00903B3B"/>
    <w:rsid w:val="00903F34"/>
    <w:rsid w:val="00905C0A"/>
    <w:rsid w:val="009062A0"/>
    <w:rsid w:val="00906542"/>
    <w:rsid w:val="009109B6"/>
    <w:rsid w:val="00910B85"/>
    <w:rsid w:val="0091173E"/>
    <w:rsid w:val="009122F8"/>
    <w:rsid w:val="009130A4"/>
    <w:rsid w:val="009131FC"/>
    <w:rsid w:val="009148C6"/>
    <w:rsid w:val="00914B24"/>
    <w:rsid w:val="00915520"/>
    <w:rsid w:val="009155F7"/>
    <w:rsid w:val="00916712"/>
    <w:rsid w:val="009173CC"/>
    <w:rsid w:val="00917536"/>
    <w:rsid w:val="00921131"/>
    <w:rsid w:val="009212CB"/>
    <w:rsid w:val="0092143E"/>
    <w:rsid w:val="00923812"/>
    <w:rsid w:val="00923D3B"/>
    <w:rsid w:val="00924712"/>
    <w:rsid w:val="009247F5"/>
    <w:rsid w:val="00924AAD"/>
    <w:rsid w:val="00926AB2"/>
    <w:rsid w:val="00927E77"/>
    <w:rsid w:val="00930923"/>
    <w:rsid w:val="00931746"/>
    <w:rsid w:val="00931CA3"/>
    <w:rsid w:val="00932723"/>
    <w:rsid w:val="009339C6"/>
    <w:rsid w:val="00933E79"/>
    <w:rsid w:val="0093473A"/>
    <w:rsid w:val="00934D08"/>
    <w:rsid w:val="00935D86"/>
    <w:rsid w:val="00937001"/>
    <w:rsid w:val="009404EE"/>
    <w:rsid w:val="009407FE"/>
    <w:rsid w:val="00941915"/>
    <w:rsid w:val="00941F24"/>
    <w:rsid w:val="00942436"/>
    <w:rsid w:val="00943077"/>
    <w:rsid w:val="00944C85"/>
    <w:rsid w:val="00946B3C"/>
    <w:rsid w:val="00946E8D"/>
    <w:rsid w:val="0094726A"/>
    <w:rsid w:val="00947BAA"/>
    <w:rsid w:val="00950856"/>
    <w:rsid w:val="00951BB4"/>
    <w:rsid w:val="00955AD0"/>
    <w:rsid w:val="00956957"/>
    <w:rsid w:val="00956B51"/>
    <w:rsid w:val="00956E06"/>
    <w:rsid w:val="00957603"/>
    <w:rsid w:val="00957A1D"/>
    <w:rsid w:val="00957BC0"/>
    <w:rsid w:val="0096037F"/>
    <w:rsid w:val="00960C34"/>
    <w:rsid w:val="00961AD6"/>
    <w:rsid w:val="00962322"/>
    <w:rsid w:val="009636F2"/>
    <w:rsid w:val="00964203"/>
    <w:rsid w:val="0096487B"/>
    <w:rsid w:val="00967F30"/>
    <w:rsid w:val="00970268"/>
    <w:rsid w:val="00970626"/>
    <w:rsid w:val="00970C27"/>
    <w:rsid w:val="00973189"/>
    <w:rsid w:val="00974605"/>
    <w:rsid w:val="00975324"/>
    <w:rsid w:val="009757D1"/>
    <w:rsid w:val="00975D05"/>
    <w:rsid w:val="00977DD2"/>
    <w:rsid w:val="00980754"/>
    <w:rsid w:val="0098091F"/>
    <w:rsid w:val="00981535"/>
    <w:rsid w:val="009825C8"/>
    <w:rsid w:val="0098409F"/>
    <w:rsid w:val="00984682"/>
    <w:rsid w:val="00985537"/>
    <w:rsid w:val="0098572F"/>
    <w:rsid w:val="009865AE"/>
    <w:rsid w:val="00990F95"/>
    <w:rsid w:val="00991698"/>
    <w:rsid w:val="00991A66"/>
    <w:rsid w:val="00991C17"/>
    <w:rsid w:val="00992D1E"/>
    <w:rsid w:val="0099352E"/>
    <w:rsid w:val="00994386"/>
    <w:rsid w:val="00994A9E"/>
    <w:rsid w:val="0099681A"/>
    <w:rsid w:val="00996919"/>
    <w:rsid w:val="00997AE1"/>
    <w:rsid w:val="00997EB2"/>
    <w:rsid w:val="009A06F5"/>
    <w:rsid w:val="009A0788"/>
    <w:rsid w:val="009A0E92"/>
    <w:rsid w:val="009A17EC"/>
    <w:rsid w:val="009A6DE2"/>
    <w:rsid w:val="009A7E05"/>
    <w:rsid w:val="009B03DF"/>
    <w:rsid w:val="009B11A7"/>
    <w:rsid w:val="009B181A"/>
    <w:rsid w:val="009B2418"/>
    <w:rsid w:val="009B29E7"/>
    <w:rsid w:val="009B37C1"/>
    <w:rsid w:val="009B3D0F"/>
    <w:rsid w:val="009B46F6"/>
    <w:rsid w:val="009B47D1"/>
    <w:rsid w:val="009B5BD5"/>
    <w:rsid w:val="009B62B0"/>
    <w:rsid w:val="009B6AF0"/>
    <w:rsid w:val="009B701C"/>
    <w:rsid w:val="009B7733"/>
    <w:rsid w:val="009B7884"/>
    <w:rsid w:val="009C0A55"/>
    <w:rsid w:val="009C292D"/>
    <w:rsid w:val="009C355F"/>
    <w:rsid w:val="009C4EB0"/>
    <w:rsid w:val="009C5D54"/>
    <w:rsid w:val="009C5F0C"/>
    <w:rsid w:val="009C67C0"/>
    <w:rsid w:val="009C7141"/>
    <w:rsid w:val="009C7319"/>
    <w:rsid w:val="009C776E"/>
    <w:rsid w:val="009C7DAB"/>
    <w:rsid w:val="009D0581"/>
    <w:rsid w:val="009D1035"/>
    <w:rsid w:val="009D10DB"/>
    <w:rsid w:val="009D13D0"/>
    <w:rsid w:val="009D2068"/>
    <w:rsid w:val="009D21C6"/>
    <w:rsid w:val="009D299D"/>
    <w:rsid w:val="009D46E5"/>
    <w:rsid w:val="009D4861"/>
    <w:rsid w:val="009D69D5"/>
    <w:rsid w:val="009D73FA"/>
    <w:rsid w:val="009D7491"/>
    <w:rsid w:val="009D7D33"/>
    <w:rsid w:val="009D7DE7"/>
    <w:rsid w:val="009E115D"/>
    <w:rsid w:val="009E1B1F"/>
    <w:rsid w:val="009E3EA3"/>
    <w:rsid w:val="009E41E5"/>
    <w:rsid w:val="009E422D"/>
    <w:rsid w:val="009E4DD4"/>
    <w:rsid w:val="009E4E3F"/>
    <w:rsid w:val="009E5B53"/>
    <w:rsid w:val="009E698B"/>
    <w:rsid w:val="009E6CC9"/>
    <w:rsid w:val="009E7DBA"/>
    <w:rsid w:val="009E7F24"/>
    <w:rsid w:val="009F1547"/>
    <w:rsid w:val="009F2B53"/>
    <w:rsid w:val="009F36B7"/>
    <w:rsid w:val="009F405E"/>
    <w:rsid w:val="009F449B"/>
    <w:rsid w:val="009F4ABA"/>
    <w:rsid w:val="009F7669"/>
    <w:rsid w:val="00A00097"/>
    <w:rsid w:val="00A00457"/>
    <w:rsid w:val="00A007A6"/>
    <w:rsid w:val="00A0174A"/>
    <w:rsid w:val="00A02041"/>
    <w:rsid w:val="00A03D39"/>
    <w:rsid w:val="00A0486F"/>
    <w:rsid w:val="00A05948"/>
    <w:rsid w:val="00A066AE"/>
    <w:rsid w:val="00A107A6"/>
    <w:rsid w:val="00A10B7D"/>
    <w:rsid w:val="00A10CAE"/>
    <w:rsid w:val="00A10DD9"/>
    <w:rsid w:val="00A110CC"/>
    <w:rsid w:val="00A11E27"/>
    <w:rsid w:val="00A11E45"/>
    <w:rsid w:val="00A1227C"/>
    <w:rsid w:val="00A12C6B"/>
    <w:rsid w:val="00A132EA"/>
    <w:rsid w:val="00A14117"/>
    <w:rsid w:val="00A14676"/>
    <w:rsid w:val="00A1493B"/>
    <w:rsid w:val="00A149FA"/>
    <w:rsid w:val="00A169A7"/>
    <w:rsid w:val="00A171C4"/>
    <w:rsid w:val="00A17C0D"/>
    <w:rsid w:val="00A17DF0"/>
    <w:rsid w:val="00A204EA"/>
    <w:rsid w:val="00A205DE"/>
    <w:rsid w:val="00A20F78"/>
    <w:rsid w:val="00A218F1"/>
    <w:rsid w:val="00A21EC0"/>
    <w:rsid w:val="00A22289"/>
    <w:rsid w:val="00A22A65"/>
    <w:rsid w:val="00A23554"/>
    <w:rsid w:val="00A240C8"/>
    <w:rsid w:val="00A24123"/>
    <w:rsid w:val="00A246BA"/>
    <w:rsid w:val="00A24DAF"/>
    <w:rsid w:val="00A2574B"/>
    <w:rsid w:val="00A257F8"/>
    <w:rsid w:val="00A2651A"/>
    <w:rsid w:val="00A27BD8"/>
    <w:rsid w:val="00A27DEE"/>
    <w:rsid w:val="00A27E0F"/>
    <w:rsid w:val="00A31B93"/>
    <w:rsid w:val="00A32B45"/>
    <w:rsid w:val="00A33376"/>
    <w:rsid w:val="00A34BD7"/>
    <w:rsid w:val="00A35299"/>
    <w:rsid w:val="00A35991"/>
    <w:rsid w:val="00A35CCA"/>
    <w:rsid w:val="00A364E4"/>
    <w:rsid w:val="00A375EF"/>
    <w:rsid w:val="00A37BDA"/>
    <w:rsid w:val="00A4251D"/>
    <w:rsid w:val="00A443F1"/>
    <w:rsid w:val="00A45B91"/>
    <w:rsid w:val="00A47A3A"/>
    <w:rsid w:val="00A505A9"/>
    <w:rsid w:val="00A505C2"/>
    <w:rsid w:val="00A51FD3"/>
    <w:rsid w:val="00A51FEA"/>
    <w:rsid w:val="00A524A0"/>
    <w:rsid w:val="00A528C2"/>
    <w:rsid w:val="00A54998"/>
    <w:rsid w:val="00A54AFD"/>
    <w:rsid w:val="00A54E69"/>
    <w:rsid w:val="00A56D2B"/>
    <w:rsid w:val="00A576DE"/>
    <w:rsid w:val="00A61108"/>
    <w:rsid w:val="00A61B06"/>
    <w:rsid w:val="00A62113"/>
    <w:rsid w:val="00A62901"/>
    <w:rsid w:val="00A630E4"/>
    <w:rsid w:val="00A63B80"/>
    <w:rsid w:val="00A64738"/>
    <w:rsid w:val="00A66EE5"/>
    <w:rsid w:val="00A6759C"/>
    <w:rsid w:val="00A6762D"/>
    <w:rsid w:val="00A67923"/>
    <w:rsid w:val="00A70E7C"/>
    <w:rsid w:val="00A713ED"/>
    <w:rsid w:val="00A714B8"/>
    <w:rsid w:val="00A73D50"/>
    <w:rsid w:val="00A74901"/>
    <w:rsid w:val="00A75733"/>
    <w:rsid w:val="00A76308"/>
    <w:rsid w:val="00A77C08"/>
    <w:rsid w:val="00A77F9D"/>
    <w:rsid w:val="00A814B4"/>
    <w:rsid w:val="00A81527"/>
    <w:rsid w:val="00A82058"/>
    <w:rsid w:val="00A824CD"/>
    <w:rsid w:val="00A82E2E"/>
    <w:rsid w:val="00A835AF"/>
    <w:rsid w:val="00A835BE"/>
    <w:rsid w:val="00A848DB"/>
    <w:rsid w:val="00A84AE7"/>
    <w:rsid w:val="00A869B0"/>
    <w:rsid w:val="00A873FD"/>
    <w:rsid w:val="00A87783"/>
    <w:rsid w:val="00A90363"/>
    <w:rsid w:val="00A91156"/>
    <w:rsid w:val="00A91667"/>
    <w:rsid w:val="00A91728"/>
    <w:rsid w:val="00A925B7"/>
    <w:rsid w:val="00A9289F"/>
    <w:rsid w:val="00A92B20"/>
    <w:rsid w:val="00A92C1D"/>
    <w:rsid w:val="00A95D7B"/>
    <w:rsid w:val="00A96278"/>
    <w:rsid w:val="00A9655E"/>
    <w:rsid w:val="00AA042C"/>
    <w:rsid w:val="00AA0C77"/>
    <w:rsid w:val="00AA11EB"/>
    <w:rsid w:val="00AA1D27"/>
    <w:rsid w:val="00AA204C"/>
    <w:rsid w:val="00AA2D57"/>
    <w:rsid w:val="00AA3941"/>
    <w:rsid w:val="00AA56D0"/>
    <w:rsid w:val="00AA755D"/>
    <w:rsid w:val="00AA7F5C"/>
    <w:rsid w:val="00AB05DC"/>
    <w:rsid w:val="00AB0C9F"/>
    <w:rsid w:val="00AB143A"/>
    <w:rsid w:val="00AB1476"/>
    <w:rsid w:val="00AB2067"/>
    <w:rsid w:val="00AB2ADF"/>
    <w:rsid w:val="00AB2CB2"/>
    <w:rsid w:val="00AB34A9"/>
    <w:rsid w:val="00AB3EB5"/>
    <w:rsid w:val="00AB43F8"/>
    <w:rsid w:val="00AB49CF"/>
    <w:rsid w:val="00AB57CE"/>
    <w:rsid w:val="00AB7042"/>
    <w:rsid w:val="00AC003C"/>
    <w:rsid w:val="00AC0103"/>
    <w:rsid w:val="00AC1404"/>
    <w:rsid w:val="00AC20B4"/>
    <w:rsid w:val="00AC20FA"/>
    <w:rsid w:val="00AC23D1"/>
    <w:rsid w:val="00AC3345"/>
    <w:rsid w:val="00AC44BE"/>
    <w:rsid w:val="00AC44E0"/>
    <w:rsid w:val="00AC4FCC"/>
    <w:rsid w:val="00AC686F"/>
    <w:rsid w:val="00AC748D"/>
    <w:rsid w:val="00AD01B4"/>
    <w:rsid w:val="00AD039F"/>
    <w:rsid w:val="00AD0A03"/>
    <w:rsid w:val="00AD1705"/>
    <w:rsid w:val="00AD17B2"/>
    <w:rsid w:val="00AD2B66"/>
    <w:rsid w:val="00AD3895"/>
    <w:rsid w:val="00AD3902"/>
    <w:rsid w:val="00AD6010"/>
    <w:rsid w:val="00AD645E"/>
    <w:rsid w:val="00AD66FE"/>
    <w:rsid w:val="00AD6FC3"/>
    <w:rsid w:val="00AE0FFF"/>
    <w:rsid w:val="00AE191C"/>
    <w:rsid w:val="00AE33FF"/>
    <w:rsid w:val="00AE3DFE"/>
    <w:rsid w:val="00AE4D50"/>
    <w:rsid w:val="00AE5194"/>
    <w:rsid w:val="00AE51AF"/>
    <w:rsid w:val="00AE5B02"/>
    <w:rsid w:val="00AE67B3"/>
    <w:rsid w:val="00AF06D5"/>
    <w:rsid w:val="00AF0947"/>
    <w:rsid w:val="00AF09DD"/>
    <w:rsid w:val="00AF35A5"/>
    <w:rsid w:val="00AF3C2E"/>
    <w:rsid w:val="00AF42EC"/>
    <w:rsid w:val="00AF430E"/>
    <w:rsid w:val="00AF47A6"/>
    <w:rsid w:val="00AF75DB"/>
    <w:rsid w:val="00AF7A47"/>
    <w:rsid w:val="00AF7C96"/>
    <w:rsid w:val="00B019C7"/>
    <w:rsid w:val="00B01DFF"/>
    <w:rsid w:val="00B02365"/>
    <w:rsid w:val="00B0237F"/>
    <w:rsid w:val="00B02655"/>
    <w:rsid w:val="00B049F7"/>
    <w:rsid w:val="00B05102"/>
    <w:rsid w:val="00B051A0"/>
    <w:rsid w:val="00B06061"/>
    <w:rsid w:val="00B06F64"/>
    <w:rsid w:val="00B07D88"/>
    <w:rsid w:val="00B122AF"/>
    <w:rsid w:val="00B12F02"/>
    <w:rsid w:val="00B1530D"/>
    <w:rsid w:val="00B15B69"/>
    <w:rsid w:val="00B169E8"/>
    <w:rsid w:val="00B16A34"/>
    <w:rsid w:val="00B174FE"/>
    <w:rsid w:val="00B17839"/>
    <w:rsid w:val="00B20B3C"/>
    <w:rsid w:val="00B239D8"/>
    <w:rsid w:val="00B2436E"/>
    <w:rsid w:val="00B246D5"/>
    <w:rsid w:val="00B24AC8"/>
    <w:rsid w:val="00B2506C"/>
    <w:rsid w:val="00B25453"/>
    <w:rsid w:val="00B25955"/>
    <w:rsid w:val="00B26657"/>
    <w:rsid w:val="00B26882"/>
    <w:rsid w:val="00B27239"/>
    <w:rsid w:val="00B274AB"/>
    <w:rsid w:val="00B27822"/>
    <w:rsid w:val="00B31264"/>
    <w:rsid w:val="00B313A3"/>
    <w:rsid w:val="00B31B9C"/>
    <w:rsid w:val="00B33C7D"/>
    <w:rsid w:val="00B34D6C"/>
    <w:rsid w:val="00B366E5"/>
    <w:rsid w:val="00B36A01"/>
    <w:rsid w:val="00B36D27"/>
    <w:rsid w:val="00B4076D"/>
    <w:rsid w:val="00B41146"/>
    <w:rsid w:val="00B4222D"/>
    <w:rsid w:val="00B44F10"/>
    <w:rsid w:val="00B4612E"/>
    <w:rsid w:val="00B47206"/>
    <w:rsid w:val="00B508B5"/>
    <w:rsid w:val="00B53C9F"/>
    <w:rsid w:val="00B54CC5"/>
    <w:rsid w:val="00B55237"/>
    <w:rsid w:val="00B5544F"/>
    <w:rsid w:val="00B55A9F"/>
    <w:rsid w:val="00B55E5D"/>
    <w:rsid w:val="00B56376"/>
    <w:rsid w:val="00B57447"/>
    <w:rsid w:val="00B6039D"/>
    <w:rsid w:val="00B60A36"/>
    <w:rsid w:val="00B618C2"/>
    <w:rsid w:val="00B64FA8"/>
    <w:rsid w:val="00B66867"/>
    <w:rsid w:val="00B66994"/>
    <w:rsid w:val="00B66D2E"/>
    <w:rsid w:val="00B702A1"/>
    <w:rsid w:val="00B70732"/>
    <w:rsid w:val="00B70BF5"/>
    <w:rsid w:val="00B70D95"/>
    <w:rsid w:val="00B717C5"/>
    <w:rsid w:val="00B71975"/>
    <w:rsid w:val="00B71AFB"/>
    <w:rsid w:val="00B71F3A"/>
    <w:rsid w:val="00B72931"/>
    <w:rsid w:val="00B729C6"/>
    <w:rsid w:val="00B734DB"/>
    <w:rsid w:val="00B73C97"/>
    <w:rsid w:val="00B75823"/>
    <w:rsid w:val="00B759B6"/>
    <w:rsid w:val="00B75BED"/>
    <w:rsid w:val="00B75FCF"/>
    <w:rsid w:val="00B76340"/>
    <w:rsid w:val="00B77561"/>
    <w:rsid w:val="00B80C43"/>
    <w:rsid w:val="00B811B3"/>
    <w:rsid w:val="00B81585"/>
    <w:rsid w:val="00B81979"/>
    <w:rsid w:val="00B828AD"/>
    <w:rsid w:val="00B84B81"/>
    <w:rsid w:val="00B84F53"/>
    <w:rsid w:val="00B850F2"/>
    <w:rsid w:val="00B85F54"/>
    <w:rsid w:val="00B8611A"/>
    <w:rsid w:val="00B873D5"/>
    <w:rsid w:val="00B874E3"/>
    <w:rsid w:val="00B877C3"/>
    <w:rsid w:val="00B87E19"/>
    <w:rsid w:val="00B9024A"/>
    <w:rsid w:val="00B90FEE"/>
    <w:rsid w:val="00B94786"/>
    <w:rsid w:val="00B948B0"/>
    <w:rsid w:val="00B95372"/>
    <w:rsid w:val="00B958BB"/>
    <w:rsid w:val="00B95B16"/>
    <w:rsid w:val="00B960FE"/>
    <w:rsid w:val="00B967AF"/>
    <w:rsid w:val="00B97BA3"/>
    <w:rsid w:val="00BA153E"/>
    <w:rsid w:val="00BA23FA"/>
    <w:rsid w:val="00BA2C26"/>
    <w:rsid w:val="00BA2D21"/>
    <w:rsid w:val="00BA2E21"/>
    <w:rsid w:val="00BA4CEA"/>
    <w:rsid w:val="00BA53F1"/>
    <w:rsid w:val="00BA5A3D"/>
    <w:rsid w:val="00BA66E7"/>
    <w:rsid w:val="00BA67A7"/>
    <w:rsid w:val="00BA78B6"/>
    <w:rsid w:val="00BA7DA7"/>
    <w:rsid w:val="00BB26AD"/>
    <w:rsid w:val="00BB2F0C"/>
    <w:rsid w:val="00BB4D65"/>
    <w:rsid w:val="00BB53A7"/>
    <w:rsid w:val="00BB6278"/>
    <w:rsid w:val="00BB6CBF"/>
    <w:rsid w:val="00BB7810"/>
    <w:rsid w:val="00BB79BD"/>
    <w:rsid w:val="00BC53AF"/>
    <w:rsid w:val="00BC5FC7"/>
    <w:rsid w:val="00BC6C10"/>
    <w:rsid w:val="00BC7208"/>
    <w:rsid w:val="00BC73AF"/>
    <w:rsid w:val="00BC7929"/>
    <w:rsid w:val="00BD0969"/>
    <w:rsid w:val="00BD0B48"/>
    <w:rsid w:val="00BD1BDB"/>
    <w:rsid w:val="00BD2A0A"/>
    <w:rsid w:val="00BD2D89"/>
    <w:rsid w:val="00BD33B8"/>
    <w:rsid w:val="00BD50A8"/>
    <w:rsid w:val="00BD5D0F"/>
    <w:rsid w:val="00BD7490"/>
    <w:rsid w:val="00BD7A2C"/>
    <w:rsid w:val="00BD7C68"/>
    <w:rsid w:val="00BE04F8"/>
    <w:rsid w:val="00BE1CBC"/>
    <w:rsid w:val="00BE2559"/>
    <w:rsid w:val="00BE29DC"/>
    <w:rsid w:val="00BE4CF2"/>
    <w:rsid w:val="00BE5F10"/>
    <w:rsid w:val="00BF2AA6"/>
    <w:rsid w:val="00BF2BF1"/>
    <w:rsid w:val="00BF3A3C"/>
    <w:rsid w:val="00BF525D"/>
    <w:rsid w:val="00BF550E"/>
    <w:rsid w:val="00BF697A"/>
    <w:rsid w:val="00BF6ADB"/>
    <w:rsid w:val="00BF79C3"/>
    <w:rsid w:val="00C0174F"/>
    <w:rsid w:val="00C026D0"/>
    <w:rsid w:val="00C028C5"/>
    <w:rsid w:val="00C02B8F"/>
    <w:rsid w:val="00C03776"/>
    <w:rsid w:val="00C04CA8"/>
    <w:rsid w:val="00C050A1"/>
    <w:rsid w:val="00C05573"/>
    <w:rsid w:val="00C067EA"/>
    <w:rsid w:val="00C13120"/>
    <w:rsid w:val="00C13821"/>
    <w:rsid w:val="00C14051"/>
    <w:rsid w:val="00C147B2"/>
    <w:rsid w:val="00C14D85"/>
    <w:rsid w:val="00C15A48"/>
    <w:rsid w:val="00C15B78"/>
    <w:rsid w:val="00C15D62"/>
    <w:rsid w:val="00C15F73"/>
    <w:rsid w:val="00C17004"/>
    <w:rsid w:val="00C200CE"/>
    <w:rsid w:val="00C2037B"/>
    <w:rsid w:val="00C20917"/>
    <w:rsid w:val="00C20C90"/>
    <w:rsid w:val="00C211CB"/>
    <w:rsid w:val="00C22FF7"/>
    <w:rsid w:val="00C23E96"/>
    <w:rsid w:val="00C2485C"/>
    <w:rsid w:val="00C24F27"/>
    <w:rsid w:val="00C25C82"/>
    <w:rsid w:val="00C2625F"/>
    <w:rsid w:val="00C266F9"/>
    <w:rsid w:val="00C271D6"/>
    <w:rsid w:val="00C277BE"/>
    <w:rsid w:val="00C27F76"/>
    <w:rsid w:val="00C300B8"/>
    <w:rsid w:val="00C30DA4"/>
    <w:rsid w:val="00C330A3"/>
    <w:rsid w:val="00C332A1"/>
    <w:rsid w:val="00C33D43"/>
    <w:rsid w:val="00C33F22"/>
    <w:rsid w:val="00C342C6"/>
    <w:rsid w:val="00C357A5"/>
    <w:rsid w:val="00C363E2"/>
    <w:rsid w:val="00C36531"/>
    <w:rsid w:val="00C36A15"/>
    <w:rsid w:val="00C37728"/>
    <w:rsid w:val="00C40637"/>
    <w:rsid w:val="00C409E4"/>
    <w:rsid w:val="00C42E17"/>
    <w:rsid w:val="00C444B9"/>
    <w:rsid w:val="00C44719"/>
    <w:rsid w:val="00C44BB9"/>
    <w:rsid w:val="00C44D03"/>
    <w:rsid w:val="00C472FE"/>
    <w:rsid w:val="00C47435"/>
    <w:rsid w:val="00C4777B"/>
    <w:rsid w:val="00C47AC0"/>
    <w:rsid w:val="00C47C7E"/>
    <w:rsid w:val="00C50108"/>
    <w:rsid w:val="00C50770"/>
    <w:rsid w:val="00C52ED2"/>
    <w:rsid w:val="00C54A86"/>
    <w:rsid w:val="00C55D48"/>
    <w:rsid w:val="00C616CF"/>
    <w:rsid w:val="00C61BEA"/>
    <w:rsid w:val="00C6291B"/>
    <w:rsid w:val="00C62A2C"/>
    <w:rsid w:val="00C63F6F"/>
    <w:rsid w:val="00C64786"/>
    <w:rsid w:val="00C652F5"/>
    <w:rsid w:val="00C6572C"/>
    <w:rsid w:val="00C6614B"/>
    <w:rsid w:val="00C67221"/>
    <w:rsid w:val="00C67B77"/>
    <w:rsid w:val="00C67E0D"/>
    <w:rsid w:val="00C67EFA"/>
    <w:rsid w:val="00C70CFF"/>
    <w:rsid w:val="00C710F9"/>
    <w:rsid w:val="00C719BE"/>
    <w:rsid w:val="00C73343"/>
    <w:rsid w:val="00C739E0"/>
    <w:rsid w:val="00C73A69"/>
    <w:rsid w:val="00C75655"/>
    <w:rsid w:val="00C7658F"/>
    <w:rsid w:val="00C76702"/>
    <w:rsid w:val="00C771B9"/>
    <w:rsid w:val="00C77324"/>
    <w:rsid w:val="00C777D9"/>
    <w:rsid w:val="00C77D3A"/>
    <w:rsid w:val="00C80063"/>
    <w:rsid w:val="00C802F6"/>
    <w:rsid w:val="00C809E5"/>
    <w:rsid w:val="00C8196B"/>
    <w:rsid w:val="00C837C3"/>
    <w:rsid w:val="00C83D87"/>
    <w:rsid w:val="00C84497"/>
    <w:rsid w:val="00C8501A"/>
    <w:rsid w:val="00C868A9"/>
    <w:rsid w:val="00C868F6"/>
    <w:rsid w:val="00C86CEA"/>
    <w:rsid w:val="00C87748"/>
    <w:rsid w:val="00C9115C"/>
    <w:rsid w:val="00C9137C"/>
    <w:rsid w:val="00C91488"/>
    <w:rsid w:val="00C91644"/>
    <w:rsid w:val="00C94ECB"/>
    <w:rsid w:val="00C95256"/>
    <w:rsid w:val="00C9663B"/>
    <w:rsid w:val="00C96C81"/>
    <w:rsid w:val="00C9799A"/>
    <w:rsid w:val="00C979AB"/>
    <w:rsid w:val="00CA156B"/>
    <w:rsid w:val="00CA1772"/>
    <w:rsid w:val="00CA20F8"/>
    <w:rsid w:val="00CA43A5"/>
    <w:rsid w:val="00CA489E"/>
    <w:rsid w:val="00CA4EFF"/>
    <w:rsid w:val="00CA5DC4"/>
    <w:rsid w:val="00CA68DB"/>
    <w:rsid w:val="00CA7173"/>
    <w:rsid w:val="00CA788D"/>
    <w:rsid w:val="00CA7C0B"/>
    <w:rsid w:val="00CB0E0D"/>
    <w:rsid w:val="00CB1488"/>
    <w:rsid w:val="00CB1ED9"/>
    <w:rsid w:val="00CB4F45"/>
    <w:rsid w:val="00CB59AD"/>
    <w:rsid w:val="00CB6E2B"/>
    <w:rsid w:val="00CB6EC0"/>
    <w:rsid w:val="00CB6FF7"/>
    <w:rsid w:val="00CB7240"/>
    <w:rsid w:val="00CB7302"/>
    <w:rsid w:val="00CB7922"/>
    <w:rsid w:val="00CC1635"/>
    <w:rsid w:val="00CC16A2"/>
    <w:rsid w:val="00CC197F"/>
    <w:rsid w:val="00CC1E9F"/>
    <w:rsid w:val="00CC5896"/>
    <w:rsid w:val="00CD38C7"/>
    <w:rsid w:val="00CD3E09"/>
    <w:rsid w:val="00CD3F93"/>
    <w:rsid w:val="00CD5352"/>
    <w:rsid w:val="00CD5480"/>
    <w:rsid w:val="00CD6C45"/>
    <w:rsid w:val="00CD7029"/>
    <w:rsid w:val="00CE0C35"/>
    <w:rsid w:val="00CE24AE"/>
    <w:rsid w:val="00CE291E"/>
    <w:rsid w:val="00CE3810"/>
    <w:rsid w:val="00CE52B4"/>
    <w:rsid w:val="00CE56C8"/>
    <w:rsid w:val="00CE5DCD"/>
    <w:rsid w:val="00CE701C"/>
    <w:rsid w:val="00CE7599"/>
    <w:rsid w:val="00CE7F03"/>
    <w:rsid w:val="00CF11C2"/>
    <w:rsid w:val="00CF1D4D"/>
    <w:rsid w:val="00CF27A4"/>
    <w:rsid w:val="00CF2E17"/>
    <w:rsid w:val="00CF326D"/>
    <w:rsid w:val="00CF33E3"/>
    <w:rsid w:val="00CF3435"/>
    <w:rsid w:val="00CF4105"/>
    <w:rsid w:val="00CF414A"/>
    <w:rsid w:val="00CF45E3"/>
    <w:rsid w:val="00CF4FF0"/>
    <w:rsid w:val="00CF5B47"/>
    <w:rsid w:val="00CF60B2"/>
    <w:rsid w:val="00CF65A6"/>
    <w:rsid w:val="00CF6F6C"/>
    <w:rsid w:val="00CF7830"/>
    <w:rsid w:val="00D0020E"/>
    <w:rsid w:val="00D007AF"/>
    <w:rsid w:val="00D01EC0"/>
    <w:rsid w:val="00D0311E"/>
    <w:rsid w:val="00D035CC"/>
    <w:rsid w:val="00D0448F"/>
    <w:rsid w:val="00D059CE"/>
    <w:rsid w:val="00D07078"/>
    <w:rsid w:val="00D077BC"/>
    <w:rsid w:val="00D07E90"/>
    <w:rsid w:val="00D10211"/>
    <w:rsid w:val="00D102AC"/>
    <w:rsid w:val="00D104F9"/>
    <w:rsid w:val="00D11A20"/>
    <w:rsid w:val="00D12FB1"/>
    <w:rsid w:val="00D140F0"/>
    <w:rsid w:val="00D14323"/>
    <w:rsid w:val="00D14E32"/>
    <w:rsid w:val="00D16008"/>
    <w:rsid w:val="00D166D4"/>
    <w:rsid w:val="00D168C1"/>
    <w:rsid w:val="00D20532"/>
    <w:rsid w:val="00D21667"/>
    <w:rsid w:val="00D2177C"/>
    <w:rsid w:val="00D22FAF"/>
    <w:rsid w:val="00D232C4"/>
    <w:rsid w:val="00D239E6"/>
    <w:rsid w:val="00D24B9F"/>
    <w:rsid w:val="00D24E91"/>
    <w:rsid w:val="00D262AD"/>
    <w:rsid w:val="00D27F32"/>
    <w:rsid w:val="00D30254"/>
    <w:rsid w:val="00D307AA"/>
    <w:rsid w:val="00D3151E"/>
    <w:rsid w:val="00D319FF"/>
    <w:rsid w:val="00D32DAE"/>
    <w:rsid w:val="00D33078"/>
    <w:rsid w:val="00D33205"/>
    <w:rsid w:val="00D33768"/>
    <w:rsid w:val="00D33D87"/>
    <w:rsid w:val="00D34477"/>
    <w:rsid w:val="00D35077"/>
    <w:rsid w:val="00D359BA"/>
    <w:rsid w:val="00D35A6E"/>
    <w:rsid w:val="00D3628C"/>
    <w:rsid w:val="00D36C7F"/>
    <w:rsid w:val="00D36D27"/>
    <w:rsid w:val="00D37469"/>
    <w:rsid w:val="00D37AB7"/>
    <w:rsid w:val="00D37FCA"/>
    <w:rsid w:val="00D408A8"/>
    <w:rsid w:val="00D41405"/>
    <w:rsid w:val="00D4141C"/>
    <w:rsid w:val="00D445F3"/>
    <w:rsid w:val="00D45F06"/>
    <w:rsid w:val="00D46377"/>
    <w:rsid w:val="00D46DAE"/>
    <w:rsid w:val="00D50CD2"/>
    <w:rsid w:val="00D515CF"/>
    <w:rsid w:val="00D51C8F"/>
    <w:rsid w:val="00D5204B"/>
    <w:rsid w:val="00D52DE1"/>
    <w:rsid w:val="00D53276"/>
    <w:rsid w:val="00D538F4"/>
    <w:rsid w:val="00D54C10"/>
    <w:rsid w:val="00D55191"/>
    <w:rsid w:val="00D55855"/>
    <w:rsid w:val="00D55CD0"/>
    <w:rsid w:val="00D57544"/>
    <w:rsid w:val="00D57973"/>
    <w:rsid w:val="00D60058"/>
    <w:rsid w:val="00D60CE2"/>
    <w:rsid w:val="00D612B7"/>
    <w:rsid w:val="00D612EC"/>
    <w:rsid w:val="00D6153E"/>
    <w:rsid w:val="00D622F1"/>
    <w:rsid w:val="00D623C4"/>
    <w:rsid w:val="00D62B0B"/>
    <w:rsid w:val="00D62EB4"/>
    <w:rsid w:val="00D64D24"/>
    <w:rsid w:val="00D66101"/>
    <w:rsid w:val="00D66CEE"/>
    <w:rsid w:val="00D71117"/>
    <w:rsid w:val="00D722DF"/>
    <w:rsid w:val="00D734D4"/>
    <w:rsid w:val="00D73765"/>
    <w:rsid w:val="00D7480E"/>
    <w:rsid w:val="00D75CDE"/>
    <w:rsid w:val="00D760FE"/>
    <w:rsid w:val="00D76A4B"/>
    <w:rsid w:val="00D76DA5"/>
    <w:rsid w:val="00D80F0B"/>
    <w:rsid w:val="00D81AB4"/>
    <w:rsid w:val="00D84675"/>
    <w:rsid w:val="00D84696"/>
    <w:rsid w:val="00D847C9"/>
    <w:rsid w:val="00D848FC"/>
    <w:rsid w:val="00D8526A"/>
    <w:rsid w:val="00D8548A"/>
    <w:rsid w:val="00D86252"/>
    <w:rsid w:val="00D9005D"/>
    <w:rsid w:val="00D917F3"/>
    <w:rsid w:val="00D92026"/>
    <w:rsid w:val="00D92223"/>
    <w:rsid w:val="00D9319D"/>
    <w:rsid w:val="00D93A51"/>
    <w:rsid w:val="00D959F1"/>
    <w:rsid w:val="00D969DF"/>
    <w:rsid w:val="00D974C0"/>
    <w:rsid w:val="00D97BAA"/>
    <w:rsid w:val="00DA1693"/>
    <w:rsid w:val="00DA1FA3"/>
    <w:rsid w:val="00DA25C9"/>
    <w:rsid w:val="00DA39E3"/>
    <w:rsid w:val="00DA3AF3"/>
    <w:rsid w:val="00DA4090"/>
    <w:rsid w:val="00DA4D45"/>
    <w:rsid w:val="00DA508F"/>
    <w:rsid w:val="00DA5455"/>
    <w:rsid w:val="00DA5888"/>
    <w:rsid w:val="00DA5C2B"/>
    <w:rsid w:val="00DA62C8"/>
    <w:rsid w:val="00DA67BE"/>
    <w:rsid w:val="00DA698B"/>
    <w:rsid w:val="00DB0E14"/>
    <w:rsid w:val="00DB1EEB"/>
    <w:rsid w:val="00DB532B"/>
    <w:rsid w:val="00DB5EFB"/>
    <w:rsid w:val="00DB6BCD"/>
    <w:rsid w:val="00DB6EF1"/>
    <w:rsid w:val="00DB7EB5"/>
    <w:rsid w:val="00DC0A5A"/>
    <w:rsid w:val="00DC19BB"/>
    <w:rsid w:val="00DC3129"/>
    <w:rsid w:val="00DC3B62"/>
    <w:rsid w:val="00DC3DE7"/>
    <w:rsid w:val="00DC3E21"/>
    <w:rsid w:val="00DC46F0"/>
    <w:rsid w:val="00DC4D28"/>
    <w:rsid w:val="00DC5C8F"/>
    <w:rsid w:val="00DC5F69"/>
    <w:rsid w:val="00DC61B5"/>
    <w:rsid w:val="00DC6404"/>
    <w:rsid w:val="00DD0177"/>
    <w:rsid w:val="00DD0D99"/>
    <w:rsid w:val="00DD3633"/>
    <w:rsid w:val="00DD3F91"/>
    <w:rsid w:val="00DD4BCC"/>
    <w:rsid w:val="00DD7FDF"/>
    <w:rsid w:val="00DE04B6"/>
    <w:rsid w:val="00DE0F8D"/>
    <w:rsid w:val="00DE1703"/>
    <w:rsid w:val="00DE1DA2"/>
    <w:rsid w:val="00DE25AC"/>
    <w:rsid w:val="00DE311B"/>
    <w:rsid w:val="00DE312E"/>
    <w:rsid w:val="00DE4EE5"/>
    <w:rsid w:val="00DE74BE"/>
    <w:rsid w:val="00DF1AC4"/>
    <w:rsid w:val="00DF2601"/>
    <w:rsid w:val="00DF4A01"/>
    <w:rsid w:val="00DF568D"/>
    <w:rsid w:val="00DF5DC8"/>
    <w:rsid w:val="00E000E9"/>
    <w:rsid w:val="00E00757"/>
    <w:rsid w:val="00E00CCB"/>
    <w:rsid w:val="00E00EFC"/>
    <w:rsid w:val="00E0108B"/>
    <w:rsid w:val="00E03F7A"/>
    <w:rsid w:val="00E04293"/>
    <w:rsid w:val="00E042C7"/>
    <w:rsid w:val="00E047D0"/>
    <w:rsid w:val="00E05BAF"/>
    <w:rsid w:val="00E05E95"/>
    <w:rsid w:val="00E0781A"/>
    <w:rsid w:val="00E1098C"/>
    <w:rsid w:val="00E11475"/>
    <w:rsid w:val="00E1240A"/>
    <w:rsid w:val="00E12A7A"/>
    <w:rsid w:val="00E12BF4"/>
    <w:rsid w:val="00E15AD2"/>
    <w:rsid w:val="00E15BD0"/>
    <w:rsid w:val="00E1749D"/>
    <w:rsid w:val="00E175A7"/>
    <w:rsid w:val="00E17617"/>
    <w:rsid w:val="00E176D1"/>
    <w:rsid w:val="00E20168"/>
    <w:rsid w:val="00E20740"/>
    <w:rsid w:val="00E20BAD"/>
    <w:rsid w:val="00E20E92"/>
    <w:rsid w:val="00E210F4"/>
    <w:rsid w:val="00E21E76"/>
    <w:rsid w:val="00E22173"/>
    <w:rsid w:val="00E221B2"/>
    <w:rsid w:val="00E245DA"/>
    <w:rsid w:val="00E24645"/>
    <w:rsid w:val="00E2488B"/>
    <w:rsid w:val="00E248B2"/>
    <w:rsid w:val="00E25C9A"/>
    <w:rsid w:val="00E263AC"/>
    <w:rsid w:val="00E27252"/>
    <w:rsid w:val="00E2758E"/>
    <w:rsid w:val="00E304D6"/>
    <w:rsid w:val="00E30CE1"/>
    <w:rsid w:val="00E30D21"/>
    <w:rsid w:val="00E31BCB"/>
    <w:rsid w:val="00E32963"/>
    <w:rsid w:val="00E33160"/>
    <w:rsid w:val="00E337BC"/>
    <w:rsid w:val="00E343CF"/>
    <w:rsid w:val="00E350CD"/>
    <w:rsid w:val="00E36BAD"/>
    <w:rsid w:val="00E372A9"/>
    <w:rsid w:val="00E4001B"/>
    <w:rsid w:val="00E4081B"/>
    <w:rsid w:val="00E44628"/>
    <w:rsid w:val="00E46136"/>
    <w:rsid w:val="00E50BAA"/>
    <w:rsid w:val="00E51FDE"/>
    <w:rsid w:val="00E534B2"/>
    <w:rsid w:val="00E54B21"/>
    <w:rsid w:val="00E555D1"/>
    <w:rsid w:val="00E5679E"/>
    <w:rsid w:val="00E569F1"/>
    <w:rsid w:val="00E56B66"/>
    <w:rsid w:val="00E579AF"/>
    <w:rsid w:val="00E613AA"/>
    <w:rsid w:val="00E613E4"/>
    <w:rsid w:val="00E61FDB"/>
    <w:rsid w:val="00E660B1"/>
    <w:rsid w:val="00E66A52"/>
    <w:rsid w:val="00E705B7"/>
    <w:rsid w:val="00E70763"/>
    <w:rsid w:val="00E7086E"/>
    <w:rsid w:val="00E70ECC"/>
    <w:rsid w:val="00E715F8"/>
    <w:rsid w:val="00E71A89"/>
    <w:rsid w:val="00E72944"/>
    <w:rsid w:val="00E73618"/>
    <w:rsid w:val="00E738FF"/>
    <w:rsid w:val="00E74A57"/>
    <w:rsid w:val="00E77197"/>
    <w:rsid w:val="00E77405"/>
    <w:rsid w:val="00E77FC9"/>
    <w:rsid w:val="00E80D18"/>
    <w:rsid w:val="00E815D1"/>
    <w:rsid w:val="00E81861"/>
    <w:rsid w:val="00E81B1A"/>
    <w:rsid w:val="00E82273"/>
    <w:rsid w:val="00E83086"/>
    <w:rsid w:val="00E84FB3"/>
    <w:rsid w:val="00E86B76"/>
    <w:rsid w:val="00E87037"/>
    <w:rsid w:val="00E90620"/>
    <w:rsid w:val="00E92946"/>
    <w:rsid w:val="00E95D13"/>
    <w:rsid w:val="00E96610"/>
    <w:rsid w:val="00E97252"/>
    <w:rsid w:val="00E9784F"/>
    <w:rsid w:val="00E979AC"/>
    <w:rsid w:val="00E97D10"/>
    <w:rsid w:val="00EA0F03"/>
    <w:rsid w:val="00EA1EF9"/>
    <w:rsid w:val="00EA22FF"/>
    <w:rsid w:val="00EA26BB"/>
    <w:rsid w:val="00EA2CA0"/>
    <w:rsid w:val="00EA2DC6"/>
    <w:rsid w:val="00EA2F20"/>
    <w:rsid w:val="00EA45AD"/>
    <w:rsid w:val="00EA4838"/>
    <w:rsid w:val="00EA4BF0"/>
    <w:rsid w:val="00EA5514"/>
    <w:rsid w:val="00EA7237"/>
    <w:rsid w:val="00EB02D2"/>
    <w:rsid w:val="00EB055B"/>
    <w:rsid w:val="00EB062D"/>
    <w:rsid w:val="00EB09D2"/>
    <w:rsid w:val="00EB0E1C"/>
    <w:rsid w:val="00EB112A"/>
    <w:rsid w:val="00EB158D"/>
    <w:rsid w:val="00EB232B"/>
    <w:rsid w:val="00EB4141"/>
    <w:rsid w:val="00EB4616"/>
    <w:rsid w:val="00EB5B7E"/>
    <w:rsid w:val="00EB7B58"/>
    <w:rsid w:val="00EC0317"/>
    <w:rsid w:val="00EC0907"/>
    <w:rsid w:val="00EC1212"/>
    <w:rsid w:val="00EC1D3D"/>
    <w:rsid w:val="00EC3331"/>
    <w:rsid w:val="00EC401F"/>
    <w:rsid w:val="00EC677E"/>
    <w:rsid w:val="00EC75ED"/>
    <w:rsid w:val="00EC7772"/>
    <w:rsid w:val="00EC7E67"/>
    <w:rsid w:val="00ED24F3"/>
    <w:rsid w:val="00ED41BC"/>
    <w:rsid w:val="00ED5B5C"/>
    <w:rsid w:val="00ED70B5"/>
    <w:rsid w:val="00ED70BD"/>
    <w:rsid w:val="00ED71EB"/>
    <w:rsid w:val="00ED76FE"/>
    <w:rsid w:val="00ED7917"/>
    <w:rsid w:val="00EE0B3E"/>
    <w:rsid w:val="00EE2475"/>
    <w:rsid w:val="00EE340E"/>
    <w:rsid w:val="00EE37BB"/>
    <w:rsid w:val="00EE42CA"/>
    <w:rsid w:val="00EE4755"/>
    <w:rsid w:val="00EE6AE1"/>
    <w:rsid w:val="00EF0057"/>
    <w:rsid w:val="00EF0800"/>
    <w:rsid w:val="00EF1B9E"/>
    <w:rsid w:val="00EF4099"/>
    <w:rsid w:val="00EF6BDC"/>
    <w:rsid w:val="00F00518"/>
    <w:rsid w:val="00F01C4C"/>
    <w:rsid w:val="00F01EFF"/>
    <w:rsid w:val="00F01FD4"/>
    <w:rsid w:val="00F02786"/>
    <w:rsid w:val="00F02B19"/>
    <w:rsid w:val="00F03038"/>
    <w:rsid w:val="00F0434F"/>
    <w:rsid w:val="00F053BD"/>
    <w:rsid w:val="00F066A4"/>
    <w:rsid w:val="00F0670F"/>
    <w:rsid w:val="00F070A8"/>
    <w:rsid w:val="00F079FB"/>
    <w:rsid w:val="00F07FA6"/>
    <w:rsid w:val="00F11BB3"/>
    <w:rsid w:val="00F13036"/>
    <w:rsid w:val="00F134E4"/>
    <w:rsid w:val="00F14118"/>
    <w:rsid w:val="00F14973"/>
    <w:rsid w:val="00F14B14"/>
    <w:rsid w:val="00F15AF4"/>
    <w:rsid w:val="00F1650E"/>
    <w:rsid w:val="00F16F7D"/>
    <w:rsid w:val="00F170CA"/>
    <w:rsid w:val="00F17E6B"/>
    <w:rsid w:val="00F20151"/>
    <w:rsid w:val="00F210DB"/>
    <w:rsid w:val="00F21D1A"/>
    <w:rsid w:val="00F22865"/>
    <w:rsid w:val="00F23802"/>
    <w:rsid w:val="00F2382D"/>
    <w:rsid w:val="00F23FD6"/>
    <w:rsid w:val="00F24141"/>
    <w:rsid w:val="00F24D75"/>
    <w:rsid w:val="00F26178"/>
    <w:rsid w:val="00F261E3"/>
    <w:rsid w:val="00F27225"/>
    <w:rsid w:val="00F275FC"/>
    <w:rsid w:val="00F301D6"/>
    <w:rsid w:val="00F30AF1"/>
    <w:rsid w:val="00F31560"/>
    <w:rsid w:val="00F31922"/>
    <w:rsid w:val="00F34B2F"/>
    <w:rsid w:val="00F34D96"/>
    <w:rsid w:val="00F34F33"/>
    <w:rsid w:val="00F35C3A"/>
    <w:rsid w:val="00F36452"/>
    <w:rsid w:val="00F366F2"/>
    <w:rsid w:val="00F36D1F"/>
    <w:rsid w:val="00F3769E"/>
    <w:rsid w:val="00F4022A"/>
    <w:rsid w:val="00F40F06"/>
    <w:rsid w:val="00F4156A"/>
    <w:rsid w:val="00F42669"/>
    <w:rsid w:val="00F43372"/>
    <w:rsid w:val="00F43B2B"/>
    <w:rsid w:val="00F4445B"/>
    <w:rsid w:val="00F44CC8"/>
    <w:rsid w:val="00F44CEB"/>
    <w:rsid w:val="00F46BD5"/>
    <w:rsid w:val="00F4749B"/>
    <w:rsid w:val="00F510AE"/>
    <w:rsid w:val="00F514FB"/>
    <w:rsid w:val="00F51766"/>
    <w:rsid w:val="00F52FF8"/>
    <w:rsid w:val="00F5359B"/>
    <w:rsid w:val="00F53696"/>
    <w:rsid w:val="00F547C7"/>
    <w:rsid w:val="00F550AD"/>
    <w:rsid w:val="00F556FA"/>
    <w:rsid w:val="00F560D7"/>
    <w:rsid w:val="00F5637F"/>
    <w:rsid w:val="00F56CE9"/>
    <w:rsid w:val="00F57009"/>
    <w:rsid w:val="00F61151"/>
    <w:rsid w:val="00F63F17"/>
    <w:rsid w:val="00F643AF"/>
    <w:rsid w:val="00F64DED"/>
    <w:rsid w:val="00F64ECE"/>
    <w:rsid w:val="00F66CF3"/>
    <w:rsid w:val="00F677A7"/>
    <w:rsid w:val="00F67B6E"/>
    <w:rsid w:val="00F71404"/>
    <w:rsid w:val="00F71F22"/>
    <w:rsid w:val="00F7274A"/>
    <w:rsid w:val="00F73A6A"/>
    <w:rsid w:val="00F74935"/>
    <w:rsid w:val="00F74EA1"/>
    <w:rsid w:val="00F75407"/>
    <w:rsid w:val="00F760D1"/>
    <w:rsid w:val="00F76A67"/>
    <w:rsid w:val="00F76CAA"/>
    <w:rsid w:val="00F77765"/>
    <w:rsid w:val="00F77EC3"/>
    <w:rsid w:val="00F801D9"/>
    <w:rsid w:val="00F81DA3"/>
    <w:rsid w:val="00F83FCF"/>
    <w:rsid w:val="00F85318"/>
    <w:rsid w:val="00F8534B"/>
    <w:rsid w:val="00F853BA"/>
    <w:rsid w:val="00F85BF2"/>
    <w:rsid w:val="00F85E98"/>
    <w:rsid w:val="00F85F1A"/>
    <w:rsid w:val="00F87559"/>
    <w:rsid w:val="00F902E5"/>
    <w:rsid w:val="00F908A4"/>
    <w:rsid w:val="00F922E5"/>
    <w:rsid w:val="00F93DBA"/>
    <w:rsid w:val="00F94A77"/>
    <w:rsid w:val="00F970BD"/>
    <w:rsid w:val="00FA0D23"/>
    <w:rsid w:val="00FA1255"/>
    <w:rsid w:val="00FA24DF"/>
    <w:rsid w:val="00FA2748"/>
    <w:rsid w:val="00FA27E6"/>
    <w:rsid w:val="00FA280C"/>
    <w:rsid w:val="00FA32C3"/>
    <w:rsid w:val="00FA33CE"/>
    <w:rsid w:val="00FA36F1"/>
    <w:rsid w:val="00FA5663"/>
    <w:rsid w:val="00FA57F7"/>
    <w:rsid w:val="00FA5A41"/>
    <w:rsid w:val="00FA6154"/>
    <w:rsid w:val="00FA65D9"/>
    <w:rsid w:val="00FA7B06"/>
    <w:rsid w:val="00FA7C8B"/>
    <w:rsid w:val="00FB0249"/>
    <w:rsid w:val="00FB0E4C"/>
    <w:rsid w:val="00FB2750"/>
    <w:rsid w:val="00FB3C2B"/>
    <w:rsid w:val="00FB3F14"/>
    <w:rsid w:val="00FB4228"/>
    <w:rsid w:val="00FB55CF"/>
    <w:rsid w:val="00FB6384"/>
    <w:rsid w:val="00FB793A"/>
    <w:rsid w:val="00FB79C0"/>
    <w:rsid w:val="00FB7A2A"/>
    <w:rsid w:val="00FB7CA3"/>
    <w:rsid w:val="00FC3289"/>
    <w:rsid w:val="00FC54E6"/>
    <w:rsid w:val="00FC5915"/>
    <w:rsid w:val="00FC5D6D"/>
    <w:rsid w:val="00FC7987"/>
    <w:rsid w:val="00FD1F08"/>
    <w:rsid w:val="00FD2A6A"/>
    <w:rsid w:val="00FD5A88"/>
    <w:rsid w:val="00FD62EA"/>
    <w:rsid w:val="00FD6354"/>
    <w:rsid w:val="00FD6657"/>
    <w:rsid w:val="00FD7A62"/>
    <w:rsid w:val="00FE01FD"/>
    <w:rsid w:val="00FE20D3"/>
    <w:rsid w:val="00FE31B0"/>
    <w:rsid w:val="00FE3AE6"/>
    <w:rsid w:val="00FE418C"/>
    <w:rsid w:val="00FE42B5"/>
    <w:rsid w:val="00FE5D2C"/>
    <w:rsid w:val="00FE60E1"/>
    <w:rsid w:val="00FE746E"/>
    <w:rsid w:val="00FF001C"/>
    <w:rsid w:val="00FF06C7"/>
    <w:rsid w:val="00FF0B48"/>
    <w:rsid w:val="00FF0FDE"/>
    <w:rsid w:val="00FF1A54"/>
    <w:rsid w:val="00FF319A"/>
    <w:rsid w:val="00FF392F"/>
    <w:rsid w:val="00FF5288"/>
    <w:rsid w:val="00FF5618"/>
    <w:rsid w:val="00FF6D4F"/>
    <w:rsid w:val="00FF7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0D6208"/>
    <w:pPr>
      <w:widowControl/>
      <w:spacing w:line="360" w:lineRule="auto"/>
      <w:jc w:val="center"/>
      <w:outlineLvl w:val="0"/>
    </w:pPr>
    <w:rPr>
      <w:b/>
      <w:sz w:val="26"/>
      <w:szCs w:val="26"/>
    </w:rPr>
  </w:style>
  <w:style w:type="paragraph" w:styleId="Heading2">
    <w:name w:val="heading 2"/>
    <w:basedOn w:val="Normal"/>
    <w:next w:val="Normal"/>
    <w:link w:val="Heading2Char"/>
    <w:uiPriority w:val="9"/>
    <w:unhideWhenUsed/>
    <w:qFormat/>
    <w:rsid w:val="000D6208"/>
    <w:pPr>
      <w:widowControl/>
      <w:spacing w:line="360" w:lineRule="auto"/>
      <w:ind w:firstLine="720"/>
      <w:outlineLvl w:val="1"/>
    </w:pPr>
    <w:rPr>
      <w:b/>
      <w:sz w:val="26"/>
    </w:rPr>
  </w:style>
  <w:style w:type="paragraph" w:styleId="Heading3">
    <w:name w:val="heading 3"/>
    <w:basedOn w:val="Normal"/>
    <w:next w:val="Normal"/>
    <w:link w:val="Heading3Char"/>
    <w:uiPriority w:val="9"/>
    <w:unhideWhenUsed/>
    <w:qFormat/>
    <w:rsid w:val="000D6208"/>
    <w:pPr>
      <w:keepNext/>
      <w:widowControl/>
      <w:spacing w:line="360" w:lineRule="auto"/>
      <w:outlineLvl w:val="2"/>
    </w:pPr>
    <w:rPr>
      <w:b/>
      <w:sz w:val="26"/>
      <w:szCs w:val="26"/>
    </w:rPr>
  </w:style>
  <w:style w:type="paragraph" w:styleId="Heading4">
    <w:name w:val="heading 4"/>
    <w:basedOn w:val="Normal"/>
    <w:link w:val="Heading4Char"/>
    <w:uiPriority w:val="9"/>
    <w:qFormat/>
    <w:rsid w:val="00F922E5"/>
    <w:pPr>
      <w:widowControl/>
      <w:spacing w:before="100" w:beforeAutospacing="1" w:after="100" w:afterAutospacing="1"/>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aliases w:val="o,fr,Style 13,Style 12,Style 28,(NECG) Footnote Reference,Style 11,Style 9,Style 16,Style 15,Style 17,Style 20,o1,fr1,o2,fr2,o3,fr3,Style 8,Style 7,Style 19"/>
    <w:basedOn w:val="DefaultParagraphFont"/>
    <w:uiPriority w:val="99"/>
    <w:rsid w:val="00671E4C"/>
    <w:rPr>
      <w:vertAlign w:val="superscript"/>
    </w:rPr>
  </w:style>
  <w:style w:type="character" w:styleId="Hyperlink">
    <w:name w:val="Hyperlink"/>
    <w:basedOn w:val="DefaultParagraphFont"/>
    <w:uiPriority w:val="99"/>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character" w:customStyle="1" w:styleId="Heading4Char">
    <w:name w:val="Heading 4 Char"/>
    <w:basedOn w:val="DefaultParagraphFont"/>
    <w:link w:val="Heading4"/>
    <w:uiPriority w:val="9"/>
    <w:rsid w:val="00F922E5"/>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F922E5"/>
    <w:pPr>
      <w:widowControl/>
      <w:spacing w:before="100" w:beforeAutospacing="1" w:after="100" w:afterAutospacing="1"/>
    </w:pPr>
    <w:rPr>
      <w:sz w:val="24"/>
      <w:szCs w:val="24"/>
    </w:rPr>
  </w:style>
  <w:style w:type="paragraph" w:styleId="ListParagraph">
    <w:name w:val="List Paragraph"/>
    <w:basedOn w:val="Normal"/>
    <w:uiPriority w:val="34"/>
    <w:qFormat/>
    <w:rsid w:val="00F922E5"/>
    <w:pPr>
      <w:ind w:left="720"/>
      <w:contextualSpacing/>
    </w:pPr>
  </w:style>
  <w:style w:type="paragraph" w:styleId="EndnoteText">
    <w:name w:val="endnote text"/>
    <w:basedOn w:val="Normal"/>
    <w:link w:val="EndnoteTextChar"/>
    <w:uiPriority w:val="99"/>
    <w:semiHidden/>
    <w:unhideWhenUsed/>
    <w:rsid w:val="003E62C2"/>
  </w:style>
  <w:style w:type="character" w:customStyle="1" w:styleId="EndnoteTextChar">
    <w:name w:val="Endnote Text Char"/>
    <w:basedOn w:val="DefaultParagraphFont"/>
    <w:link w:val="EndnoteText"/>
    <w:uiPriority w:val="99"/>
    <w:semiHidden/>
    <w:rsid w:val="003E62C2"/>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3E62C2"/>
    <w:rPr>
      <w:vertAlign w:val="superscript"/>
    </w:rPr>
  </w:style>
  <w:style w:type="paragraph" w:styleId="FootnoteText">
    <w:name w:val="footnote text"/>
    <w:aliases w:val="fn,ALTS FOOTNOTE,Footnote Text 2,Footnote text,FOOTNOTE,fn Char Char,fn Char,Car,Footnote Text Char2,Footnote Text Char1 Char,Footnote Text Char Char Char,Footnote Text Char2 Char Char Char,Footnote Text Char Char1 Char Char Char"/>
    <w:basedOn w:val="Normal"/>
    <w:link w:val="FootnoteTextChar"/>
    <w:uiPriority w:val="99"/>
    <w:unhideWhenUsed/>
    <w:qFormat/>
    <w:rsid w:val="003E62C2"/>
  </w:style>
  <w:style w:type="character" w:customStyle="1" w:styleId="FootnoteTextChar">
    <w:name w:val="Footnote Text Char"/>
    <w:aliases w:val="fn Char1,ALTS FOOTNOTE Char,Footnote Text 2 Char,Footnote text Char,FOOTNOTE Char,fn Char Char Char,fn Char Char1,Car Char,Footnote Text Char2 Char,Footnote Text Char1 Char Char,Footnote Text Char Char Char Char"/>
    <w:basedOn w:val="DefaultParagraphFont"/>
    <w:link w:val="FootnoteText"/>
    <w:uiPriority w:val="99"/>
    <w:rsid w:val="003E62C2"/>
    <w:rPr>
      <w:rFonts w:ascii="Times New Roman" w:eastAsia="Times New Roman" w:hAnsi="Times New Roman" w:cs="Times New Roman"/>
      <w:sz w:val="20"/>
      <w:szCs w:val="20"/>
    </w:rPr>
  </w:style>
  <w:style w:type="character" w:customStyle="1" w:styleId="pmterms11">
    <w:name w:val="pmterms11"/>
    <w:basedOn w:val="DefaultParagraphFont"/>
    <w:rsid w:val="00F760D1"/>
    <w:rPr>
      <w:b/>
      <w:bCs/>
      <w:i w:val="0"/>
      <w:iCs w:val="0"/>
      <w:color w:val="000000"/>
    </w:rPr>
  </w:style>
  <w:style w:type="character" w:styleId="CommentReference">
    <w:name w:val="annotation reference"/>
    <w:basedOn w:val="DefaultParagraphFont"/>
    <w:uiPriority w:val="99"/>
    <w:unhideWhenUsed/>
    <w:rsid w:val="00B0237F"/>
    <w:rPr>
      <w:sz w:val="16"/>
      <w:szCs w:val="16"/>
    </w:rPr>
  </w:style>
  <w:style w:type="paragraph" w:styleId="CommentText">
    <w:name w:val="annotation text"/>
    <w:basedOn w:val="Normal"/>
    <w:link w:val="CommentTextChar"/>
    <w:uiPriority w:val="99"/>
    <w:unhideWhenUsed/>
    <w:rsid w:val="00B0237F"/>
  </w:style>
  <w:style w:type="character" w:customStyle="1" w:styleId="CommentTextChar">
    <w:name w:val="Comment Text Char"/>
    <w:basedOn w:val="DefaultParagraphFont"/>
    <w:link w:val="CommentText"/>
    <w:uiPriority w:val="99"/>
    <w:rsid w:val="00B0237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237F"/>
    <w:rPr>
      <w:b/>
      <w:bCs/>
    </w:rPr>
  </w:style>
  <w:style w:type="character" w:customStyle="1" w:styleId="CommentSubjectChar">
    <w:name w:val="Comment Subject Char"/>
    <w:basedOn w:val="CommentTextChar"/>
    <w:link w:val="CommentSubject"/>
    <w:uiPriority w:val="99"/>
    <w:semiHidden/>
    <w:rsid w:val="00B0237F"/>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AA755D"/>
    <w:pPr>
      <w:tabs>
        <w:tab w:val="center" w:pos="4680"/>
        <w:tab w:val="right" w:pos="9360"/>
      </w:tabs>
    </w:pPr>
  </w:style>
  <w:style w:type="character" w:customStyle="1" w:styleId="HeaderChar">
    <w:name w:val="Header Char"/>
    <w:basedOn w:val="DefaultParagraphFont"/>
    <w:link w:val="Header"/>
    <w:uiPriority w:val="99"/>
    <w:rsid w:val="00AA755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AA755D"/>
    <w:pPr>
      <w:tabs>
        <w:tab w:val="center" w:pos="4680"/>
        <w:tab w:val="right" w:pos="9360"/>
      </w:tabs>
    </w:pPr>
  </w:style>
  <w:style w:type="character" w:customStyle="1" w:styleId="FooterChar">
    <w:name w:val="Footer Char"/>
    <w:basedOn w:val="DefaultParagraphFont"/>
    <w:link w:val="Footer"/>
    <w:uiPriority w:val="99"/>
    <w:rsid w:val="00AA755D"/>
    <w:rPr>
      <w:rFonts w:ascii="Times New Roman" w:eastAsia="Times New Roman" w:hAnsi="Times New Roman" w:cs="Times New Roman"/>
      <w:sz w:val="20"/>
      <w:szCs w:val="20"/>
    </w:rPr>
  </w:style>
  <w:style w:type="paragraph" w:styleId="Revision">
    <w:name w:val="Revision"/>
    <w:hidden/>
    <w:uiPriority w:val="99"/>
    <w:semiHidden/>
    <w:rsid w:val="004604C7"/>
    <w:pPr>
      <w:spacing w:after="0" w:line="240" w:lineRule="auto"/>
    </w:pPr>
    <w:rPr>
      <w:rFonts w:ascii="Times New Roman" w:eastAsia="Times New Roman" w:hAnsi="Times New Roman" w:cs="Times New Roman"/>
      <w:sz w:val="20"/>
      <w:szCs w:val="20"/>
    </w:rPr>
  </w:style>
  <w:style w:type="paragraph" w:styleId="NoSpacing">
    <w:name w:val="No Spacing"/>
    <w:uiPriority w:val="1"/>
    <w:qFormat/>
    <w:rsid w:val="00247991"/>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0D6208"/>
    <w:rPr>
      <w:rFonts w:ascii="Times New Roman" w:eastAsia="Times New Roman" w:hAnsi="Times New Roman" w:cs="Times New Roman"/>
      <w:b/>
      <w:sz w:val="26"/>
      <w:szCs w:val="26"/>
    </w:rPr>
  </w:style>
  <w:style w:type="character" w:customStyle="1" w:styleId="Heading2Char">
    <w:name w:val="Heading 2 Char"/>
    <w:basedOn w:val="DefaultParagraphFont"/>
    <w:link w:val="Heading2"/>
    <w:uiPriority w:val="9"/>
    <w:rsid w:val="000D6208"/>
    <w:rPr>
      <w:rFonts w:ascii="Times New Roman" w:eastAsia="Times New Roman" w:hAnsi="Times New Roman" w:cs="Times New Roman"/>
      <w:b/>
      <w:sz w:val="26"/>
      <w:szCs w:val="20"/>
    </w:rPr>
  </w:style>
  <w:style w:type="character" w:customStyle="1" w:styleId="Heading3Char">
    <w:name w:val="Heading 3 Char"/>
    <w:basedOn w:val="DefaultParagraphFont"/>
    <w:link w:val="Heading3"/>
    <w:uiPriority w:val="9"/>
    <w:rsid w:val="000D6208"/>
    <w:rPr>
      <w:rFonts w:ascii="Times New Roman" w:eastAsia="Times New Roman" w:hAnsi="Times New Roman" w:cs="Times New Roman"/>
      <w:b/>
      <w:sz w:val="26"/>
      <w:szCs w:val="26"/>
    </w:rPr>
  </w:style>
  <w:style w:type="paragraph" w:styleId="TOCHeading">
    <w:name w:val="TOC Heading"/>
    <w:basedOn w:val="Heading1"/>
    <w:next w:val="Normal"/>
    <w:uiPriority w:val="39"/>
    <w:unhideWhenUsed/>
    <w:qFormat/>
    <w:rsid w:val="005E064C"/>
    <w:pPr>
      <w:keepNext/>
      <w:keepLines/>
      <w:spacing w:before="480" w:line="276" w:lineRule="auto"/>
      <w:jc w:val="left"/>
      <w:outlineLvl w:val="9"/>
    </w:pPr>
    <w:rPr>
      <w:rFonts w:asciiTheme="majorHAnsi" w:eastAsiaTheme="majorEastAsia" w:hAnsiTheme="majorHAnsi" w:cstheme="majorBidi"/>
      <w:bCs/>
      <w:color w:val="365F91" w:themeColor="accent1" w:themeShade="BF"/>
      <w:sz w:val="28"/>
      <w:szCs w:val="28"/>
      <w:lang w:eastAsia="ja-JP"/>
    </w:rPr>
  </w:style>
  <w:style w:type="paragraph" w:styleId="TOC1">
    <w:name w:val="toc 1"/>
    <w:basedOn w:val="Normal"/>
    <w:next w:val="Normal"/>
    <w:autoRedefine/>
    <w:uiPriority w:val="39"/>
    <w:unhideWhenUsed/>
    <w:rsid w:val="005E064C"/>
    <w:pPr>
      <w:spacing w:after="100"/>
    </w:pPr>
  </w:style>
  <w:style w:type="paragraph" w:styleId="TOC2">
    <w:name w:val="toc 2"/>
    <w:basedOn w:val="Normal"/>
    <w:next w:val="Normal"/>
    <w:autoRedefine/>
    <w:uiPriority w:val="39"/>
    <w:unhideWhenUsed/>
    <w:rsid w:val="005E064C"/>
    <w:pPr>
      <w:spacing w:after="100"/>
      <w:ind w:left="200"/>
    </w:pPr>
  </w:style>
  <w:style w:type="paragraph" w:styleId="TOC3">
    <w:name w:val="toc 3"/>
    <w:basedOn w:val="Normal"/>
    <w:next w:val="Normal"/>
    <w:autoRedefine/>
    <w:uiPriority w:val="39"/>
    <w:unhideWhenUsed/>
    <w:rsid w:val="005E064C"/>
    <w:pPr>
      <w:spacing w:after="100"/>
      <w:ind w:left="4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0D6208"/>
    <w:pPr>
      <w:widowControl/>
      <w:spacing w:line="360" w:lineRule="auto"/>
      <w:jc w:val="center"/>
      <w:outlineLvl w:val="0"/>
    </w:pPr>
    <w:rPr>
      <w:b/>
      <w:sz w:val="26"/>
      <w:szCs w:val="26"/>
    </w:rPr>
  </w:style>
  <w:style w:type="paragraph" w:styleId="Heading2">
    <w:name w:val="heading 2"/>
    <w:basedOn w:val="Normal"/>
    <w:next w:val="Normal"/>
    <w:link w:val="Heading2Char"/>
    <w:uiPriority w:val="9"/>
    <w:unhideWhenUsed/>
    <w:qFormat/>
    <w:rsid w:val="000D6208"/>
    <w:pPr>
      <w:widowControl/>
      <w:spacing w:line="360" w:lineRule="auto"/>
      <w:ind w:firstLine="720"/>
      <w:outlineLvl w:val="1"/>
    </w:pPr>
    <w:rPr>
      <w:b/>
      <w:sz w:val="26"/>
    </w:rPr>
  </w:style>
  <w:style w:type="paragraph" w:styleId="Heading3">
    <w:name w:val="heading 3"/>
    <w:basedOn w:val="Normal"/>
    <w:next w:val="Normal"/>
    <w:link w:val="Heading3Char"/>
    <w:uiPriority w:val="9"/>
    <w:unhideWhenUsed/>
    <w:qFormat/>
    <w:rsid w:val="000D6208"/>
    <w:pPr>
      <w:keepNext/>
      <w:widowControl/>
      <w:spacing w:line="360" w:lineRule="auto"/>
      <w:outlineLvl w:val="2"/>
    </w:pPr>
    <w:rPr>
      <w:b/>
      <w:sz w:val="26"/>
      <w:szCs w:val="26"/>
    </w:rPr>
  </w:style>
  <w:style w:type="paragraph" w:styleId="Heading4">
    <w:name w:val="heading 4"/>
    <w:basedOn w:val="Normal"/>
    <w:link w:val="Heading4Char"/>
    <w:uiPriority w:val="9"/>
    <w:qFormat/>
    <w:rsid w:val="00F922E5"/>
    <w:pPr>
      <w:widowControl/>
      <w:spacing w:before="100" w:beforeAutospacing="1" w:after="100" w:afterAutospacing="1"/>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aliases w:val="o,fr,Style 13,Style 12,Style 28,(NECG) Footnote Reference,Style 11,Style 9,Style 16,Style 15,Style 17,Style 20,o1,fr1,o2,fr2,o3,fr3,Style 8,Style 7,Style 19"/>
    <w:basedOn w:val="DefaultParagraphFont"/>
    <w:uiPriority w:val="99"/>
    <w:rsid w:val="00671E4C"/>
    <w:rPr>
      <w:vertAlign w:val="superscript"/>
    </w:rPr>
  </w:style>
  <w:style w:type="character" w:styleId="Hyperlink">
    <w:name w:val="Hyperlink"/>
    <w:basedOn w:val="DefaultParagraphFont"/>
    <w:uiPriority w:val="99"/>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character" w:customStyle="1" w:styleId="Heading4Char">
    <w:name w:val="Heading 4 Char"/>
    <w:basedOn w:val="DefaultParagraphFont"/>
    <w:link w:val="Heading4"/>
    <w:uiPriority w:val="9"/>
    <w:rsid w:val="00F922E5"/>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F922E5"/>
    <w:pPr>
      <w:widowControl/>
      <w:spacing w:before="100" w:beforeAutospacing="1" w:after="100" w:afterAutospacing="1"/>
    </w:pPr>
    <w:rPr>
      <w:sz w:val="24"/>
      <w:szCs w:val="24"/>
    </w:rPr>
  </w:style>
  <w:style w:type="paragraph" w:styleId="ListParagraph">
    <w:name w:val="List Paragraph"/>
    <w:basedOn w:val="Normal"/>
    <w:uiPriority w:val="34"/>
    <w:qFormat/>
    <w:rsid w:val="00F922E5"/>
    <w:pPr>
      <w:ind w:left="720"/>
      <w:contextualSpacing/>
    </w:pPr>
  </w:style>
  <w:style w:type="paragraph" w:styleId="EndnoteText">
    <w:name w:val="endnote text"/>
    <w:basedOn w:val="Normal"/>
    <w:link w:val="EndnoteTextChar"/>
    <w:uiPriority w:val="99"/>
    <w:semiHidden/>
    <w:unhideWhenUsed/>
    <w:rsid w:val="003E62C2"/>
  </w:style>
  <w:style w:type="character" w:customStyle="1" w:styleId="EndnoteTextChar">
    <w:name w:val="Endnote Text Char"/>
    <w:basedOn w:val="DefaultParagraphFont"/>
    <w:link w:val="EndnoteText"/>
    <w:uiPriority w:val="99"/>
    <w:semiHidden/>
    <w:rsid w:val="003E62C2"/>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3E62C2"/>
    <w:rPr>
      <w:vertAlign w:val="superscript"/>
    </w:rPr>
  </w:style>
  <w:style w:type="paragraph" w:styleId="FootnoteText">
    <w:name w:val="footnote text"/>
    <w:aliases w:val="fn,ALTS FOOTNOTE,Footnote Text 2,Footnote text,FOOTNOTE,fn Char Char,fn Char,Car,Footnote Text Char2,Footnote Text Char1 Char,Footnote Text Char Char Char,Footnote Text Char2 Char Char Char,Footnote Text Char Char1 Char Char Char"/>
    <w:basedOn w:val="Normal"/>
    <w:link w:val="FootnoteTextChar"/>
    <w:uiPriority w:val="99"/>
    <w:unhideWhenUsed/>
    <w:qFormat/>
    <w:rsid w:val="003E62C2"/>
  </w:style>
  <w:style w:type="character" w:customStyle="1" w:styleId="FootnoteTextChar">
    <w:name w:val="Footnote Text Char"/>
    <w:aliases w:val="fn Char1,ALTS FOOTNOTE Char,Footnote Text 2 Char,Footnote text Char,FOOTNOTE Char,fn Char Char Char,fn Char Char1,Car Char,Footnote Text Char2 Char,Footnote Text Char1 Char Char,Footnote Text Char Char Char Char"/>
    <w:basedOn w:val="DefaultParagraphFont"/>
    <w:link w:val="FootnoteText"/>
    <w:uiPriority w:val="99"/>
    <w:rsid w:val="003E62C2"/>
    <w:rPr>
      <w:rFonts w:ascii="Times New Roman" w:eastAsia="Times New Roman" w:hAnsi="Times New Roman" w:cs="Times New Roman"/>
      <w:sz w:val="20"/>
      <w:szCs w:val="20"/>
    </w:rPr>
  </w:style>
  <w:style w:type="character" w:customStyle="1" w:styleId="pmterms11">
    <w:name w:val="pmterms11"/>
    <w:basedOn w:val="DefaultParagraphFont"/>
    <w:rsid w:val="00F760D1"/>
    <w:rPr>
      <w:b/>
      <w:bCs/>
      <w:i w:val="0"/>
      <w:iCs w:val="0"/>
      <w:color w:val="000000"/>
    </w:rPr>
  </w:style>
  <w:style w:type="character" w:styleId="CommentReference">
    <w:name w:val="annotation reference"/>
    <w:basedOn w:val="DefaultParagraphFont"/>
    <w:uiPriority w:val="99"/>
    <w:unhideWhenUsed/>
    <w:rsid w:val="00B0237F"/>
    <w:rPr>
      <w:sz w:val="16"/>
      <w:szCs w:val="16"/>
    </w:rPr>
  </w:style>
  <w:style w:type="paragraph" w:styleId="CommentText">
    <w:name w:val="annotation text"/>
    <w:basedOn w:val="Normal"/>
    <w:link w:val="CommentTextChar"/>
    <w:uiPriority w:val="99"/>
    <w:unhideWhenUsed/>
    <w:rsid w:val="00B0237F"/>
  </w:style>
  <w:style w:type="character" w:customStyle="1" w:styleId="CommentTextChar">
    <w:name w:val="Comment Text Char"/>
    <w:basedOn w:val="DefaultParagraphFont"/>
    <w:link w:val="CommentText"/>
    <w:uiPriority w:val="99"/>
    <w:rsid w:val="00B0237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237F"/>
    <w:rPr>
      <w:b/>
      <w:bCs/>
    </w:rPr>
  </w:style>
  <w:style w:type="character" w:customStyle="1" w:styleId="CommentSubjectChar">
    <w:name w:val="Comment Subject Char"/>
    <w:basedOn w:val="CommentTextChar"/>
    <w:link w:val="CommentSubject"/>
    <w:uiPriority w:val="99"/>
    <w:semiHidden/>
    <w:rsid w:val="00B0237F"/>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AA755D"/>
    <w:pPr>
      <w:tabs>
        <w:tab w:val="center" w:pos="4680"/>
        <w:tab w:val="right" w:pos="9360"/>
      </w:tabs>
    </w:pPr>
  </w:style>
  <w:style w:type="character" w:customStyle="1" w:styleId="HeaderChar">
    <w:name w:val="Header Char"/>
    <w:basedOn w:val="DefaultParagraphFont"/>
    <w:link w:val="Header"/>
    <w:uiPriority w:val="99"/>
    <w:rsid w:val="00AA755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AA755D"/>
    <w:pPr>
      <w:tabs>
        <w:tab w:val="center" w:pos="4680"/>
        <w:tab w:val="right" w:pos="9360"/>
      </w:tabs>
    </w:pPr>
  </w:style>
  <w:style w:type="character" w:customStyle="1" w:styleId="FooterChar">
    <w:name w:val="Footer Char"/>
    <w:basedOn w:val="DefaultParagraphFont"/>
    <w:link w:val="Footer"/>
    <w:uiPriority w:val="99"/>
    <w:rsid w:val="00AA755D"/>
    <w:rPr>
      <w:rFonts w:ascii="Times New Roman" w:eastAsia="Times New Roman" w:hAnsi="Times New Roman" w:cs="Times New Roman"/>
      <w:sz w:val="20"/>
      <w:szCs w:val="20"/>
    </w:rPr>
  </w:style>
  <w:style w:type="paragraph" w:styleId="Revision">
    <w:name w:val="Revision"/>
    <w:hidden/>
    <w:uiPriority w:val="99"/>
    <w:semiHidden/>
    <w:rsid w:val="004604C7"/>
    <w:pPr>
      <w:spacing w:after="0" w:line="240" w:lineRule="auto"/>
    </w:pPr>
    <w:rPr>
      <w:rFonts w:ascii="Times New Roman" w:eastAsia="Times New Roman" w:hAnsi="Times New Roman" w:cs="Times New Roman"/>
      <w:sz w:val="20"/>
      <w:szCs w:val="20"/>
    </w:rPr>
  </w:style>
  <w:style w:type="paragraph" w:styleId="NoSpacing">
    <w:name w:val="No Spacing"/>
    <w:uiPriority w:val="1"/>
    <w:qFormat/>
    <w:rsid w:val="00247991"/>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0D6208"/>
    <w:rPr>
      <w:rFonts w:ascii="Times New Roman" w:eastAsia="Times New Roman" w:hAnsi="Times New Roman" w:cs="Times New Roman"/>
      <w:b/>
      <w:sz w:val="26"/>
      <w:szCs w:val="26"/>
    </w:rPr>
  </w:style>
  <w:style w:type="character" w:customStyle="1" w:styleId="Heading2Char">
    <w:name w:val="Heading 2 Char"/>
    <w:basedOn w:val="DefaultParagraphFont"/>
    <w:link w:val="Heading2"/>
    <w:uiPriority w:val="9"/>
    <w:rsid w:val="000D6208"/>
    <w:rPr>
      <w:rFonts w:ascii="Times New Roman" w:eastAsia="Times New Roman" w:hAnsi="Times New Roman" w:cs="Times New Roman"/>
      <w:b/>
      <w:sz w:val="26"/>
      <w:szCs w:val="20"/>
    </w:rPr>
  </w:style>
  <w:style w:type="character" w:customStyle="1" w:styleId="Heading3Char">
    <w:name w:val="Heading 3 Char"/>
    <w:basedOn w:val="DefaultParagraphFont"/>
    <w:link w:val="Heading3"/>
    <w:uiPriority w:val="9"/>
    <w:rsid w:val="000D6208"/>
    <w:rPr>
      <w:rFonts w:ascii="Times New Roman" w:eastAsia="Times New Roman" w:hAnsi="Times New Roman" w:cs="Times New Roman"/>
      <w:b/>
      <w:sz w:val="26"/>
      <w:szCs w:val="26"/>
    </w:rPr>
  </w:style>
  <w:style w:type="paragraph" w:styleId="TOCHeading">
    <w:name w:val="TOC Heading"/>
    <w:basedOn w:val="Heading1"/>
    <w:next w:val="Normal"/>
    <w:uiPriority w:val="39"/>
    <w:unhideWhenUsed/>
    <w:qFormat/>
    <w:rsid w:val="005E064C"/>
    <w:pPr>
      <w:keepNext/>
      <w:keepLines/>
      <w:spacing w:before="480" w:line="276" w:lineRule="auto"/>
      <w:jc w:val="left"/>
      <w:outlineLvl w:val="9"/>
    </w:pPr>
    <w:rPr>
      <w:rFonts w:asciiTheme="majorHAnsi" w:eastAsiaTheme="majorEastAsia" w:hAnsiTheme="majorHAnsi" w:cstheme="majorBidi"/>
      <w:bCs/>
      <w:color w:val="365F91" w:themeColor="accent1" w:themeShade="BF"/>
      <w:sz w:val="28"/>
      <w:szCs w:val="28"/>
      <w:lang w:eastAsia="ja-JP"/>
    </w:rPr>
  </w:style>
  <w:style w:type="paragraph" w:styleId="TOC1">
    <w:name w:val="toc 1"/>
    <w:basedOn w:val="Normal"/>
    <w:next w:val="Normal"/>
    <w:autoRedefine/>
    <w:uiPriority w:val="39"/>
    <w:unhideWhenUsed/>
    <w:rsid w:val="005E064C"/>
    <w:pPr>
      <w:spacing w:after="100"/>
    </w:pPr>
  </w:style>
  <w:style w:type="paragraph" w:styleId="TOC2">
    <w:name w:val="toc 2"/>
    <w:basedOn w:val="Normal"/>
    <w:next w:val="Normal"/>
    <w:autoRedefine/>
    <w:uiPriority w:val="39"/>
    <w:unhideWhenUsed/>
    <w:rsid w:val="005E064C"/>
    <w:pPr>
      <w:spacing w:after="100"/>
      <w:ind w:left="200"/>
    </w:pPr>
  </w:style>
  <w:style w:type="paragraph" w:styleId="TOC3">
    <w:name w:val="toc 3"/>
    <w:basedOn w:val="Normal"/>
    <w:next w:val="Normal"/>
    <w:autoRedefine/>
    <w:uiPriority w:val="39"/>
    <w:unhideWhenUsed/>
    <w:rsid w:val="005E064C"/>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5923423">
      <w:bodyDiv w:val="1"/>
      <w:marLeft w:val="0"/>
      <w:marRight w:val="0"/>
      <w:marTop w:val="0"/>
      <w:marBottom w:val="0"/>
      <w:divBdr>
        <w:top w:val="none" w:sz="0" w:space="0" w:color="auto"/>
        <w:left w:val="none" w:sz="0" w:space="0" w:color="auto"/>
        <w:bottom w:val="none" w:sz="0" w:space="0" w:color="auto"/>
        <w:right w:val="none" w:sz="0" w:space="0" w:color="auto"/>
      </w:divBdr>
      <w:divsChild>
        <w:div w:id="885412230">
          <w:marLeft w:val="0"/>
          <w:marRight w:val="0"/>
          <w:marTop w:val="0"/>
          <w:marBottom w:val="0"/>
          <w:divBdr>
            <w:top w:val="none" w:sz="0" w:space="0" w:color="auto"/>
            <w:left w:val="none" w:sz="0" w:space="0" w:color="auto"/>
            <w:bottom w:val="none" w:sz="0" w:space="0" w:color="auto"/>
            <w:right w:val="none" w:sz="0" w:space="0" w:color="auto"/>
          </w:divBdr>
          <w:divsChild>
            <w:div w:id="544804119">
              <w:marLeft w:val="0"/>
              <w:marRight w:val="0"/>
              <w:marTop w:val="0"/>
              <w:marBottom w:val="0"/>
              <w:divBdr>
                <w:top w:val="none" w:sz="0" w:space="0" w:color="auto"/>
                <w:left w:val="none" w:sz="0" w:space="0" w:color="auto"/>
                <w:bottom w:val="none" w:sz="0" w:space="0" w:color="auto"/>
                <w:right w:val="none" w:sz="0" w:space="0" w:color="auto"/>
              </w:divBdr>
              <w:divsChild>
                <w:div w:id="1399329240">
                  <w:marLeft w:val="0"/>
                  <w:marRight w:val="0"/>
                  <w:marTop w:val="0"/>
                  <w:marBottom w:val="0"/>
                  <w:divBdr>
                    <w:top w:val="none" w:sz="0" w:space="0" w:color="auto"/>
                    <w:left w:val="none" w:sz="0" w:space="0" w:color="auto"/>
                    <w:bottom w:val="none" w:sz="0" w:space="0" w:color="auto"/>
                    <w:right w:val="none" w:sz="0" w:space="0" w:color="auto"/>
                  </w:divBdr>
                  <w:divsChild>
                    <w:div w:id="1862081660">
                      <w:marLeft w:val="0"/>
                      <w:marRight w:val="0"/>
                      <w:marTop w:val="0"/>
                      <w:marBottom w:val="0"/>
                      <w:divBdr>
                        <w:top w:val="none" w:sz="0" w:space="0" w:color="auto"/>
                        <w:left w:val="none" w:sz="0" w:space="0" w:color="auto"/>
                        <w:bottom w:val="none" w:sz="0" w:space="0" w:color="auto"/>
                        <w:right w:val="none" w:sz="0" w:space="0" w:color="auto"/>
                      </w:divBdr>
                      <w:divsChild>
                        <w:div w:id="1655833456">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170757958">
                              <w:marLeft w:val="0"/>
                              <w:marRight w:val="0"/>
                              <w:marTop w:val="0"/>
                              <w:marBottom w:val="0"/>
                              <w:divBdr>
                                <w:top w:val="none" w:sz="0" w:space="0" w:color="auto"/>
                                <w:left w:val="none" w:sz="0" w:space="0" w:color="auto"/>
                                <w:bottom w:val="none" w:sz="0" w:space="0" w:color="auto"/>
                                <w:right w:val="none" w:sz="0" w:space="0" w:color="auto"/>
                              </w:divBdr>
                              <w:divsChild>
                                <w:div w:id="463501302">
                                  <w:marLeft w:val="0"/>
                                  <w:marRight w:val="0"/>
                                  <w:marTop w:val="0"/>
                                  <w:marBottom w:val="0"/>
                                  <w:divBdr>
                                    <w:top w:val="none" w:sz="0" w:space="0" w:color="auto"/>
                                    <w:left w:val="none" w:sz="0" w:space="0" w:color="auto"/>
                                    <w:bottom w:val="none" w:sz="0" w:space="0" w:color="auto"/>
                                    <w:right w:val="none" w:sz="0" w:space="0" w:color="auto"/>
                                  </w:divBdr>
                                  <w:divsChild>
                                    <w:div w:id="1676103823">
                                      <w:marLeft w:val="0"/>
                                      <w:marRight w:val="0"/>
                                      <w:marTop w:val="0"/>
                                      <w:marBottom w:val="0"/>
                                      <w:divBdr>
                                        <w:top w:val="none" w:sz="0" w:space="0" w:color="auto"/>
                                        <w:left w:val="none" w:sz="0" w:space="0" w:color="auto"/>
                                        <w:bottom w:val="none" w:sz="0" w:space="0" w:color="auto"/>
                                        <w:right w:val="none" w:sz="0" w:space="0" w:color="auto"/>
                                      </w:divBdr>
                                      <w:divsChild>
                                        <w:div w:id="1015620112">
                                          <w:marLeft w:val="0"/>
                                          <w:marRight w:val="0"/>
                                          <w:marTop w:val="0"/>
                                          <w:marBottom w:val="0"/>
                                          <w:divBdr>
                                            <w:top w:val="none" w:sz="0" w:space="0" w:color="auto"/>
                                            <w:left w:val="none" w:sz="0" w:space="0" w:color="auto"/>
                                            <w:bottom w:val="none" w:sz="0" w:space="0" w:color="auto"/>
                                            <w:right w:val="none" w:sz="0" w:space="0" w:color="auto"/>
                                          </w:divBdr>
                                          <w:divsChild>
                                            <w:div w:id="111637587">
                                              <w:marLeft w:val="0"/>
                                              <w:marRight w:val="0"/>
                                              <w:marTop w:val="0"/>
                                              <w:marBottom w:val="0"/>
                                              <w:divBdr>
                                                <w:top w:val="none" w:sz="0" w:space="0" w:color="auto"/>
                                                <w:left w:val="none" w:sz="0" w:space="0" w:color="auto"/>
                                                <w:bottom w:val="none" w:sz="0" w:space="0" w:color="auto"/>
                                                <w:right w:val="none" w:sz="0" w:space="0" w:color="auto"/>
                                              </w:divBdr>
                                              <w:divsChild>
                                                <w:div w:id="388043179">
                                                  <w:marLeft w:val="0"/>
                                                  <w:marRight w:val="0"/>
                                                  <w:marTop w:val="0"/>
                                                  <w:marBottom w:val="0"/>
                                                  <w:divBdr>
                                                    <w:top w:val="none" w:sz="0" w:space="0" w:color="auto"/>
                                                    <w:left w:val="none" w:sz="0" w:space="0" w:color="auto"/>
                                                    <w:bottom w:val="none" w:sz="0" w:space="0" w:color="auto"/>
                                                    <w:right w:val="none" w:sz="0" w:space="0" w:color="auto"/>
                                                  </w:divBdr>
                                                  <w:divsChild>
                                                    <w:div w:id="1534461179">
                                                      <w:marLeft w:val="0"/>
                                                      <w:marRight w:val="0"/>
                                                      <w:marTop w:val="0"/>
                                                      <w:marBottom w:val="0"/>
                                                      <w:divBdr>
                                                        <w:top w:val="none" w:sz="0" w:space="0" w:color="auto"/>
                                                        <w:left w:val="none" w:sz="0" w:space="0" w:color="auto"/>
                                                        <w:bottom w:val="none" w:sz="0" w:space="0" w:color="auto"/>
                                                        <w:right w:val="none" w:sz="0" w:space="0" w:color="auto"/>
                                                      </w:divBdr>
                                                    </w:div>
                                                  </w:divsChild>
                                                </w:div>
                                                <w:div w:id="1810128966">
                                                  <w:marLeft w:val="0"/>
                                                  <w:marRight w:val="0"/>
                                                  <w:marTop w:val="0"/>
                                                  <w:marBottom w:val="0"/>
                                                  <w:divBdr>
                                                    <w:top w:val="none" w:sz="0" w:space="0" w:color="auto"/>
                                                    <w:left w:val="none" w:sz="0" w:space="0" w:color="auto"/>
                                                    <w:bottom w:val="none" w:sz="0" w:space="0" w:color="auto"/>
                                                    <w:right w:val="none" w:sz="0" w:space="0" w:color="auto"/>
                                                  </w:divBdr>
                                                  <w:divsChild>
                                                    <w:div w:id="117530947">
                                                      <w:marLeft w:val="0"/>
                                                      <w:marRight w:val="0"/>
                                                      <w:marTop w:val="0"/>
                                                      <w:marBottom w:val="0"/>
                                                      <w:divBdr>
                                                        <w:top w:val="none" w:sz="0" w:space="0" w:color="auto"/>
                                                        <w:left w:val="none" w:sz="0" w:space="0" w:color="auto"/>
                                                        <w:bottom w:val="none" w:sz="0" w:space="0" w:color="auto"/>
                                                        <w:right w:val="none" w:sz="0" w:space="0" w:color="auto"/>
                                                      </w:divBdr>
                                                      <w:divsChild>
                                                        <w:div w:id="153383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736055">
                                                  <w:marLeft w:val="0"/>
                                                  <w:marRight w:val="0"/>
                                                  <w:marTop w:val="0"/>
                                                  <w:marBottom w:val="0"/>
                                                  <w:divBdr>
                                                    <w:top w:val="none" w:sz="0" w:space="0" w:color="auto"/>
                                                    <w:left w:val="none" w:sz="0" w:space="0" w:color="auto"/>
                                                    <w:bottom w:val="none" w:sz="0" w:space="0" w:color="auto"/>
                                                    <w:right w:val="none" w:sz="0" w:space="0" w:color="auto"/>
                                                  </w:divBdr>
                                                  <w:divsChild>
                                                    <w:div w:id="1967200080">
                                                      <w:marLeft w:val="0"/>
                                                      <w:marRight w:val="0"/>
                                                      <w:marTop w:val="0"/>
                                                      <w:marBottom w:val="0"/>
                                                      <w:divBdr>
                                                        <w:top w:val="none" w:sz="0" w:space="0" w:color="auto"/>
                                                        <w:left w:val="none" w:sz="0" w:space="0" w:color="auto"/>
                                                        <w:bottom w:val="none" w:sz="0" w:space="0" w:color="auto"/>
                                                        <w:right w:val="none" w:sz="0" w:space="0" w:color="auto"/>
                                                      </w:divBdr>
                                                      <w:divsChild>
                                                        <w:div w:id="198589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044833">
                                                  <w:marLeft w:val="0"/>
                                                  <w:marRight w:val="0"/>
                                                  <w:marTop w:val="0"/>
                                                  <w:marBottom w:val="0"/>
                                                  <w:divBdr>
                                                    <w:top w:val="none" w:sz="0" w:space="0" w:color="auto"/>
                                                    <w:left w:val="none" w:sz="0" w:space="0" w:color="auto"/>
                                                    <w:bottom w:val="none" w:sz="0" w:space="0" w:color="auto"/>
                                                    <w:right w:val="none" w:sz="0" w:space="0" w:color="auto"/>
                                                  </w:divBdr>
                                                  <w:divsChild>
                                                    <w:div w:id="907618329">
                                                      <w:marLeft w:val="0"/>
                                                      <w:marRight w:val="0"/>
                                                      <w:marTop w:val="0"/>
                                                      <w:marBottom w:val="0"/>
                                                      <w:divBdr>
                                                        <w:top w:val="none" w:sz="0" w:space="0" w:color="auto"/>
                                                        <w:left w:val="none" w:sz="0" w:space="0" w:color="auto"/>
                                                        <w:bottom w:val="none" w:sz="0" w:space="0" w:color="auto"/>
                                                        <w:right w:val="none" w:sz="0" w:space="0" w:color="auto"/>
                                                      </w:divBdr>
                                                      <w:divsChild>
                                                        <w:div w:id="93343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80473370">
      <w:bodyDiv w:val="1"/>
      <w:marLeft w:val="0"/>
      <w:marRight w:val="0"/>
      <w:marTop w:val="0"/>
      <w:marBottom w:val="0"/>
      <w:divBdr>
        <w:top w:val="none" w:sz="0" w:space="0" w:color="auto"/>
        <w:left w:val="none" w:sz="0" w:space="0" w:color="auto"/>
        <w:bottom w:val="none" w:sz="0" w:space="0" w:color="auto"/>
        <w:right w:val="none" w:sz="0" w:space="0" w:color="auto"/>
      </w:divBdr>
      <w:divsChild>
        <w:div w:id="1190801760">
          <w:marLeft w:val="0"/>
          <w:marRight w:val="0"/>
          <w:marTop w:val="0"/>
          <w:marBottom w:val="0"/>
          <w:divBdr>
            <w:top w:val="none" w:sz="0" w:space="0" w:color="auto"/>
            <w:left w:val="none" w:sz="0" w:space="0" w:color="auto"/>
            <w:bottom w:val="none" w:sz="0" w:space="0" w:color="auto"/>
            <w:right w:val="none" w:sz="0" w:space="0" w:color="auto"/>
          </w:divBdr>
          <w:divsChild>
            <w:div w:id="2029788697">
              <w:marLeft w:val="0"/>
              <w:marRight w:val="0"/>
              <w:marTop w:val="0"/>
              <w:marBottom w:val="0"/>
              <w:divBdr>
                <w:top w:val="none" w:sz="0" w:space="0" w:color="auto"/>
                <w:left w:val="none" w:sz="0" w:space="0" w:color="auto"/>
                <w:bottom w:val="none" w:sz="0" w:space="0" w:color="auto"/>
                <w:right w:val="none" w:sz="0" w:space="0" w:color="auto"/>
              </w:divBdr>
              <w:divsChild>
                <w:div w:id="1254557299">
                  <w:marLeft w:val="0"/>
                  <w:marRight w:val="0"/>
                  <w:marTop w:val="0"/>
                  <w:marBottom w:val="0"/>
                  <w:divBdr>
                    <w:top w:val="none" w:sz="0" w:space="0" w:color="auto"/>
                    <w:left w:val="none" w:sz="0" w:space="0" w:color="auto"/>
                    <w:bottom w:val="none" w:sz="0" w:space="0" w:color="auto"/>
                    <w:right w:val="none" w:sz="0" w:space="0" w:color="auto"/>
                  </w:divBdr>
                  <w:divsChild>
                    <w:div w:id="644045162">
                      <w:marLeft w:val="0"/>
                      <w:marRight w:val="0"/>
                      <w:marTop w:val="0"/>
                      <w:marBottom w:val="0"/>
                      <w:divBdr>
                        <w:top w:val="none" w:sz="0" w:space="0" w:color="auto"/>
                        <w:left w:val="none" w:sz="0" w:space="0" w:color="auto"/>
                        <w:bottom w:val="none" w:sz="0" w:space="0" w:color="auto"/>
                        <w:right w:val="none" w:sz="0" w:space="0" w:color="auto"/>
                      </w:divBdr>
                      <w:divsChild>
                        <w:div w:id="490096733">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974987337">
                              <w:marLeft w:val="0"/>
                              <w:marRight w:val="0"/>
                              <w:marTop w:val="0"/>
                              <w:marBottom w:val="0"/>
                              <w:divBdr>
                                <w:top w:val="none" w:sz="0" w:space="0" w:color="auto"/>
                                <w:left w:val="none" w:sz="0" w:space="0" w:color="auto"/>
                                <w:bottom w:val="none" w:sz="0" w:space="0" w:color="auto"/>
                                <w:right w:val="none" w:sz="0" w:space="0" w:color="auto"/>
                              </w:divBdr>
                              <w:divsChild>
                                <w:div w:id="1162693662">
                                  <w:marLeft w:val="0"/>
                                  <w:marRight w:val="0"/>
                                  <w:marTop w:val="0"/>
                                  <w:marBottom w:val="0"/>
                                  <w:divBdr>
                                    <w:top w:val="none" w:sz="0" w:space="0" w:color="auto"/>
                                    <w:left w:val="none" w:sz="0" w:space="0" w:color="auto"/>
                                    <w:bottom w:val="none" w:sz="0" w:space="0" w:color="auto"/>
                                    <w:right w:val="none" w:sz="0" w:space="0" w:color="auto"/>
                                  </w:divBdr>
                                  <w:divsChild>
                                    <w:div w:id="1611204473">
                                      <w:marLeft w:val="0"/>
                                      <w:marRight w:val="0"/>
                                      <w:marTop w:val="0"/>
                                      <w:marBottom w:val="0"/>
                                      <w:divBdr>
                                        <w:top w:val="none" w:sz="0" w:space="0" w:color="auto"/>
                                        <w:left w:val="none" w:sz="0" w:space="0" w:color="auto"/>
                                        <w:bottom w:val="none" w:sz="0" w:space="0" w:color="auto"/>
                                        <w:right w:val="none" w:sz="0" w:space="0" w:color="auto"/>
                                      </w:divBdr>
                                      <w:divsChild>
                                        <w:div w:id="1359312723">
                                          <w:marLeft w:val="0"/>
                                          <w:marRight w:val="0"/>
                                          <w:marTop w:val="0"/>
                                          <w:marBottom w:val="0"/>
                                          <w:divBdr>
                                            <w:top w:val="none" w:sz="0" w:space="0" w:color="auto"/>
                                            <w:left w:val="none" w:sz="0" w:space="0" w:color="auto"/>
                                            <w:bottom w:val="none" w:sz="0" w:space="0" w:color="auto"/>
                                            <w:right w:val="none" w:sz="0" w:space="0" w:color="auto"/>
                                          </w:divBdr>
                                          <w:divsChild>
                                            <w:div w:id="2066176856">
                                              <w:marLeft w:val="0"/>
                                              <w:marRight w:val="0"/>
                                              <w:marTop w:val="0"/>
                                              <w:marBottom w:val="0"/>
                                              <w:divBdr>
                                                <w:top w:val="none" w:sz="0" w:space="0" w:color="auto"/>
                                                <w:left w:val="none" w:sz="0" w:space="0" w:color="auto"/>
                                                <w:bottom w:val="none" w:sz="0" w:space="0" w:color="auto"/>
                                                <w:right w:val="none" w:sz="0" w:space="0" w:color="auto"/>
                                              </w:divBdr>
                                              <w:divsChild>
                                                <w:div w:id="1866210943">
                                                  <w:marLeft w:val="0"/>
                                                  <w:marRight w:val="0"/>
                                                  <w:marTop w:val="0"/>
                                                  <w:marBottom w:val="0"/>
                                                  <w:divBdr>
                                                    <w:top w:val="none" w:sz="0" w:space="0" w:color="auto"/>
                                                    <w:left w:val="none" w:sz="0" w:space="0" w:color="auto"/>
                                                    <w:bottom w:val="none" w:sz="0" w:space="0" w:color="auto"/>
                                                    <w:right w:val="none" w:sz="0" w:space="0" w:color="auto"/>
                                                  </w:divBdr>
                                                </w:div>
                                              </w:divsChild>
                                            </w:div>
                                            <w:div w:id="489293767">
                                              <w:marLeft w:val="0"/>
                                              <w:marRight w:val="0"/>
                                              <w:marTop w:val="0"/>
                                              <w:marBottom w:val="0"/>
                                              <w:divBdr>
                                                <w:top w:val="none" w:sz="0" w:space="0" w:color="auto"/>
                                                <w:left w:val="none" w:sz="0" w:space="0" w:color="auto"/>
                                                <w:bottom w:val="none" w:sz="0" w:space="0" w:color="auto"/>
                                                <w:right w:val="none" w:sz="0" w:space="0" w:color="auto"/>
                                              </w:divBdr>
                                              <w:divsChild>
                                                <w:div w:id="319888383">
                                                  <w:marLeft w:val="0"/>
                                                  <w:marRight w:val="0"/>
                                                  <w:marTop w:val="0"/>
                                                  <w:marBottom w:val="0"/>
                                                  <w:divBdr>
                                                    <w:top w:val="none" w:sz="0" w:space="0" w:color="auto"/>
                                                    <w:left w:val="none" w:sz="0" w:space="0" w:color="auto"/>
                                                    <w:bottom w:val="none" w:sz="0" w:space="0" w:color="auto"/>
                                                    <w:right w:val="none" w:sz="0" w:space="0" w:color="auto"/>
                                                  </w:divBdr>
                                                  <w:divsChild>
                                                    <w:div w:id="1860271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178120">
                                              <w:marLeft w:val="0"/>
                                              <w:marRight w:val="0"/>
                                              <w:marTop w:val="0"/>
                                              <w:marBottom w:val="0"/>
                                              <w:divBdr>
                                                <w:top w:val="none" w:sz="0" w:space="0" w:color="auto"/>
                                                <w:left w:val="none" w:sz="0" w:space="0" w:color="auto"/>
                                                <w:bottom w:val="none" w:sz="0" w:space="0" w:color="auto"/>
                                                <w:right w:val="none" w:sz="0" w:space="0" w:color="auto"/>
                                              </w:divBdr>
                                              <w:divsChild>
                                                <w:div w:id="2115319009">
                                                  <w:marLeft w:val="0"/>
                                                  <w:marRight w:val="0"/>
                                                  <w:marTop w:val="0"/>
                                                  <w:marBottom w:val="0"/>
                                                  <w:divBdr>
                                                    <w:top w:val="none" w:sz="0" w:space="0" w:color="auto"/>
                                                    <w:left w:val="none" w:sz="0" w:space="0" w:color="auto"/>
                                                    <w:bottom w:val="none" w:sz="0" w:space="0" w:color="auto"/>
                                                    <w:right w:val="none" w:sz="0" w:space="0" w:color="auto"/>
                                                  </w:divBdr>
                                                  <w:divsChild>
                                                    <w:div w:id="200913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78327022">
      <w:bodyDiv w:val="1"/>
      <w:marLeft w:val="0"/>
      <w:marRight w:val="0"/>
      <w:marTop w:val="0"/>
      <w:marBottom w:val="0"/>
      <w:divBdr>
        <w:top w:val="none" w:sz="0" w:space="0" w:color="auto"/>
        <w:left w:val="none" w:sz="0" w:space="0" w:color="auto"/>
        <w:bottom w:val="none" w:sz="0" w:space="0" w:color="auto"/>
        <w:right w:val="none" w:sz="0" w:space="0" w:color="auto"/>
      </w:divBdr>
      <w:divsChild>
        <w:div w:id="17061005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1131937">
      <w:bodyDiv w:val="1"/>
      <w:marLeft w:val="0"/>
      <w:marRight w:val="0"/>
      <w:marTop w:val="0"/>
      <w:marBottom w:val="0"/>
      <w:divBdr>
        <w:top w:val="none" w:sz="0" w:space="0" w:color="auto"/>
        <w:left w:val="none" w:sz="0" w:space="0" w:color="auto"/>
        <w:bottom w:val="none" w:sz="0" w:space="0" w:color="auto"/>
        <w:right w:val="none" w:sz="0" w:space="0" w:color="auto"/>
      </w:divBdr>
    </w:div>
    <w:div w:id="1827743779">
      <w:bodyDiv w:val="1"/>
      <w:marLeft w:val="0"/>
      <w:marRight w:val="0"/>
      <w:marTop w:val="0"/>
      <w:marBottom w:val="0"/>
      <w:divBdr>
        <w:top w:val="none" w:sz="0" w:space="0" w:color="auto"/>
        <w:left w:val="none" w:sz="0" w:space="0" w:color="auto"/>
        <w:bottom w:val="none" w:sz="0" w:space="0" w:color="auto"/>
        <w:right w:val="none" w:sz="0" w:space="0" w:color="auto"/>
      </w:divBdr>
      <w:divsChild>
        <w:div w:id="671493716">
          <w:marLeft w:val="0"/>
          <w:marRight w:val="0"/>
          <w:marTop w:val="0"/>
          <w:marBottom w:val="0"/>
          <w:divBdr>
            <w:top w:val="none" w:sz="0" w:space="0" w:color="auto"/>
            <w:left w:val="none" w:sz="0" w:space="0" w:color="auto"/>
            <w:bottom w:val="none" w:sz="0" w:space="0" w:color="auto"/>
            <w:right w:val="none" w:sz="0" w:space="0" w:color="auto"/>
          </w:divBdr>
          <w:divsChild>
            <w:div w:id="320621828">
              <w:marLeft w:val="0"/>
              <w:marRight w:val="0"/>
              <w:marTop w:val="0"/>
              <w:marBottom w:val="0"/>
              <w:divBdr>
                <w:top w:val="none" w:sz="0" w:space="0" w:color="auto"/>
                <w:left w:val="none" w:sz="0" w:space="0" w:color="auto"/>
                <w:bottom w:val="none" w:sz="0" w:space="0" w:color="auto"/>
                <w:right w:val="none" w:sz="0" w:space="0" w:color="auto"/>
              </w:divBdr>
              <w:divsChild>
                <w:div w:id="368143485">
                  <w:marLeft w:val="0"/>
                  <w:marRight w:val="0"/>
                  <w:marTop w:val="0"/>
                  <w:marBottom w:val="0"/>
                  <w:divBdr>
                    <w:top w:val="none" w:sz="0" w:space="0" w:color="auto"/>
                    <w:left w:val="none" w:sz="0" w:space="0" w:color="auto"/>
                    <w:bottom w:val="none" w:sz="0" w:space="0" w:color="auto"/>
                    <w:right w:val="none" w:sz="0" w:space="0" w:color="auto"/>
                  </w:divBdr>
                  <w:divsChild>
                    <w:div w:id="1740904433">
                      <w:marLeft w:val="0"/>
                      <w:marRight w:val="0"/>
                      <w:marTop w:val="0"/>
                      <w:marBottom w:val="0"/>
                      <w:divBdr>
                        <w:top w:val="none" w:sz="0" w:space="0" w:color="auto"/>
                        <w:left w:val="none" w:sz="0" w:space="0" w:color="auto"/>
                        <w:bottom w:val="none" w:sz="0" w:space="0" w:color="auto"/>
                        <w:right w:val="none" w:sz="0" w:space="0" w:color="auto"/>
                      </w:divBdr>
                      <w:divsChild>
                        <w:div w:id="523983260">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62683258">
                              <w:marLeft w:val="0"/>
                              <w:marRight w:val="0"/>
                              <w:marTop w:val="0"/>
                              <w:marBottom w:val="0"/>
                              <w:divBdr>
                                <w:top w:val="none" w:sz="0" w:space="0" w:color="auto"/>
                                <w:left w:val="none" w:sz="0" w:space="0" w:color="auto"/>
                                <w:bottom w:val="none" w:sz="0" w:space="0" w:color="auto"/>
                                <w:right w:val="none" w:sz="0" w:space="0" w:color="auto"/>
                              </w:divBdr>
                              <w:divsChild>
                                <w:div w:id="1267931258">
                                  <w:marLeft w:val="0"/>
                                  <w:marRight w:val="0"/>
                                  <w:marTop w:val="0"/>
                                  <w:marBottom w:val="0"/>
                                  <w:divBdr>
                                    <w:top w:val="none" w:sz="0" w:space="0" w:color="auto"/>
                                    <w:left w:val="none" w:sz="0" w:space="0" w:color="auto"/>
                                    <w:bottom w:val="none" w:sz="0" w:space="0" w:color="auto"/>
                                    <w:right w:val="none" w:sz="0" w:space="0" w:color="auto"/>
                                  </w:divBdr>
                                  <w:divsChild>
                                    <w:div w:id="1975788748">
                                      <w:marLeft w:val="0"/>
                                      <w:marRight w:val="0"/>
                                      <w:marTop w:val="0"/>
                                      <w:marBottom w:val="0"/>
                                      <w:divBdr>
                                        <w:top w:val="none" w:sz="0" w:space="0" w:color="auto"/>
                                        <w:left w:val="none" w:sz="0" w:space="0" w:color="auto"/>
                                        <w:bottom w:val="none" w:sz="0" w:space="0" w:color="auto"/>
                                        <w:right w:val="none" w:sz="0" w:space="0" w:color="auto"/>
                                      </w:divBdr>
                                      <w:divsChild>
                                        <w:div w:id="92241307">
                                          <w:marLeft w:val="0"/>
                                          <w:marRight w:val="0"/>
                                          <w:marTop w:val="0"/>
                                          <w:marBottom w:val="0"/>
                                          <w:divBdr>
                                            <w:top w:val="none" w:sz="0" w:space="0" w:color="auto"/>
                                            <w:left w:val="none" w:sz="0" w:space="0" w:color="auto"/>
                                            <w:bottom w:val="none" w:sz="0" w:space="0" w:color="auto"/>
                                            <w:right w:val="none" w:sz="0" w:space="0" w:color="auto"/>
                                          </w:divBdr>
                                          <w:divsChild>
                                            <w:div w:id="858355660">
                                              <w:marLeft w:val="0"/>
                                              <w:marRight w:val="0"/>
                                              <w:marTop w:val="0"/>
                                              <w:marBottom w:val="0"/>
                                              <w:divBdr>
                                                <w:top w:val="none" w:sz="0" w:space="0" w:color="auto"/>
                                                <w:left w:val="none" w:sz="0" w:space="0" w:color="auto"/>
                                                <w:bottom w:val="none" w:sz="0" w:space="0" w:color="auto"/>
                                                <w:right w:val="none" w:sz="0" w:space="0" w:color="auto"/>
                                              </w:divBdr>
                                              <w:divsChild>
                                                <w:div w:id="68632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46637">
                                          <w:marLeft w:val="0"/>
                                          <w:marRight w:val="0"/>
                                          <w:marTop w:val="0"/>
                                          <w:marBottom w:val="0"/>
                                          <w:divBdr>
                                            <w:top w:val="none" w:sz="0" w:space="0" w:color="auto"/>
                                            <w:left w:val="none" w:sz="0" w:space="0" w:color="auto"/>
                                            <w:bottom w:val="none" w:sz="0" w:space="0" w:color="auto"/>
                                            <w:right w:val="none" w:sz="0" w:space="0" w:color="auto"/>
                                          </w:divBdr>
                                          <w:divsChild>
                                            <w:div w:id="2047948777">
                                              <w:marLeft w:val="0"/>
                                              <w:marRight w:val="0"/>
                                              <w:marTop w:val="0"/>
                                              <w:marBottom w:val="0"/>
                                              <w:divBdr>
                                                <w:top w:val="none" w:sz="0" w:space="0" w:color="auto"/>
                                                <w:left w:val="none" w:sz="0" w:space="0" w:color="auto"/>
                                                <w:bottom w:val="none" w:sz="0" w:space="0" w:color="auto"/>
                                                <w:right w:val="none" w:sz="0" w:space="0" w:color="auto"/>
                                              </w:divBdr>
                                              <w:divsChild>
                                                <w:div w:id="158629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700526">
                                          <w:marLeft w:val="0"/>
                                          <w:marRight w:val="0"/>
                                          <w:marTop w:val="0"/>
                                          <w:marBottom w:val="0"/>
                                          <w:divBdr>
                                            <w:top w:val="none" w:sz="0" w:space="0" w:color="auto"/>
                                            <w:left w:val="none" w:sz="0" w:space="0" w:color="auto"/>
                                            <w:bottom w:val="none" w:sz="0" w:space="0" w:color="auto"/>
                                            <w:right w:val="none" w:sz="0" w:space="0" w:color="auto"/>
                                          </w:divBdr>
                                          <w:divsChild>
                                            <w:div w:id="1207914428">
                                              <w:marLeft w:val="0"/>
                                              <w:marRight w:val="0"/>
                                              <w:marTop w:val="0"/>
                                              <w:marBottom w:val="0"/>
                                              <w:divBdr>
                                                <w:top w:val="none" w:sz="0" w:space="0" w:color="auto"/>
                                                <w:left w:val="none" w:sz="0" w:space="0" w:color="auto"/>
                                                <w:bottom w:val="none" w:sz="0" w:space="0" w:color="auto"/>
                                                <w:right w:val="none" w:sz="0" w:space="0" w:color="auto"/>
                                              </w:divBdr>
                                              <w:divsChild>
                                                <w:div w:id="168096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322000">
                                          <w:marLeft w:val="0"/>
                                          <w:marRight w:val="0"/>
                                          <w:marTop w:val="0"/>
                                          <w:marBottom w:val="0"/>
                                          <w:divBdr>
                                            <w:top w:val="none" w:sz="0" w:space="0" w:color="auto"/>
                                            <w:left w:val="none" w:sz="0" w:space="0" w:color="auto"/>
                                            <w:bottom w:val="none" w:sz="0" w:space="0" w:color="auto"/>
                                            <w:right w:val="none" w:sz="0" w:space="0" w:color="auto"/>
                                          </w:divBdr>
                                          <w:divsChild>
                                            <w:div w:id="648679374">
                                              <w:marLeft w:val="0"/>
                                              <w:marRight w:val="0"/>
                                              <w:marTop w:val="0"/>
                                              <w:marBottom w:val="0"/>
                                              <w:divBdr>
                                                <w:top w:val="none" w:sz="0" w:space="0" w:color="auto"/>
                                                <w:left w:val="none" w:sz="0" w:space="0" w:color="auto"/>
                                                <w:bottom w:val="none" w:sz="0" w:space="0" w:color="auto"/>
                                                <w:right w:val="none" w:sz="0" w:space="0" w:color="auto"/>
                                              </w:divBdr>
                                              <w:divsChild>
                                                <w:div w:id="191963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884809">
                                          <w:marLeft w:val="0"/>
                                          <w:marRight w:val="0"/>
                                          <w:marTop w:val="0"/>
                                          <w:marBottom w:val="0"/>
                                          <w:divBdr>
                                            <w:top w:val="none" w:sz="0" w:space="0" w:color="auto"/>
                                            <w:left w:val="none" w:sz="0" w:space="0" w:color="auto"/>
                                            <w:bottom w:val="none" w:sz="0" w:space="0" w:color="auto"/>
                                            <w:right w:val="none" w:sz="0" w:space="0" w:color="auto"/>
                                          </w:divBdr>
                                          <w:divsChild>
                                            <w:div w:id="1276983334">
                                              <w:marLeft w:val="0"/>
                                              <w:marRight w:val="0"/>
                                              <w:marTop w:val="0"/>
                                              <w:marBottom w:val="0"/>
                                              <w:divBdr>
                                                <w:top w:val="none" w:sz="0" w:space="0" w:color="auto"/>
                                                <w:left w:val="none" w:sz="0" w:space="0" w:color="auto"/>
                                                <w:bottom w:val="none" w:sz="0" w:space="0" w:color="auto"/>
                                                <w:right w:val="none" w:sz="0" w:space="0" w:color="auto"/>
                                              </w:divBdr>
                                              <w:divsChild>
                                                <w:div w:id="167387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495547">
                                          <w:marLeft w:val="0"/>
                                          <w:marRight w:val="0"/>
                                          <w:marTop w:val="0"/>
                                          <w:marBottom w:val="0"/>
                                          <w:divBdr>
                                            <w:top w:val="none" w:sz="0" w:space="0" w:color="auto"/>
                                            <w:left w:val="none" w:sz="0" w:space="0" w:color="auto"/>
                                            <w:bottom w:val="none" w:sz="0" w:space="0" w:color="auto"/>
                                            <w:right w:val="none" w:sz="0" w:space="0" w:color="auto"/>
                                          </w:divBdr>
                                          <w:divsChild>
                                            <w:div w:id="1905867900">
                                              <w:marLeft w:val="0"/>
                                              <w:marRight w:val="0"/>
                                              <w:marTop w:val="0"/>
                                              <w:marBottom w:val="0"/>
                                              <w:divBdr>
                                                <w:top w:val="none" w:sz="0" w:space="0" w:color="auto"/>
                                                <w:left w:val="none" w:sz="0" w:space="0" w:color="auto"/>
                                                <w:bottom w:val="none" w:sz="0" w:space="0" w:color="auto"/>
                                                <w:right w:val="none" w:sz="0" w:space="0" w:color="auto"/>
                                              </w:divBdr>
                                              <w:divsChild>
                                                <w:div w:id="150470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530550">
                                          <w:marLeft w:val="0"/>
                                          <w:marRight w:val="0"/>
                                          <w:marTop w:val="0"/>
                                          <w:marBottom w:val="0"/>
                                          <w:divBdr>
                                            <w:top w:val="none" w:sz="0" w:space="0" w:color="auto"/>
                                            <w:left w:val="none" w:sz="0" w:space="0" w:color="auto"/>
                                            <w:bottom w:val="none" w:sz="0" w:space="0" w:color="auto"/>
                                            <w:right w:val="none" w:sz="0" w:space="0" w:color="auto"/>
                                          </w:divBdr>
                                          <w:divsChild>
                                            <w:div w:id="1132286332">
                                              <w:marLeft w:val="0"/>
                                              <w:marRight w:val="0"/>
                                              <w:marTop w:val="0"/>
                                              <w:marBottom w:val="0"/>
                                              <w:divBdr>
                                                <w:top w:val="none" w:sz="0" w:space="0" w:color="auto"/>
                                                <w:left w:val="none" w:sz="0" w:space="0" w:color="auto"/>
                                                <w:bottom w:val="none" w:sz="0" w:space="0" w:color="auto"/>
                                                <w:right w:val="none" w:sz="0" w:space="0" w:color="auto"/>
                                              </w:divBdr>
                                              <w:divsChild>
                                                <w:div w:id="107906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122577">
                                          <w:marLeft w:val="0"/>
                                          <w:marRight w:val="0"/>
                                          <w:marTop w:val="0"/>
                                          <w:marBottom w:val="0"/>
                                          <w:divBdr>
                                            <w:top w:val="none" w:sz="0" w:space="0" w:color="auto"/>
                                            <w:left w:val="none" w:sz="0" w:space="0" w:color="auto"/>
                                            <w:bottom w:val="none" w:sz="0" w:space="0" w:color="auto"/>
                                            <w:right w:val="none" w:sz="0" w:space="0" w:color="auto"/>
                                          </w:divBdr>
                                          <w:divsChild>
                                            <w:div w:id="1409616362">
                                              <w:marLeft w:val="0"/>
                                              <w:marRight w:val="0"/>
                                              <w:marTop w:val="0"/>
                                              <w:marBottom w:val="0"/>
                                              <w:divBdr>
                                                <w:top w:val="none" w:sz="0" w:space="0" w:color="auto"/>
                                                <w:left w:val="none" w:sz="0" w:space="0" w:color="auto"/>
                                                <w:bottom w:val="none" w:sz="0" w:space="0" w:color="auto"/>
                                                <w:right w:val="none" w:sz="0" w:space="0" w:color="auto"/>
                                              </w:divBdr>
                                              <w:divsChild>
                                                <w:div w:id="126950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7995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27E90B-5D8C-46A4-9EEA-8956514CD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9175</Words>
  <Characters>52301</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61354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2016-10-12T18:58:00Z</dcterms:created>
  <dcterms:modified xsi:type="dcterms:W3CDTF">2016-10-13T13:08:00Z</dcterms:modified>
</cp:coreProperties>
</file>