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9B137E" w:rsidRPr="004C45E6" w:rsidRDefault="004C45E6" w:rsidP="004C45E6">
      <w:pPr>
        <w:suppressAutoHyphens/>
        <w:jc w:val="center"/>
        <w:rPr>
          <w:rFonts w:ascii="Arial" w:hAnsi="Arial" w:cs="Arial"/>
          <w:sz w:val="22"/>
          <w:szCs w:val="24"/>
        </w:rPr>
      </w:pPr>
      <w:r w:rsidRPr="004C45E6">
        <w:rPr>
          <w:rFonts w:ascii="Arial" w:hAnsi="Arial" w:cs="Arial"/>
          <w:sz w:val="22"/>
          <w:szCs w:val="24"/>
        </w:rPr>
        <w:t>October 17, 2016</w:t>
      </w:r>
    </w:p>
    <w:p w:rsidR="001133F8" w:rsidRDefault="001133F8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4C45E6" w:rsidRDefault="004C45E6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4C45E6" w:rsidRDefault="004C45E6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4C45E6" w:rsidRDefault="004C45E6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FD4A42" w:rsidRPr="005457D4" w:rsidRDefault="00FD4A42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5457D4">
        <w:rPr>
          <w:rFonts w:ascii="Arial" w:hAnsi="Arial" w:cs="Arial"/>
          <w:b/>
          <w:sz w:val="22"/>
          <w:szCs w:val="22"/>
        </w:rPr>
        <w:t>RICHARD G WEBSTER JR</w:t>
      </w:r>
    </w:p>
    <w:p w:rsidR="00853315" w:rsidRPr="005457D4" w:rsidRDefault="00FD4A42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5457D4">
        <w:rPr>
          <w:rFonts w:ascii="Arial" w:hAnsi="Arial" w:cs="Arial"/>
          <w:b/>
          <w:sz w:val="22"/>
          <w:szCs w:val="22"/>
        </w:rPr>
        <w:t>VICE PRESIDENT REGULATORY POLICY AND STRATEGY</w:t>
      </w:r>
    </w:p>
    <w:p w:rsidR="0067519A" w:rsidRPr="005457D4" w:rsidRDefault="00FD4A42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5457D4">
        <w:rPr>
          <w:rFonts w:ascii="Arial" w:hAnsi="Arial" w:cs="Arial"/>
          <w:b/>
          <w:sz w:val="22"/>
          <w:szCs w:val="22"/>
        </w:rPr>
        <w:t>PECO ENERGY COMPANY</w:t>
      </w:r>
    </w:p>
    <w:p w:rsidR="0067519A" w:rsidRPr="005457D4" w:rsidRDefault="00FD4A42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5457D4">
        <w:rPr>
          <w:rFonts w:ascii="Arial" w:hAnsi="Arial" w:cs="Arial"/>
          <w:b/>
          <w:sz w:val="22"/>
          <w:szCs w:val="22"/>
        </w:rPr>
        <w:t>2301 MARKET STREET S15</w:t>
      </w:r>
    </w:p>
    <w:p w:rsidR="008704FD" w:rsidRPr="005457D4" w:rsidRDefault="00FD4A42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5457D4">
        <w:rPr>
          <w:rFonts w:ascii="Arial" w:hAnsi="Arial" w:cs="Arial"/>
          <w:b/>
          <w:sz w:val="22"/>
          <w:szCs w:val="22"/>
        </w:rPr>
        <w:t>PHILADELPHIA PA 19103</w:t>
      </w:r>
    </w:p>
    <w:p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</w:p>
    <w:p w:rsidR="004C45E6" w:rsidRDefault="004C45E6" w:rsidP="0067519A">
      <w:pPr>
        <w:ind w:left="720" w:hanging="720"/>
        <w:rPr>
          <w:rFonts w:ascii="Arial" w:hAnsi="Arial" w:cs="Arial"/>
          <w:b/>
          <w:sz w:val="24"/>
          <w:szCs w:val="24"/>
        </w:rPr>
      </w:pPr>
    </w:p>
    <w:p w:rsidR="0067519A" w:rsidRPr="00711431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>RE:</w:t>
      </w:r>
      <w:r w:rsidRPr="00711431">
        <w:rPr>
          <w:rFonts w:ascii="Arial" w:hAnsi="Arial" w:cs="Arial"/>
          <w:sz w:val="24"/>
          <w:szCs w:val="24"/>
        </w:rPr>
        <w:tab/>
      </w:r>
      <w:r w:rsidR="001133F8" w:rsidRPr="001133F8">
        <w:rPr>
          <w:rFonts w:ascii="Arial" w:hAnsi="Arial" w:cs="Arial"/>
          <w:b/>
          <w:sz w:val="24"/>
          <w:szCs w:val="24"/>
        </w:rPr>
        <w:t>Smart Meter</w:t>
      </w:r>
      <w:r w:rsidR="008704FD" w:rsidRPr="00711431">
        <w:rPr>
          <w:rFonts w:ascii="Arial" w:hAnsi="Arial" w:cs="Arial"/>
          <w:b/>
          <w:sz w:val="24"/>
          <w:szCs w:val="24"/>
        </w:rPr>
        <w:t xml:space="preserve"> </w:t>
      </w:r>
      <w:r w:rsidR="00342E68">
        <w:rPr>
          <w:rFonts w:ascii="Arial" w:hAnsi="Arial" w:cs="Arial"/>
          <w:b/>
          <w:sz w:val="24"/>
          <w:szCs w:val="24"/>
        </w:rPr>
        <w:t>Cost Recovery Surcharge</w:t>
      </w:r>
      <w:r w:rsidRPr="00711431">
        <w:rPr>
          <w:rFonts w:ascii="Arial" w:hAnsi="Arial" w:cs="Arial"/>
          <w:b/>
          <w:sz w:val="24"/>
          <w:szCs w:val="24"/>
        </w:rPr>
        <w:t xml:space="preserve"> </w:t>
      </w:r>
    </w:p>
    <w:p w:rsidR="00724EEB" w:rsidRPr="00711431" w:rsidRDefault="008F62B1" w:rsidP="000C3440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ab/>
      </w:r>
      <w:r w:rsidRPr="00711431">
        <w:rPr>
          <w:rFonts w:ascii="Arial" w:hAnsi="Arial" w:cs="Arial"/>
          <w:b/>
          <w:spacing w:val="-2"/>
          <w:sz w:val="24"/>
          <w:szCs w:val="24"/>
        </w:rPr>
        <w:t>Section 1307(e) Reconciliation Statement</w:t>
      </w:r>
      <w:r w:rsidR="000C3440" w:rsidRPr="00711431">
        <w:rPr>
          <w:rFonts w:ascii="Arial" w:hAnsi="Arial" w:cs="Arial"/>
          <w:b/>
          <w:spacing w:val="-2"/>
          <w:sz w:val="24"/>
          <w:szCs w:val="24"/>
        </w:rPr>
        <w:t xml:space="preserve"> </w:t>
      </w:r>
    </w:p>
    <w:p w:rsidR="008F62B1" w:rsidRPr="00711431" w:rsidRDefault="00724EEB" w:rsidP="00724EEB">
      <w:pPr>
        <w:ind w:left="720"/>
        <w:rPr>
          <w:rFonts w:ascii="Arial" w:hAnsi="Arial" w:cs="Arial"/>
          <w:b/>
          <w:sz w:val="24"/>
          <w:szCs w:val="24"/>
        </w:rPr>
      </w:pPr>
      <w:r w:rsidRPr="00711431">
        <w:rPr>
          <w:rFonts w:ascii="Arial" w:hAnsi="Arial" w:cs="Arial"/>
          <w:b/>
          <w:spacing w:val="-2"/>
          <w:sz w:val="24"/>
          <w:szCs w:val="24"/>
        </w:rPr>
        <w:t>F</w:t>
      </w:r>
      <w:r w:rsidR="008F62B1" w:rsidRPr="00711431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1A60B0">
        <w:rPr>
          <w:rFonts w:ascii="Arial" w:hAnsi="Arial" w:cs="Arial"/>
          <w:b/>
          <w:spacing w:val="-2"/>
          <w:sz w:val="24"/>
          <w:szCs w:val="24"/>
        </w:rPr>
        <w:t>six</w:t>
      </w:r>
      <w:r w:rsidR="008F62B1" w:rsidRPr="0071143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711431">
        <w:rPr>
          <w:rFonts w:ascii="Arial" w:hAnsi="Arial" w:cs="Arial"/>
          <w:b/>
          <w:sz w:val="24"/>
          <w:szCs w:val="24"/>
        </w:rPr>
        <w:t>months ended</w:t>
      </w:r>
      <w:r w:rsidR="002411AE" w:rsidRPr="00711431">
        <w:rPr>
          <w:rFonts w:ascii="Arial" w:hAnsi="Arial" w:cs="Arial"/>
          <w:b/>
          <w:sz w:val="24"/>
          <w:szCs w:val="24"/>
        </w:rPr>
        <w:t xml:space="preserve"> </w:t>
      </w:r>
      <w:r w:rsidR="009D2E71">
        <w:rPr>
          <w:rFonts w:ascii="Arial" w:hAnsi="Arial" w:cs="Arial"/>
          <w:b/>
          <w:sz w:val="24"/>
          <w:szCs w:val="24"/>
        </w:rPr>
        <w:t>December</w:t>
      </w:r>
      <w:r w:rsidR="008704FD" w:rsidRPr="00711431">
        <w:rPr>
          <w:rFonts w:ascii="Arial" w:hAnsi="Arial" w:cs="Arial"/>
          <w:b/>
          <w:sz w:val="24"/>
          <w:szCs w:val="24"/>
        </w:rPr>
        <w:t xml:space="preserve"> 3</w:t>
      </w:r>
      <w:r w:rsidR="009D2E71">
        <w:rPr>
          <w:rFonts w:ascii="Arial" w:hAnsi="Arial" w:cs="Arial"/>
          <w:b/>
          <w:sz w:val="24"/>
          <w:szCs w:val="24"/>
        </w:rPr>
        <w:t>1</w:t>
      </w:r>
      <w:r w:rsidR="008704FD" w:rsidRPr="00711431">
        <w:rPr>
          <w:rFonts w:ascii="Arial" w:hAnsi="Arial" w:cs="Arial"/>
          <w:b/>
          <w:sz w:val="24"/>
          <w:szCs w:val="24"/>
        </w:rPr>
        <w:t>, 201</w:t>
      </w:r>
      <w:r w:rsidR="00AD4FD1">
        <w:rPr>
          <w:rFonts w:ascii="Arial" w:hAnsi="Arial" w:cs="Arial"/>
          <w:b/>
          <w:sz w:val="24"/>
          <w:szCs w:val="24"/>
        </w:rPr>
        <w:t>5</w:t>
      </w:r>
      <w:r w:rsidR="008F62B1" w:rsidRPr="00711431">
        <w:rPr>
          <w:rFonts w:ascii="Arial" w:hAnsi="Arial" w:cs="Arial"/>
          <w:b/>
          <w:sz w:val="24"/>
          <w:szCs w:val="24"/>
        </w:rPr>
        <w:tab/>
      </w:r>
      <w:r w:rsidR="008F62B1" w:rsidRPr="00711431">
        <w:rPr>
          <w:rFonts w:ascii="Arial" w:hAnsi="Arial" w:cs="Arial"/>
          <w:b/>
          <w:sz w:val="24"/>
          <w:szCs w:val="24"/>
        </w:rPr>
        <w:tab/>
      </w:r>
    </w:p>
    <w:p w:rsidR="0067519A" w:rsidRPr="00711431" w:rsidRDefault="008704FD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>M-201</w:t>
      </w:r>
      <w:r w:rsidR="009D2E71">
        <w:rPr>
          <w:rFonts w:ascii="Arial" w:hAnsi="Arial" w:cs="Arial"/>
          <w:b/>
          <w:sz w:val="24"/>
          <w:szCs w:val="24"/>
        </w:rPr>
        <w:t>6-2566494</w:t>
      </w:r>
      <w:r w:rsidR="009D2E71">
        <w:rPr>
          <w:rFonts w:ascii="Arial" w:hAnsi="Arial" w:cs="Arial"/>
          <w:b/>
          <w:sz w:val="24"/>
          <w:szCs w:val="24"/>
        </w:rPr>
        <w:tab/>
      </w:r>
    </w:p>
    <w:p w:rsidR="0067519A" w:rsidRPr="00711431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sz w:val="24"/>
          <w:szCs w:val="24"/>
        </w:rPr>
        <w:t xml:space="preserve">Dear </w:t>
      </w:r>
      <w:r w:rsidR="00724EEB" w:rsidRPr="00711431">
        <w:rPr>
          <w:rFonts w:ascii="Arial" w:hAnsi="Arial" w:cs="Arial"/>
          <w:sz w:val="24"/>
          <w:szCs w:val="24"/>
        </w:rPr>
        <w:t>M</w:t>
      </w:r>
      <w:r w:rsidR="001133F8">
        <w:rPr>
          <w:rFonts w:ascii="Arial" w:hAnsi="Arial" w:cs="Arial"/>
          <w:sz w:val="24"/>
          <w:szCs w:val="24"/>
        </w:rPr>
        <w:t>r</w:t>
      </w:r>
      <w:r w:rsidR="00724EEB" w:rsidRPr="00711431">
        <w:rPr>
          <w:rFonts w:ascii="Arial" w:hAnsi="Arial" w:cs="Arial"/>
          <w:sz w:val="24"/>
          <w:szCs w:val="24"/>
        </w:rPr>
        <w:t>.</w:t>
      </w:r>
      <w:r w:rsidR="008704FD" w:rsidRPr="00711431">
        <w:rPr>
          <w:rFonts w:ascii="Arial" w:hAnsi="Arial" w:cs="Arial"/>
          <w:sz w:val="24"/>
          <w:szCs w:val="24"/>
        </w:rPr>
        <w:t xml:space="preserve"> </w:t>
      </w:r>
      <w:r w:rsidR="00FD4A42">
        <w:rPr>
          <w:rFonts w:ascii="Arial" w:hAnsi="Arial" w:cs="Arial"/>
          <w:sz w:val="24"/>
          <w:szCs w:val="24"/>
        </w:rPr>
        <w:t>Webster</w:t>
      </w:r>
      <w:r w:rsidRPr="00711431">
        <w:rPr>
          <w:rFonts w:ascii="Arial" w:hAnsi="Arial" w:cs="Arial"/>
          <w:sz w:val="24"/>
          <w:szCs w:val="24"/>
        </w:rPr>
        <w:t>: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711431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FD4A42">
        <w:rPr>
          <w:rFonts w:ascii="Arial" w:hAnsi="Arial" w:cs="Arial"/>
          <w:spacing w:val="-2"/>
          <w:sz w:val="24"/>
          <w:szCs w:val="24"/>
        </w:rPr>
        <w:t>PECO Energy Company</w:t>
      </w:r>
      <w:r w:rsidR="00711431" w:rsidRPr="00711431">
        <w:rPr>
          <w:rFonts w:ascii="Arial" w:hAnsi="Arial" w:cs="Arial"/>
          <w:spacing w:val="-2"/>
          <w:sz w:val="24"/>
          <w:szCs w:val="24"/>
        </w:rPr>
        <w:t>’s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="001133F8">
        <w:rPr>
          <w:rFonts w:ascii="Arial" w:hAnsi="Arial" w:cs="Arial"/>
          <w:spacing w:val="-2"/>
          <w:sz w:val="24"/>
          <w:szCs w:val="24"/>
        </w:rPr>
        <w:t>Smart Meter</w:t>
      </w:r>
      <w:r w:rsidR="008704FD"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="000C3AFF">
        <w:rPr>
          <w:rFonts w:ascii="Arial" w:hAnsi="Arial" w:cs="Arial"/>
          <w:spacing w:val="-2"/>
          <w:sz w:val="24"/>
          <w:szCs w:val="24"/>
        </w:rPr>
        <w:t xml:space="preserve">Cost Recovery Surcharge </w:t>
      </w:r>
      <w:r w:rsidR="00724EEB" w:rsidRPr="00711431">
        <w:rPr>
          <w:rFonts w:ascii="Arial" w:hAnsi="Arial" w:cs="Arial"/>
          <w:spacing w:val="-2"/>
          <w:sz w:val="24"/>
          <w:szCs w:val="24"/>
        </w:rPr>
        <w:t>(</w:t>
      </w:r>
      <w:r w:rsidR="001133F8">
        <w:rPr>
          <w:rFonts w:ascii="Arial" w:hAnsi="Arial" w:cs="Arial"/>
          <w:spacing w:val="-2"/>
          <w:sz w:val="24"/>
          <w:szCs w:val="24"/>
        </w:rPr>
        <w:t>SM</w:t>
      </w:r>
      <w:r w:rsidR="000C3AFF">
        <w:rPr>
          <w:rFonts w:ascii="Arial" w:hAnsi="Arial" w:cs="Arial"/>
          <w:spacing w:val="-2"/>
          <w:sz w:val="24"/>
          <w:szCs w:val="24"/>
        </w:rPr>
        <w:t>C</w:t>
      </w:r>
      <w:r w:rsidR="001133F8">
        <w:rPr>
          <w:rFonts w:ascii="Arial" w:hAnsi="Arial" w:cs="Arial"/>
          <w:spacing w:val="-2"/>
          <w:sz w:val="24"/>
          <w:szCs w:val="24"/>
        </w:rPr>
        <w:t>R</w:t>
      </w:r>
      <w:r w:rsidR="000C3AFF">
        <w:rPr>
          <w:rFonts w:ascii="Arial" w:hAnsi="Arial" w:cs="Arial"/>
          <w:spacing w:val="-2"/>
          <w:sz w:val="24"/>
          <w:szCs w:val="24"/>
        </w:rPr>
        <w:t>S</w:t>
      </w:r>
      <w:r w:rsidR="00724EEB" w:rsidRPr="00711431">
        <w:rPr>
          <w:rFonts w:ascii="Arial" w:hAnsi="Arial" w:cs="Arial"/>
          <w:spacing w:val="-2"/>
          <w:sz w:val="24"/>
          <w:szCs w:val="24"/>
        </w:rPr>
        <w:t xml:space="preserve">) 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Section 1307(e) Reconciliation Statement for the </w:t>
      </w:r>
      <w:r w:rsidR="001A60B0">
        <w:rPr>
          <w:rFonts w:ascii="Arial" w:hAnsi="Arial" w:cs="Arial"/>
          <w:spacing w:val="-2"/>
          <w:sz w:val="24"/>
          <w:szCs w:val="24"/>
        </w:rPr>
        <w:t>six</w:t>
      </w:r>
      <w:r w:rsidRPr="00711431">
        <w:rPr>
          <w:rFonts w:ascii="Arial" w:hAnsi="Arial" w:cs="Arial"/>
          <w:color w:val="FF0000"/>
          <w:sz w:val="24"/>
          <w:szCs w:val="24"/>
        </w:rPr>
        <w:t xml:space="preserve"> </w:t>
      </w:r>
      <w:r w:rsidRPr="00711431">
        <w:rPr>
          <w:rFonts w:ascii="Arial" w:hAnsi="Arial" w:cs="Arial"/>
          <w:sz w:val="24"/>
          <w:szCs w:val="24"/>
        </w:rPr>
        <w:t xml:space="preserve">months ended </w:t>
      </w:r>
      <w:r w:rsidR="009D2E71">
        <w:rPr>
          <w:rFonts w:ascii="Arial" w:hAnsi="Arial" w:cs="Arial"/>
          <w:sz w:val="24"/>
          <w:szCs w:val="24"/>
        </w:rPr>
        <w:t>December 31</w:t>
      </w:r>
      <w:r w:rsidR="008704FD" w:rsidRPr="00711431">
        <w:rPr>
          <w:rFonts w:ascii="Arial" w:hAnsi="Arial" w:cs="Arial"/>
          <w:sz w:val="24"/>
          <w:szCs w:val="24"/>
        </w:rPr>
        <w:t>, 201</w:t>
      </w:r>
      <w:r w:rsidR="00AD4FD1">
        <w:rPr>
          <w:rFonts w:ascii="Arial" w:hAnsi="Arial" w:cs="Arial"/>
          <w:sz w:val="24"/>
          <w:szCs w:val="24"/>
        </w:rPr>
        <w:t>5</w:t>
      </w:r>
      <w:r w:rsidRPr="00711431">
        <w:rPr>
          <w:rFonts w:ascii="Arial" w:hAnsi="Arial" w:cs="Arial"/>
          <w:spacing w:val="-2"/>
          <w:sz w:val="24"/>
          <w:szCs w:val="24"/>
        </w:rPr>
        <w:t>.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1133F8">
        <w:rPr>
          <w:rFonts w:ascii="Arial" w:hAnsi="Arial" w:cs="Arial"/>
          <w:spacing w:val="-2"/>
          <w:sz w:val="24"/>
          <w:szCs w:val="24"/>
        </w:rPr>
        <w:t>SM</w:t>
      </w:r>
      <w:r w:rsidR="000C3AFF">
        <w:rPr>
          <w:rFonts w:ascii="Arial" w:hAnsi="Arial" w:cs="Arial"/>
          <w:spacing w:val="-2"/>
          <w:sz w:val="24"/>
          <w:szCs w:val="24"/>
        </w:rPr>
        <w:t>C</w:t>
      </w:r>
      <w:r w:rsidR="001133F8">
        <w:rPr>
          <w:rFonts w:ascii="Arial" w:hAnsi="Arial" w:cs="Arial"/>
          <w:spacing w:val="-2"/>
          <w:sz w:val="24"/>
          <w:szCs w:val="24"/>
        </w:rPr>
        <w:t>R</w:t>
      </w:r>
      <w:r w:rsidR="000C3AFF">
        <w:rPr>
          <w:rFonts w:ascii="Arial" w:hAnsi="Arial" w:cs="Arial"/>
          <w:spacing w:val="-2"/>
          <w:sz w:val="24"/>
          <w:szCs w:val="24"/>
        </w:rPr>
        <w:t>S</w:t>
      </w:r>
      <w:r w:rsidR="00EA26CF" w:rsidRPr="00711431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Pr="00711431">
        <w:rPr>
          <w:rFonts w:ascii="Arial" w:hAnsi="Arial" w:cs="Arial"/>
          <w:spacing w:val="-2"/>
          <w:sz w:val="24"/>
          <w:szCs w:val="24"/>
        </w:rPr>
        <w:t>Reconciliation Statement</w:t>
      </w:r>
      <w:r w:rsidR="00B47213" w:rsidRPr="00711431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9E2055">
        <w:rPr>
          <w:rFonts w:ascii="Arial" w:hAnsi="Arial" w:cs="Arial"/>
          <w:spacing w:val="-2"/>
          <w:sz w:val="24"/>
          <w:szCs w:val="24"/>
        </w:rPr>
        <w:t>September</w:t>
      </w:r>
      <w:r w:rsidR="00FD4A42">
        <w:rPr>
          <w:rFonts w:ascii="Arial" w:hAnsi="Arial" w:cs="Arial"/>
          <w:spacing w:val="-2"/>
          <w:sz w:val="24"/>
          <w:szCs w:val="24"/>
        </w:rPr>
        <w:t xml:space="preserve"> </w:t>
      </w:r>
      <w:r w:rsidR="009E2055">
        <w:rPr>
          <w:rFonts w:ascii="Arial" w:hAnsi="Arial" w:cs="Arial"/>
          <w:spacing w:val="-2"/>
          <w:sz w:val="24"/>
          <w:szCs w:val="24"/>
        </w:rPr>
        <w:t>1</w:t>
      </w:r>
      <w:r w:rsidR="00AD4FD1">
        <w:rPr>
          <w:rFonts w:ascii="Arial" w:hAnsi="Arial" w:cs="Arial"/>
          <w:spacing w:val="-2"/>
          <w:sz w:val="24"/>
          <w:szCs w:val="24"/>
        </w:rPr>
        <w:t>3</w:t>
      </w:r>
      <w:r w:rsidR="00B47213" w:rsidRPr="00711431">
        <w:rPr>
          <w:rFonts w:ascii="Arial" w:hAnsi="Arial" w:cs="Arial"/>
          <w:spacing w:val="-2"/>
          <w:sz w:val="24"/>
          <w:szCs w:val="24"/>
        </w:rPr>
        <w:t>, 201</w:t>
      </w:r>
      <w:r w:rsidR="009E2055">
        <w:rPr>
          <w:rFonts w:ascii="Arial" w:hAnsi="Arial" w:cs="Arial"/>
          <w:spacing w:val="-2"/>
          <w:sz w:val="24"/>
          <w:szCs w:val="24"/>
        </w:rPr>
        <w:t>6</w:t>
      </w:r>
      <w:r w:rsidR="00B47213" w:rsidRPr="00711431">
        <w:rPr>
          <w:rFonts w:ascii="Arial" w:hAnsi="Arial" w:cs="Arial"/>
          <w:spacing w:val="-2"/>
          <w:sz w:val="24"/>
          <w:szCs w:val="24"/>
        </w:rPr>
        <w:t>,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 is mathematically accurate and</w:t>
      </w:r>
      <w:r w:rsidR="0016025D" w:rsidRPr="00711431">
        <w:rPr>
          <w:rFonts w:ascii="Arial" w:hAnsi="Arial" w:cs="Arial"/>
          <w:spacing w:val="-2"/>
          <w:sz w:val="24"/>
          <w:szCs w:val="24"/>
        </w:rPr>
        <w:t>, accordingly</w:t>
      </w:r>
      <w:r w:rsidR="002C550C">
        <w:rPr>
          <w:rFonts w:ascii="Arial" w:hAnsi="Arial" w:cs="Arial"/>
          <w:spacing w:val="-2"/>
          <w:sz w:val="24"/>
          <w:szCs w:val="24"/>
        </w:rPr>
        <w:t>,</w:t>
      </w:r>
      <w:r w:rsidR="0016025D"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711431">
        <w:rPr>
          <w:rFonts w:ascii="Arial" w:hAnsi="Arial" w:cs="Arial"/>
          <w:spacing w:val="-2"/>
          <w:sz w:val="24"/>
          <w:szCs w:val="24"/>
        </w:rPr>
        <w:t>shall be deemed an adequate filing within the meaning of Section 1307(e) of the Public Utility Code, 66 Pa.C.S.</w:t>
      </w:r>
      <w:r w:rsidR="00F64A4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711431">
        <w:rPr>
          <w:rFonts w:ascii="Arial" w:hAnsi="Arial" w:cs="Arial"/>
          <w:spacing w:val="-2"/>
          <w:sz w:val="24"/>
          <w:szCs w:val="24"/>
        </w:rPr>
        <w:t>§</w:t>
      </w:r>
      <w:r w:rsidR="00D52934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711431">
        <w:rPr>
          <w:rFonts w:ascii="Arial" w:hAnsi="Arial" w:cs="Arial"/>
          <w:spacing w:val="-2"/>
          <w:sz w:val="24"/>
          <w:szCs w:val="24"/>
        </w:rPr>
        <w:t>1307(e).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="00234B3A" w:rsidRPr="00711431">
        <w:rPr>
          <w:rFonts w:ascii="Arial" w:hAnsi="Arial" w:cs="Arial"/>
          <w:spacing w:val="-2"/>
          <w:sz w:val="24"/>
          <w:szCs w:val="24"/>
        </w:rPr>
        <w:t xml:space="preserve">Acceptance of the </w:t>
      </w:r>
      <w:r w:rsidR="001133F8">
        <w:rPr>
          <w:rFonts w:ascii="Arial" w:hAnsi="Arial" w:cs="Arial"/>
          <w:spacing w:val="-2"/>
          <w:sz w:val="24"/>
          <w:szCs w:val="24"/>
        </w:rPr>
        <w:t>SM</w:t>
      </w:r>
      <w:r w:rsidR="000C3AFF">
        <w:rPr>
          <w:rFonts w:ascii="Arial" w:hAnsi="Arial" w:cs="Arial"/>
          <w:spacing w:val="-2"/>
          <w:sz w:val="24"/>
          <w:szCs w:val="24"/>
        </w:rPr>
        <w:t>C</w:t>
      </w:r>
      <w:r w:rsidR="001133F8">
        <w:rPr>
          <w:rFonts w:ascii="Arial" w:hAnsi="Arial" w:cs="Arial"/>
          <w:spacing w:val="-2"/>
          <w:sz w:val="24"/>
          <w:szCs w:val="24"/>
        </w:rPr>
        <w:t>R</w:t>
      </w:r>
      <w:r w:rsidR="000C3AFF">
        <w:rPr>
          <w:rFonts w:ascii="Arial" w:hAnsi="Arial" w:cs="Arial"/>
          <w:spacing w:val="-2"/>
          <w:sz w:val="24"/>
          <w:szCs w:val="24"/>
        </w:rPr>
        <w:t>S</w:t>
      </w:r>
      <w:r w:rsidR="00234B3A" w:rsidRPr="00711431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711431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or some other proceeding.</w:t>
      </w:r>
      <w:r w:rsidR="001F0494" w:rsidRPr="00711431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 w:rsidRPr="00711431">
        <w:rPr>
          <w:rFonts w:ascii="Arial" w:hAnsi="Arial" w:cs="Arial"/>
          <w:spacing w:val="-2"/>
          <w:sz w:val="24"/>
          <w:szCs w:val="24"/>
        </w:rPr>
        <w:t>A</w:t>
      </w:r>
      <w:r w:rsidR="00234B3A" w:rsidRPr="00711431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</w:p>
    <w:p w:rsidR="0067519A" w:rsidRPr="00711431" w:rsidRDefault="0016427E" w:rsidP="00E656E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>T</w:t>
      </w:r>
      <w:r w:rsidRPr="00711431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="0067519A" w:rsidRPr="00711431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proofErr w:type="gramStart"/>
      <w:r w:rsidR="000C3440" w:rsidRPr="00711431">
        <w:rPr>
          <w:rFonts w:ascii="Arial" w:hAnsi="Arial" w:cs="Arial"/>
          <w:spacing w:val="-2"/>
          <w:sz w:val="24"/>
          <w:szCs w:val="24"/>
        </w:rPr>
        <w:t>M-201</w:t>
      </w:r>
      <w:r w:rsidR="009D2E71">
        <w:rPr>
          <w:rFonts w:ascii="Arial" w:hAnsi="Arial" w:cs="Arial"/>
          <w:spacing w:val="-2"/>
          <w:sz w:val="24"/>
          <w:szCs w:val="24"/>
        </w:rPr>
        <w:t>6-2566494</w:t>
      </w:r>
      <w:r w:rsidR="00693012" w:rsidRPr="00711431">
        <w:rPr>
          <w:rFonts w:ascii="Arial" w:hAnsi="Arial" w:cs="Arial"/>
          <w:sz w:val="24"/>
          <w:szCs w:val="24"/>
        </w:rPr>
        <w:t>.</w:t>
      </w:r>
      <w:proofErr w:type="gramEnd"/>
    </w:p>
    <w:p w:rsidR="00CD5063" w:rsidRPr="00711431" w:rsidRDefault="00CD5063" w:rsidP="0067519A">
      <w:pPr>
        <w:rPr>
          <w:rFonts w:ascii="Arial" w:hAnsi="Arial" w:cs="Arial"/>
          <w:sz w:val="24"/>
          <w:szCs w:val="24"/>
        </w:rPr>
      </w:pPr>
    </w:p>
    <w:p w:rsidR="00CD5063" w:rsidRPr="00711431" w:rsidRDefault="004C45E6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2329E823" wp14:editId="19BB45A8">
            <wp:simplePos x="0" y="0"/>
            <wp:positionH relativeFrom="column">
              <wp:posOffset>2971800</wp:posOffset>
            </wp:positionH>
            <wp:positionV relativeFrom="paragraph">
              <wp:posOffset>131445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CD5063" w:rsidRPr="00711431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4C45E6" w:rsidRDefault="004C45E6"/>
    <w:p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9B137E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Pr="00711431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>Contact Person:</w:t>
      </w:r>
      <w:r w:rsidRPr="00711431">
        <w:rPr>
          <w:rFonts w:ascii="Arial" w:hAnsi="Arial" w:cs="Arial"/>
          <w:sz w:val="24"/>
          <w:szCs w:val="24"/>
        </w:rPr>
        <w:t xml:space="preserve">  </w:t>
      </w:r>
      <w:r w:rsidR="009D2E71">
        <w:rPr>
          <w:rFonts w:ascii="Arial" w:hAnsi="Arial" w:cs="Arial"/>
          <w:sz w:val="24"/>
          <w:szCs w:val="24"/>
        </w:rPr>
        <w:t>Jacob Fultz</w:t>
      </w:r>
    </w:p>
    <w:p w:rsidR="00A46FF8" w:rsidRPr="00711431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  <w:t xml:space="preserve">    </w:t>
      </w:r>
      <w:r w:rsidR="00384E15">
        <w:rPr>
          <w:rFonts w:ascii="Arial" w:hAnsi="Arial" w:cs="Arial"/>
          <w:color w:val="FF0000"/>
          <w:sz w:val="24"/>
          <w:szCs w:val="24"/>
        </w:rPr>
        <w:t xml:space="preserve"> </w:t>
      </w:r>
      <w:r w:rsidR="00724EEB" w:rsidRPr="00711431">
        <w:rPr>
          <w:rFonts w:ascii="Arial" w:hAnsi="Arial" w:cs="Arial"/>
          <w:sz w:val="24"/>
          <w:szCs w:val="24"/>
        </w:rPr>
        <w:t>(</w:t>
      </w:r>
      <w:r w:rsidR="000C3440" w:rsidRPr="00711431">
        <w:rPr>
          <w:rFonts w:ascii="Arial" w:hAnsi="Arial" w:cs="Arial"/>
          <w:sz w:val="24"/>
          <w:szCs w:val="24"/>
        </w:rPr>
        <w:t>717</w:t>
      </w:r>
      <w:r w:rsidR="00724EEB" w:rsidRPr="00711431">
        <w:rPr>
          <w:rFonts w:ascii="Arial" w:hAnsi="Arial" w:cs="Arial"/>
          <w:sz w:val="24"/>
          <w:szCs w:val="24"/>
        </w:rPr>
        <w:t>)</w:t>
      </w:r>
      <w:r w:rsidR="009D2E71">
        <w:rPr>
          <w:rFonts w:ascii="Arial" w:hAnsi="Arial" w:cs="Arial"/>
          <w:sz w:val="24"/>
          <w:szCs w:val="24"/>
        </w:rPr>
        <w:t>772-0314</w:t>
      </w:r>
    </w:p>
    <w:sectPr w:rsidR="00A46FF8" w:rsidRPr="00711431" w:rsidSect="004C45E6">
      <w:pgSz w:w="12240" w:h="15840"/>
      <w:pgMar w:top="432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878C6"/>
    <w:rsid w:val="000C3440"/>
    <w:rsid w:val="000C3AFF"/>
    <w:rsid w:val="000E2A2C"/>
    <w:rsid w:val="000F3885"/>
    <w:rsid w:val="001133F8"/>
    <w:rsid w:val="0016025D"/>
    <w:rsid w:val="0016427E"/>
    <w:rsid w:val="001A60B0"/>
    <w:rsid w:val="001D3E00"/>
    <w:rsid w:val="001D58D6"/>
    <w:rsid w:val="001F0494"/>
    <w:rsid w:val="001F71CE"/>
    <w:rsid w:val="00222DD2"/>
    <w:rsid w:val="00226691"/>
    <w:rsid w:val="00234B3A"/>
    <w:rsid w:val="002411AE"/>
    <w:rsid w:val="0027679A"/>
    <w:rsid w:val="002C550C"/>
    <w:rsid w:val="002C5AA3"/>
    <w:rsid w:val="003213F6"/>
    <w:rsid w:val="00342E68"/>
    <w:rsid w:val="0038192B"/>
    <w:rsid w:val="00384E15"/>
    <w:rsid w:val="003970BC"/>
    <w:rsid w:val="00460E8B"/>
    <w:rsid w:val="004B6C39"/>
    <w:rsid w:val="004C45E6"/>
    <w:rsid w:val="0051362E"/>
    <w:rsid w:val="005170E5"/>
    <w:rsid w:val="005457D4"/>
    <w:rsid w:val="005877CA"/>
    <w:rsid w:val="0063344B"/>
    <w:rsid w:val="0067519A"/>
    <w:rsid w:val="00681A5F"/>
    <w:rsid w:val="00693012"/>
    <w:rsid w:val="00711431"/>
    <w:rsid w:val="00724EEB"/>
    <w:rsid w:val="00742334"/>
    <w:rsid w:val="007A7B3F"/>
    <w:rsid w:val="007C5930"/>
    <w:rsid w:val="007F4B43"/>
    <w:rsid w:val="00805353"/>
    <w:rsid w:val="00853315"/>
    <w:rsid w:val="008704FD"/>
    <w:rsid w:val="008935A5"/>
    <w:rsid w:val="008F62B1"/>
    <w:rsid w:val="008F7FD2"/>
    <w:rsid w:val="00936CCD"/>
    <w:rsid w:val="009B137E"/>
    <w:rsid w:val="009D2E71"/>
    <w:rsid w:val="009E2055"/>
    <w:rsid w:val="00A46FF8"/>
    <w:rsid w:val="00A76B9C"/>
    <w:rsid w:val="00AB2291"/>
    <w:rsid w:val="00AB731C"/>
    <w:rsid w:val="00AD4FD1"/>
    <w:rsid w:val="00B47213"/>
    <w:rsid w:val="00B67377"/>
    <w:rsid w:val="00B93C3F"/>
    <w:rsid w:val="00C044B2"/>
    <w:rsid w:val="00CD5063"/>
    <w:rsid w:val="00CE0167"/>
    <w:rsid w:val="00D52934"/>
    <w:rsid w:val="00E656EF"/>
    <w:rsid w:val="00EA26CF"/>
    <w:rsid w:val="00EC6C69"/>
    <w:rsid w:val="00EF57CA"/>
    <w:rsid w:val="00F53EA9"/>
    <w:rsid w:val="00F64A4D"/>
    <w:rsid w:val="00FD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E6F67-2E04-4E05-9F90-224B7DBC5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Reynolds, Doris</cp:lastModifiedBy>
  <cp:revision>5</cp:revision>
  <cp:lastPrinted>2015-09-02T14:31:00Z</cp:lastPrinted>
  <dcterms:created xsi:type="dcterms:W3CDTF">2016-10-04T15:15:00Z</dcterms:created>
  <dcterms:modified xsi:type="dcterms:W3CDTF">2016-10-17T13:22:00Z</dcterms:modified>
</cp:coreProperties>
</file>