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7B6157" w:rsidRDefault="00683277" w:rsidP="00426718">
      <w:pPr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7B6157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7B6157" w:rsidRDefault="00683277" w:rsidP="00426718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  <w:r w:rsidRPr="007B6157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Default="00154990" w:rsidP="00426718">
      <w:pPr>
        <w:jc w:val="center"/>
        <w:textAlignment w:val="baseline"/>
        <w:rPr>
          <w:rFonts w:eastAsia="Times New Roman"/>
          <w:color w:val="000000"/>
          <w:spacing w:val="10"/>
        </w:rPr>
      </w:pPr>
    </w:p>
    <w:p w:rsidR="00154990" w:rsidRDefault="00154990" w:rsidP="00426718">
      <w:pPr>
        <w:jc w:val="center"/>
        <w:textAlignment w:val="baseline"/>
        <w:rPr>
          <w:rFonts w:eastAsia="Times New Roman"/>
          <w:color w:val="000000"/>
          <w:spacing w:val="10"/>
        </w:rPr>
      </w:pPr>
    </w:p>
    <w:p w:rsidR="00154990" w:rsidRDefault="00154990" w:rsidP="00426718">
      <w:pPr>
        <w:jc w:val="center"/>
        <w:textAlignment w:val="baseline"/>
        <w:rPr>
          <w:rFonts w:eastAsia="Times New Roman"/>
          <w:color w:val="000000"/>
          <w:spacing w:val="10"/>
        </w:rPr>
      </w:pPr>
    </w:p>
    <w:p w:rsidR="00C22D2A" w:rsidRPr="007B6157" w:rsidRDefault="001837FE" w:rsidP="00426718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Lisa M. Rivers</w:t>
      </w:r>
      <w:r w:rsidR="00810F20"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="00810F20"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7B6157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4990" w:rsidRPr="007B6157" w:rsidRDefault="00426718" w:rsidP="00426718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</w:r>
      <w:r w:rsidRPr="007B6157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7B6157" w:rsidRDefault="00683277" w:rsidP="00426718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v.</w:t>
      </w:r>
      <w:r w:rsidR="00FE57A2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F737BA" w:rsidRPr="007B6157">
        <w:rPr>
          <w:rFonts w:eastAsia="Times New Roman"/>
          <w:color w:val="000000"/>
          <w:sz w:val="24"/>
          <w:szCs w:val="24"/>
        </w:rPr>
        <w:t>:</w:t>
      </w:r>
      <w:r w:rsidRPr="007B6157">
        <w:rPr>
          <w:rFonts w:eastAsia="Times New Roman"/>
          <w:color w:val="000000"/>
          <w:sz w:val="24"/>
          <w:szCs w:val="24"/>
        </w:rPr>
        <w:tab/>
      </w:r>
      <w:r w:rsidR="00FE57A2" w:rsidRPr="007B6157">
        <w:rPr>
          <w:rFonts w:eastAsia="Times New Roman"/>
          <w:color w:val="000000"/>
          <w:sz w:val="24"/>
          <w:szCs w:val="24"/>
        </w:rPr>
        <w:tab/>
      </w:r>
      <w:r w:rsidR="001837FE">
        <w:rPr>
          <w:rFonts w:eastAsia="Times New Roman"/>
          <w:color w:val="000000"/>
          <w:sz w:val="24"/>
          <w:szCs w:val="24"/>
        </w:rPr>
        <w:t>C</w:t>
      </w:r>
      <w:r w:rsidR="00810F20" w:rsidRPr="007B6157">
        <w:rPr>
          <w:rFonts w:eastAsia="Times New Roman"/>
          <w:color w:val="000000"/>
          <w:sz w:val="24"/>
          <w:szCs w:val="24"/>
        </w:rPr>
        <w:t>-2016-25</w:t>
      </w:r>
      <w:r w:rsidR="001837FE">
        <w:rPr>
          <w:rFonts w:eastAsia="Times New Roman"/>
          <w:color w:val="000000"/>
          <w:sz w:val="24"/>
          <w:szCs w:val="24"/>
        </w:rPr>
        <w:t>46855</w:t>
      </w:r>
    </w:p>
    <w:p w:rsidR="00154990" w:rsidRPr="007B6157" w:rsidRDefault="00426718" w:rsidP="00426718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</w:r>
      <w:r w:rsidRPr="007B6157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7B6157" w:rsidRDefault="001837FE" w:rsidP="00426718">
      <w:pPr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UGI Utilities, Inc.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15588A" w:rsidRPr="007B6157">
        <w:rPr>
          <w:rFonts w:eastAsia="Times New Roman"/>
          <w:color w:val="000000"/>
          <w:sz w:val="24"/>
          <w:szCs w:val="24"/>
        </w:rPr>
        <w:tab/>
      </w:r>
      <w:r w:rsidR="00FE57A2" w:rsidRPr="007B6157">
        <w:rPr>
          <w:rFonts w:eastAsia="Times New Roman"/>
          <w:color w:val="000000"/>
          <w:sz w:val="24"/>
          <w:szCs w:val="24"/>
        </w:rPr>
        <w:t>:</w:t>
      </w:r>
    </w:p>
    <w:p w:rsidR="00154990" w:rsidRPr="007B6157" w:rsidRDefault="00154990" w:rsidP="00426718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7B6157" w:rsidRDefault="00154990" w:rsidP="00426718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7B6157" w:rsidRDefault="00154990" w:rsidP="00426718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683277" w:rsidP="00426718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7B6157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7B6157" w:rsidRDefault="00154990" w:rsidP="00426718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7B6157" w:rsidRDefault="00154990" w:rsidP="00426718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7B6157" w:rsidRDefault="00683277" w:rsidP="00426718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7B6157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7B6157" w:rsidRDefault="003F683E" w:rsidP="00426718">
      <w:pPr>
        <w:jc w:val="center"/>
        <w:textAlignment w:val="baseline"/>
        <w:rPr>
          <w:rFonts w:eastAsia="Times New Roman"/>
          <w:b/>
          <w:color w:val="000000"/>
          <w:spacing w:val="3"/>
          <w:sz w:val="24"/>
          <w:szCs w:val="24"/>
        </w:rPr>
      </w:pPr>
      <w:r w:rsidRPr="007B6157">
        <w:rPr>
          <w:rFonts w:eastAsia="Times New Roman"/>
          <w:color w:val="000000"/>
          <w:spacing w:val="3"/>
          <w:sz w:val="24"/>
          <w:szCs w:val="24"/>
        </w:rPr>
        <w:t>Mark A. Hoyer</w:t>
      </w:r>
    </w:p>
    <w:p w:rsidR="00C22D2A" w:rsidRPr="007B6157" w:rsidRDefault="003F683E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7B6157">
        <w:rPr>
          <w:rFonts w:eastAsia="Times New Roman"/>
          <w:color w:val="000000"/>
          <w:spacing w:val="3"/>
          <w:sz w:val="24"/>
          <w:szCs w:val="24"/>
        </w:rPr>
        <w:t xml:space="preserve">Deputy Chief </w:t>
      </w:r>
      <w:r w:rsidR="00683277" w:rsidRPr="007B6157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7B6157" w:rsidRDefault="00827841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7B6157" w:rsidRDefault="00827841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7B6157" w:rsidRDefault="00827841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7B6157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7B6157" w:rsidRDefault="00827841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7B6157" w:rsidRDefault="0015588A" w:rsidP="00426718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7B6157" w:rsidRDefault="009B26BC" w:rsidP="003303CA">
      <w:pPr>
        <w:tabs>
          <w:tab w:val="left" w:pos="1440"/>
        </w:tabs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7B6157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303CA">
        <w:rPr>
          <w:rFonts w:eastAsia="Times New Roman"/>
          <w:color w:val="000000"/>
          <w:spacing w:val="3"/>
          <w:sz w:val="24"/>
          <w:szCs w:val="24"/>
        </w:rPr>
        <w:t xml:space="preserve">   </w:t>
      </w:r>
      <w:r w:rsidR="003A05B4" w:rsidRPr="007B6157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7B6157">
        <w:rPr>
          <w:rFonts w:eastAsia="Times New Roman"/>
          <w:color w:val="000000"/>
          <w:spacing w:val="3"/>
          <w:sz w:val="24"/>
          <w:szCs w:val="24"/>
        </w:rPr>
        <w:t>es</w:t>
      </w:r>
      <w:r w:rsidR="003F683E" w:rsidRPr="007B6157">
        <w:rPr>
          <w:rFonts w:eastAsia="Times New Roman"/>
          <w:color w:val="000000"/>
          <w:spacing w:val="3"/>
          <w:sz w:val="24"/>
          <w:szCs w:val="24"/>
        </w:rPr>
        <w:t xml:space="preserve"> the c</w:t>
      </w:r>
      <w:r w:rsidR="003A05B4" w:rsidRPr="007B6157">
        <w:rPr>
          <w:rFonts w:eastAsia="Times New Roman"/>
          <w:color w:val="000000"/>
          <w:spacing w:val="3"/>
          <w:sz w:val="24"/>
          <w:szCs w:val="24"/>
        </w:rPr>
        <w:t>omplaint filed in this matter</w:t>
      </w:r>
      <w:r w:rsidR="00C73F99">
        <w:rPr>
          <w:rFonts w:eastAsia="Times New Roman"/>
          <w:color w:val="000000"/>
          <w:spacing w:val="3"/>
          <w:sz w:val="24"/>
          <w:szCs w:val="24"/>
        </w:rPr>
        <w:t xml:space="preserve"> and denies the request for a payment arrangement</w:t>
      </w:r>
      <w:r w:rsidR="001837FE">
        <w:rPr>
          <w:rFonts w:eastAsia="Times New Roman"/>
          <w:color w:val="000000"/>
          <w:spacing w:val="3"/>
          <w:sz w:val="24"/>
          <w:szCs w:val="24"/>
        </w:rPr>
        <w:t xml:space="preserve">.  </w:t>
      </w:r>
    </w:p>
    <w:p w:rsidR="0015588A" w:rsidRPr="007B6157" w:rsidRDefault="0015588A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7B6157" w:rsidRDefault="00683277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7B6157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7B6157" w:rsidRDefault="0015588A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7B6157" w:rsidRDefault="00C73F99" w:rsidP="003303CA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O</w:t>
      </w:r>
      <w:r w:rsidR="00683277" w:rsidRPr="007B6157">
        <w:rPr>
          <w:rFonts w:eastAsia="Times New Roman"/>
          <w:color w:val="000000"/>
          <w:spacing w:val="4"/>
          <w:sz w:val="24"/>
          <w:szCs w:val="24"/>
        </w:rPr>
        <w:t xml:space="preserve">n </w:t>
      </w:r>
      <w:r w:rsidR="001837FE">
        <w:rPr>
          <w:rFonts w:eastAsia="Times New Roman"/>
          <w:color w:val="000000"/>
          <w:spacing w:val="4"/>
          <w:sz w:val="24"/>
          <w:szCs w:val="24"/>
        </w:rPr>
        <w:t>May 20, 2016, Lisa M. Rivers</w:t>
      </w:r>
      <w:r w:rsidR="00471DB3" w:rsidRPr="007B615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7B6157">
        <w:rPr>
          <w:rFonts w:eastAsia="Times New Roman"/>
          <w:color w:val="000000"/>
          <w:spacing w:val="4"/>
          <w:sz w:val="24"/>
          <w:szCs w:val="24"/>
        </w:rPr>
        <w:t xml:space="preserve">(Complainant) filed a complaint with the Pennsylvania Public Utility Commission (Commission) against </w:t>
      </w:r>
      <w:r w:rsidR="001837FE">
        <w:rPr>
          <w:rFonts w:eastAsia="Times New Roman"/>
          <w:color w:val="000000"/>
          <w:spacing w:val="4"/>
          <w:sz w:val="24"/>
          <w:szCs w:val="24"/>
        </w:rPr>
        <w:t xml:space="preserve">UGI Utilities, Inc. </w:t>
      </w:r>
      <w:r w:rsidR="00683277" w:rsidRPr="007B6157">
        <w:rPr>
          <w:rFonts w:eastAsia="Times New Roman"/>
          <w:color w:val="000000"/>
          <w:spacing w:val="4"/>
          <w:sz w:val="24"/>
          <w:szCs w:val="24"/>
        </w:rPr>
        <w:t xml:space="preserve">(Respondent). </w:t>
      </w:r>
      <w:r w:rsidR="00556AA4" w:rsidRPr="007B615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041E15" w:rsidRPr="007B6157">
        <w:rPr>
          <w:rFonts w:eastAsia="Times New Roman"/>
          <w:color w:val="000000"/>
          <w:spacing w:val="4"/>
          <w:sz w:val="24"/>
          <w:szCs w:val="24"/>
        </w:rPr>
        <w:t xml:space="preserve">The complaint </w:t>
      </w:r>
      <w:r w:rsidR="00683277" w:rsidRPr="007B6157">
        <w:rPr>
          <w:rFonts w:eastAsia="Times New Roman"/>
          <w:color w:val="000000"/>
          <w:spacing w:val="4"/>
          <w:sz w:val="24"/>
          <w:szCs w:val="24"/>
        </w:rPr>
        <w:t xml:space="preserve">requested </w:t>
      </w:r>
      <w:r w:rsidR="001837FE">
        <w:rPr>
          <w:rFonts w:eastAsia="Times New Roman"/>
          <w:color w:val="000000"/>
          <w:spacing w:val="4"/>
          <w:sz w:val="24"/>
          <w:szCs w:val="24"/>
        </w:rPr>
        <w:t xml:space="preserve">restoration of natural gas service and included, among other things, a request for a payment arrangement.  </w:t>
      </w:r>
      <w:r w:rsidR="00DF0C47" w:rsidRPr="007B6157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15588A" w:rsidRPr="007B6157" w:rsidRDefault="0015588A" w:rsidP="00426718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7B6157" w:rsidRDefault="00683277" w:rsidP="003303CA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Respondent filed an answer on</w:t>
      </w:r>
      <w:r w:rsidR="00304178" w:rsidRPr="007B6157">
        <w:rPr>
          <w:rFonts w:eastAsia="Times New Roman"/>
          <w:color w:val="000000"/>
          <w:sz w:val="24"/>
          <w:szCs w:val="24"/>
        </w:rPr>
        <w:t xml:space="preserve"> </w:t>
      </w:r>
      <w:r w:rsidR="00C73F99">
        <w:rPr>
          <w:rFonts w:eastAsia="Times New Roman"/>
          <w:color w:val="000000"/>
          <w:sz w:val="24"/>
          <w:szCs w:val="24"/>
        </w:rPr>
        <w:t xml:space="preserve">June 13, 2016.  </w:t>
      </w:r>
      <w:r w:rsidRPr="007B6157">
        <w:rPr>
          <w:rFonts w:eastAsia="Times New Roman"/>
          <w:color w:val="000000"/>
          <w:sz w:val="24"/>
          <w:szCs w:val="24"/>
        </w:rPr>
        <w:t xml:space="preserve">The answer </w:t>
      </w:r>
      <w:r w:rsidR="00C73F99">
        <w:rPr>
          <w:rFonts w:eastAsia="Times New Roman"/>
          <w:color w:val="000000"/>
          <w:sz w:val="24"/>
          <w:szCs w:val="24"/>
        </w:rPr>
        <w:t xml:space="preserve">admitted that Complainant’s gas utility service was terminated on September 9, 2015.  Respondent averred that service was terminated because Complainant failed to pay monthly bills in full and on a timely basis.  Respondent averred that Complainant is not entitled to a Commission-ordered </w:t>
      </w:r>
      <w:r w:rsidR="00C73F99">
        <w:rPr>
          <w:rFonts w:eastAsia="Times New Roman"/>
          <w:color w:val="000000"/>
          <w:sz w:val="24"/>
          <w:szCs w:val="24"/>
        </w:rPr>
        <w:lastRenderedPageBreak/>
        <w:t xml:space="preserve">payment arrangement because she defaulted on two payment arrangements with the Company and one Commission-ordered payment arrangement.  </w:t>
      </w:r>
    </w:p>
    <w:p w:rsidR="009765EB" w:rsidRPr="007B6157" w:rsidRDefault="009765EB" w:rsidP="00426718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9765EB" w:rsidP="003303CA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 xml:space="preserve">By notice dated </w:t>
      </w:r>
      <w:r w:rsidR="009D37C8">
        <w:rPr>
          <w:rFonts w:eastAsia="Times New Roman"/>
          <w:color w:val="000000"/>
          <w:sz w:val="24"/>
          <w:szCs w:val="24"/>
        </w:rPr>
        <w:t xml:space="preserve">June 21, 2016, </w:t>
      </w:r>
      <w:r w:rsidRPr="007B6157">
        <w:rPr>
          <w:rFonts w:eastAsia="Times New Roman"/>
          <w:color w:val="000000"/>
          <w:sz w:val="24"/>
          <w:szCs w:val="24"/>
        </w:rPr>
        <w:t xml:space="preserve">the Commission scheduled this matter for an </w:t>
      </w:r>
      <w:r w:rsidR="00DF0C47" w:rsidRPr="007B6157">
        <w:rPr>
          <w:rFonts w:eastAsia="Times New Roman"/>
          <w:color w:val="000000"/>
          <w:sz w:val="24"/>
          <w:szCs w:val="24"/>
        </w:rPr>
        <w:t xml:space="preserve">initial telephonic </w:t>
      </w:r>
      <w:r w:rsidRPr="007B6157">
        <w:rPr>
          <w:rFonts w:eastAsia="Times New Roman"/>
          <w:color w:val="000000"/>
          <w:sz w:val="24"/>
          <w:szCs w:val="24"/>
        </w:rPr>
        <w:t xml:space="preserve">hearing on </w:t>
      </w:r>
      <w:r w:rsidR="009D37C8">
        <w:rPr>
          <w:rFonts w:eastAsia="Times New Roman"/>
          <w:color w:val="000000"/>
          <w:sz w:val="24"/>
          <w:szCs w:val="24"/>
        </w:rPr>
        <w:t xml:space="preserve">Monday, July 25, 2016, </w:t>
      </w:r>
      <w:r w:rsidR="000816B2" w:rsidRPr="007B6157">
        <w:rPr>
          <w:rFonts w:eastAsia="Times New Roman"/>
          <w:color w:val="000000"/>
          <w:sz w:val="24"/>
          <w:szCs w:val="24"/>
        </w:rPr>
        <w:t xml:space="preserve">at 10:00 </w:t>
      </w:r>
      <w:r w:rsidRPr="007B6157">
        <w:rPr>
          <w:rFonts w:eastAsia="Times New Roman"/>
          <w:color w:val="000000"/>
          <w:sz w:val="24"/>
          <w:szCs w:val="24"/>
        </w:rPr>
        <w:t xml:space="preserve">a.m. and assigned the case to me.  I issued a </w:t>
      </w:r>
      <w:r w:rsidR="00683277" w:rsidRPr="007B6157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7B6157">
        <w:rPr>
          <w:rFonts w:eastAsia="Times New Roman"/>
          <w:color w:val="000000"/>
          <w:sz w:val="24"/>
          <w:szCs w:val="24"/>
        </w:rPr>
        <w:t xml:space="preserve"> </w:t>
      </w:r>
      <w:r w:rsidR="009D37C8">
        <w:rPr>
          <w:rFonts w:eastAsia="Times New Roman"/>
          <w:color w:val="000000"/>
          <w:sz w:val="24"/>
          <w:szCs w:val="24"/>
        </w:rPr>
        <w:t xml:space="preserve">June 24, 2016, </w:t>
      </w:r>
      <w:r w:rsidR="00683277" w:rsidRPr="007B6157">
        <w:rPr>
          <w:rFonts w:eastAsia="Times New Roman"/>
          <w:color w:val="000000"/>
          <w:sz w:val="24"/>
          <w:szCs w:val="24"/>
        </w:rPr>
        <w:t xml:space="preserve">addressing, </w:t>
      </w:r>
      <w:r w:rsidR="00683277" w:rsidRPr="007B6157">
        <w:rPr>
          <w:rFonts w:eastAsia="Times New Roman"/>
          <w:color w:val="000000"/>
          <w:sz w:val="24"/>
          <w:szCs w:val="24"/>
          <w:u w:val="single"/>
        </w:rPr>
        <w:t>inter alia,</w:t>
      </w:r>
      <w:r w:rsidR="00683277" w:rsidRPr="007B6157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AA049E">
        <w:rPr>
          <w:rFonts w:eastAsia="Times New Roman"/>
          <w:color w:val="000000"/>
          <w:sz w:val="24"/>
          <w:szCs w:val="24"/>
        </w:rPr>
        <w:t>’</w:t>
      </w:r>
      <w:r w:rsidR="00683277" w:rsidRPr="007B6157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7B6157" w:rsidRPr="007B6157" w:rsidRDefault="007B6157" w:rsidP="00426718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9765EB" w:rsidRDefault="00EC3948" w:rsidP="009D37C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 xml:space="preserve">I conducted a telephonic </w:t>
      </w:r>
      <w:r w:rsidR="000816B2" w:rsidRPr="007B6157">
        <w:rPr>
          <w:rFonts w:eastAsia="Times New Roman"/>
          <w:color w:val="000000"/>
          <w:sz w:val="24"/>
          <w:szCs w:val="24"/>
        </w:rPr>
        <w:t xml:space="preserve">initial </w:t>
      </w:r>
      <w:r w:rsidRPr="007B6157">
        <w:rPr>
          <w:rFonts w:eastAsia="Times New Roman"/>
          <w:color w:val="000000"/>
          <w:sz w:val="24"/>
          <w:szCs w:val="24"/>
        </w:rPr>
        <w:t xml:space="preserve">hearing on </w:t>
      </w:r>
      <w:r w:rsidR="009D37C8">
        <w:rPr>
          <w:rFonts w:eastAsia="Times New Roman"/>
          <w:color w:val="000000"/>
          <w:sz w:val="24"/>
          <w:szCs w:val="24"/>
        </w:rPr>
        <w:t>July 25, 2016</w:t>
      </w:r>
      <w:r w:rsidR="000816B2" w:rsidRPr="007B6157">
        <w:rPr>
          <w:rFonts w:eastAsia="Times New Roman"/>
          <w:color w:val="000000"/>
          <w:sz w:val="24"/>
          <w:szCs w:val="24"/>
        </w:rPr>
        <w:t xml:space="preserve"> at 10:00 a.m.  </w:t>
      </w:r>
      <w:r w:rsidR="009D37C8">
        <w:rPr>
          <w:rFonts w:eastAsia="Times New Roman"/>
          <w:color w:val="000000"/>
          <w:sz w:val="24"/>
          <w:szCs w:val="24"/>
        </w:rPr>
        <w:t xml:space="preserve">Complainant appeared on her own behalf and testified.  She did not call any additional witnesses or offer </w:t>
      </w:r>
      <w:r w:rsidR="00B002C8">
        <w:rPr>
          <w:rFonts w:eastAsia="Times New Roman"/>
          <w:color w:val="000000"/>
          <w:sz w:val="24"/>
          <w:szCs w:val="24"/>
        </w:rPr>
        <w:t>any</w:t>
      </w:r>
      <w:r w:rsidR="009D37C8">
        <w:rPr>
          <w:rFonts w:eastAsia="Times New Roman"/>
          <w:color w:val="000000"/>
          <w:sz w:val="24"/>
          <w:szCs w:val="24"/>
        </w:rPr>
        <w:t xml:space="preserve"> exhibits.  Larry R. Crayne, Esquire appeared on behalf of Respondent.  Amy Wynn testified for the Respondent.  Counsel for Respondent offered four hearing exhibits that were marked and admitted.  </w:t>
      </w:r>
    </w:p>
    <w:p w:rsidR="009D37C8" w:rsidRDefault="009D37C8" w:rsidP="009D37C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683277" w:rsidP="003303CA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The record closed on</w:t>
      </w:r>
      <w:r w:rsidR="00B24463" w:rsidRPr="007B6157">
        <w:rPr>
          <w:rFonts w:eastAsia="Times New Roman"/>
          <w:color w:val="000000"/>
          <w:sz w:val="24"/>
          <w:szCs w:val="24"/>
        </w:rPr>
        <w:t xml:space="preserve"> </w:t>
      </w:r>
      <w:r w:rsidR="009D37C8">
        <w:rPr>
          <w:rFonts w:eastAsia="Times New Roman"/>
          <w:color w:val="000000"/>
          <w:sz w:val="24"/>
          <w:szCs w:val="24"/>
        </w:rPr>
        <w:t>August 18, 2016</w:t>
      </w:r>
      <w:r w:rsidR="00603B05">
        <w:rPr>
          <w:rFonts w:eastAsia="Times New Roman"/>
          <w:color w:val="000000"/>
          <w:sz w:val="24"/>
          <w:szCs w:val="24"/>
        </w:rPr>
        <w:t xml:space="preserve"> upon receipt of the transcript</w:t>
      </w:r>
      <w:bookmarkStart w:id="0" w:name="_GoBack"/>
      <w:bookmarkEnd w:id="0"/>
      <w:r w:rsidR="009D37C8">
        <w:rPr>
          <w:rFonts w:eastAsia="Times New Roman"/>
          <w:color w:val="000000"/>
          <w:sz w:val="24"/>
          <w:szCs w:val="24"/>
        </w:rPr>
        <w:t xml:space="preserve">.  The record consists of the aforementioned exhibits and a transcript of the hearing.  </w:t>
      </w:r>
    </w:p>
    <w:p w:rsidR="009765EB" w:rsidRPr="007B6157" w:rsidRDefault="009765EB" w:rsidP="00426718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683277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7B6157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7B6157" w:rsidRDefault="009765EB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7B6157" w:rsidRDefault="00683277" w:rsidP="00426718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1.</w:t>
      </w:r>
      <w:r w:rsidRPr="007B6157">
        <w:rPr>
          <w:rFonts w:eastAsia="Times New Roman"/>
          <w:color w:val="000000"/>
          <w:sz w:val="24"/>
          <w:szCs w:val="24"/>
        </w:rPr>
        <w:tab/>
      </w:r>
      <w:r w:rsidR="009D37C8">
        <w:rPr>
          <w:rFonts w:eastAsia="Times New Roman"/>
          <w:color w:val="000000"/>
          <w:sz w:val="24"/>
          <w:szCs w:val="24"/>
        </w:rPr>
        <w:t xml:space="preserve">Complainant, Lisa M. Rivers, resides at 3329 Fairfield Street, </w:t>
      </w:r>
      <w:proofErr w:type="spellStart"/>
      <w:r w:rsidR="009D37C8">
        <w:rPr>
          <w:rFonts w:eastAsia="Times New Roman"/>
          <w:color w:val="000000"/>
          <w:sz w:val="24"/>
          <w:szCs w:val="24"/>
        </w:rPr>
        <w:t>Laureldale</w:t>
      </w:r>
      <w:proofErr w:type="spellEnd"/>
      <w:r w:rsidR="009D37C8">
        <w:rPr>
          <w:rFonts w:eastAsia="Times New Roman"/>
          <w:color w:val="000000"/>
          <w:sz w:val="24"/>
          <w:szCs w:val="24"/>
        </w:rPr>
        <w:t>, Pennsylvania, 19605</w:t>
      </w:r>
      <w:r w:rsidR="00186EE0">
        <w:rPr>
          <w:rFonts w:eastAsia="Times New Roman"/>
          <w:color w:val="000000"/>
          <w:sz w:val="24"/>
          <w:szCs w:val="24"/>
        </w:rPr>
        <w:t xml:space="preserve"> (service address)</w:t>
      </w:r>
      <w:r w:rsidR="009D37C8">
        <w:rPr>
          <w:rFonts w:eastAsia="Times New Roman"/>
          <w:color w:val="000000"/>
          <w:sz w:val="24"/>
          <w:szCs w:val="24"/>
        </w:rPr>
        <w:t xml:space="preserve"> (Tr. 9-10</w:t>
      </w:r>
      <w:r w:rsidR="00186EE0">
        <w:rPr>
          <w:rFonts w:eastAsia="Times New Roman"/>
          <w:color w:val="000000"/>
          <w:sz w:val="24"/>
          <w:szCs w:val="24"/>
        </w:rPr>
        <w:t>; Exhibit R-1)</w:t>
      </w:r>
      <w:r w:rsidR="009D37C8">
        <w:rPr>
          <w:rFonts w:eastAsia="Times New Roman"/>
          <w:color w:val="000000"/>
          <w:sz w:val="24"/>
          <w:szCs w:val="24"/>
        </w:rPr>
        <w:t xml:space="preserve">.  </w:t>
      </w:r>
      <w:r w:rsidR="00206266" w:rsidRPr="007B6157">
        <w:rPr>
          <w:rFonts w:eastAsia="Times New Roman"/>
          <w:color w:val="000000"/>
          <w:sz w:val="24"/>
          <w:szCs w:val="24"/>
        </w:rPr>
        <w:t xml:space="preserve">  </w:t>
      </w:r>
    </w:p>
    <w:p w:rsidR="009765EB" w:rsidRPr="007B6157" w:rsidRDefault="009765EB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B24463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7B6157">
        <w:rPr>
          <w:rFonts w:eastAsia="Times New Roman"/>
          <w:color w:val="000000"/>
          <w:spacing w:val="3"/>
          <w:sz w:val="24"/>
          <w:szCs w:val="24"/>
        </w:rPr>
        <w:t>2.</w:t>
      </w:r>
      <w:r w:rsidRPr="007B6157">
        <w:rPr>
          <w:rFonts w:eastAsia="Times New Roman"/>
          <w:color w:val="000000"/>
          <w:spacing w:val="3"/>
          <w:sz w:val="24"/>
          <w:szCs w:val="24"/>
        </w:rPr>
        <w:tab/>
      </w:r>
      <w:r w:rsidR="00186EE0">
        <w:rPr>
          <w:rFonts w:eastAsia="Times New Roman"/>
          <w:color w:val="000000"/>
          <w:spacing w:val="3"/>
          <w:sz w:val="24"/>
          <w:szCs w:val="24"/>
        </w:rPr>
        <w:t>Respondent, UGI Utilities, Inc. (UGI</w:t>
      </w:r>
      <w:proofErr w:type="gramStart"/>
      <w:r w:rsidR="00186EE0">
        <w:rPr>
          <w:rFonts w:eastAsia="Times New Roman"/>
          <w:color w:val="000000"/>
          <w:spacing w:val="3"/>
          <w:sz w:val="24"/>
          <w:szCs w:val="24"/>
        </w:rPr>
        <w:t>),</w:t>
      </w:r>
      <w:proofErr w:type="gramEnd"/>
      <w:r w:rsidR="00186EE0">
        <w:rPr>
          <w:rFonts w:eastAsia="Times New Roman"/>
          <w:color w:val="000000"/>
          <w:spacing w:val="3"/>
          <w:sz w:val="24"/>
          <w:szCs w:val="24"/>
        </w:rPr>
        <w:t xml:space="preserve"> provided residential gas utility service to Complainant at the service address (Tr. 11-12, 20).    </w:t>
      </w:r>
      <w:r w:rsidR="00206266" w:rsidRPr="007B6157">
        <w:rPr>
          <w:rFonts w:eastAsia="Times New Roman"/>
          <w:color w:val="000000"/>
          <w:spacing w:val="3"/>
          <w:sz w:val="24"/>
          <w:szCs w:val="24"/>
        </w:rPr>
        <w:t xml:space="preserve">  </w:t>
      </w:r>
    </w:p>
    <w:p w:rsidR="009765EB" w:rsidRPr="007B6157" w:rsidRDefault="009765EB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7B6157" w:rsidRDefault="00683277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3.</w:t>
      </w:r>
      <w:r w:rsidRPr="007B6157">
        <w:rPr>
          <w:rFonts w:eastAsia="Times New Roman"/>
          <w:color w:val="000000"/>
          <w:sz w:val="24"/>
          <w:szCs w:val="24"/>
        </w:rPr>
        <w:tab/>
      </w:r>
      <w:r w:rsidR="00186EE0">
        <w:rPr>
          <w:rFonts w:eastAsia="Times New Roman"/>
          <w:color w:val="000000"/>
          <w:sz w:val="24"/>
          <w:szCs w:val="24"/>
        </w:rPr>
        <w:t xml:space="preserve">Respondent terminated gas service to the service address on September 9, 2015 (Tr. 20).  </w:t>
      </w:r>
    </w:p>
    <w:p w:rsidR="009765EB" w:rsidRPr="007B6157" w:rsidRDefault="009765EB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7B6157" w:rsidRDefault="00683277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7B6157">
        <w:rPr>
          <w:rFonts w:eastAsia="Times New Roman"/>
          <w:color w:val="000000"/>
          <w:sz w:val="24"/>
          <w:szCs w:val="24"/>
        </w:rPr>
        <w:t>4.</w:t>
      </w:r>
      <w:r w:rsidRPr="007B6157">
        <w:rPr>
          <w:rFonts w:eastAsia="Times New Roman"/>
          <w:color w:val="000000"/>
          <w:sz w:val="24"/>
          <w:szCs w:val="24"/>
        </w:rPr>
        <w:tab/>
      </w:r>
      <w:r w:rsidR="00186EE0">
        <w:rPr>
          <w:rFonts w:eastAsia="Times New Roman"/>
          <w:color w:val="000000"/>
          <w:sz w:val="24"/>
          <w:szCs w:val="24"/>
        </w:rPr>
        <w:t>Complainant’s mother resides with Complainant at the service address</w:t>
      </w:r>
      <w:r w:rsidR="000F7BF4">
        <w:rPr>
          <w:rFonts w:eastAsia="Times New Roman"/>
          <w:color w:val="000000"/>
          <w:sz w:val="24"/>
          <w:szCs w:val="24"/>
        </w:rPr>
        <w:t xml:space="preserve">.  There are no other persons residing in the household </w:t>
      </w:r>
      <w:r w:rsidR="00186EE0">
        <w:rPr>
          <w:rFonts w:eastAsia="Times New Roman"/>
          <w:color w:val="000000"/>
          <w:sz w:val="24"/>
          <w:szCs w:val="24"/>
        </w:rPr>
        <w:t>(Tr. 14</w:t>
      </w:r>
      <w:r w:rsidR="000F7BF4">
        <w:rPr>
          <w:rFonts w:eastAsia="Times New Roman"/>
          <w:color w:val="000000"/>
          <w:sz w:val="24"/>
          <w:szCs w:val="24"/>
        </w:rPr>
        <w:t>-15</w:t>
      </w:r>
      <w:r w:rsidR="00186EE0">
        <w:rPr>
          <w:rFonts w:eastAsia="Times New Roman"/>
          <w:color w:val="000000"/>
          <w:sz w:val="24"/>
          <w:szCs w:val="24"/>
        </w:rPr>
        <w:t xml:space="preserve">).  </w:t>
      </w:r>
      <w:r w:rsidR="00A20F79" w:rsidRPr="007B6157">
        <w:rPr>
          <w:rFonts w:eastAsia="Times New Roman"/>
          <w:color w:val="000000"/>
          <w:sz w:val="24"/>
          <w:szCs w:val="24"/>
        </w:rPr>
        <w:t xml:space="preserve">  </w:t>
      </w:r>
    </w:p>
    <w:p w:rsidR="00C22D2A" w:rsidRPr="007B6157" w:rsidRDefault="00FE439A" w:rsidP="00426718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Complainant’s electric utility service was terminated in April 2015 </w:t>
      </w:r>
      <w:r w:rsidR="00AA049E">
        <w:rPr>
          <w:rFonts w:eastAsia="Times New Roman"/>
          <w:color w:val="000000"/>
          <w:sz w:val="24"/>
          <w:szCs w:val="24"/>
        </w:rPr>
        <w:t xml:space="preserve">      </w:t>
      </w:r>
      <w:r>
        <w:rPr>
          <w:rFonts w:eastAsia="Times New Roman"/>
          <w:color w:val="000000"/>
          <w:sz w:val="24"/>
          <w:szCs w:val="24"/>
        </w:rPr>
        <w:t>(Tr. 11).</w:t>
      </w:r>
    </w:p>
    <w:p w:rsidR="009765EB" w:rsidRPr="007B6157" w:rsidRDefault="009765EB" w:rsidP="00426718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FE439A" w:rsidP="00426718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 August 2015, Complainant paid approximately $1,700 to restore electric utility service to her home (Tr. 11, 16).  </w:t>
      </w:r>
      <w:r w:rsidR="00A20F79" w:rsidRPr="007B6157">
        <w:rPr>
          <w:rFonts w:eastAsia="Times New Roman"/>
          <w:b/>
          <w:color w:val="000000"/>
          <w:sz w:val="24"/>
          <w:szCs w:val="24"/>
        </w:rPr>
        <w:t xml:space="preserve">  </w:t>
      </w:r>
    </w:p>
    <w:p w:rsidR="009765EB" w:rsidRPr="007B6157" w:rsidRDefault="009765EB" w:rsidP="00426718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6157" w:rsidRDefault="00FE439A" w:rsidP="00426718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Complainant entered into two payment arrangements with UGI and defaulted on both payment arrangements.  The first payment arrangement was made on </w:t>
      </w:r>
      <w:r w:rsidR="00AA049E">
        <w:rPr>
          <w:rFonts w:eastAsia="Times New Roman"/>
          <w:color w:val="000000"/>
          <w:spacing w:val="4"/>
          <w:sz w:val="24"/>
          <w:szCs w:val="24"/>
        </w:rPr>
        <w:t xml:space="preserve">  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May 13, 2014, and the second payment arrangement was made on June 21, 2014 (Tr. 20; Exhibit R-2).  </w:t>
      </w:r>
    </w:p>
    <w:p w:rsidR="009765EB" w:rsidRPr="007B6157" w:rsidRDefault="009765EB" w:rsidP="00426718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Default="00FE439A" w:rsidP="00426718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On November 24, 2014, Complainant was granted a payment arrangement by the Commission’s Bureau of Consumer Services (BCS) at BCS Case No. 3261</w:t>
      </w:r>
      <w:r w:rsidR="00586F16">
        <w:rPr>
          <w:rFonts w:eastAsia="Times New Roman"/>
          <w:color w:val="000000"/>
          <w:spacing w:val="2"/>
          <w:sz w:val="24"/>
          <w:szCs w:val="24"/>
        </w:rPr>
        <w:t>604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(Tr. 20, 22; Exhibits R-2 and R-4).  </w:t>
      </w:r>
      <w:r w:rsidR="00683277" w:rsidRPr="007B6157">
        <w:rPr>
          <w:rFonts w:eastAsia="Times New Roman"/>
          <w:color w:val="000000"/>
          <w:spacing w:val="2"/>
          <w:sz w:val="24"/>
          <w:szCs w:val="24"/>
        </w:rPr>
        <w:t xml:space="preserve"> </w:t>
      </w:r>
    </w:p>
    <w:p w:rsidR="004F29EE" w:rsidRDefault="004F29EE" w:rsidP="004F29EE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4F29EE" w:rsidRPr="007B6157" w:rsidRDefault="004F29EE" w:rsidP="00AA049E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9.</w:t>
      </w:r>
      <w:r>
        <w:rPr>
          <w:rFonts w:eastAsia="Times New Roman"/>
          <w:color w:val="000000"/>
          <w:spacing w:val="2"/>
          <w:sz w:val="24"/>
          <w:szCs w:val="24"/>
        </w:rPr>
        <w:tab/>
        <w:t>The BCS payment arrangement required Complainant to pay her</w:t>
      </w:r>
      <w:r w:rsidR="00AA049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monthly budget amount of $74 plus $15 toward her account arrearages.  The total account balance when the payment arrangement was granted was $797.77 (Tr. 22; Exhibit R-4).   </w:t>
      </w:r>
    </w:p>
    <w:p w:rsidR="009765EB" w:rsidRPr="007B6157" w:rsidRDefault="009765EB" w:rsidP="00426718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4F29EE" w:rsidRDefault="004F29EE" w:rsidP="004F29EE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eastAsia="Times New Roman"/>
          <w:color w:val="000000"/>
          <w:sz w:val="24"/>
          <w:szCs w:val="24"/>
        </w:rPr>
        <w:tab/>
      </w:r>
      <w:r w:rsidR="00586F16">
        <w:rPr>
          <w:rFonts w:eastAsia="Times New Roman"/>
          <w:color w:val="000000"/>
          <w:sz w:val="24"/>
          <w:szCs w:val="24"/>
        </w:rPr>
        <w:t>Complainant defaulted on her BCS payment arrangement (Tr. 20; Exhibits</w:t>
      </w:r>
    </w:p>
    <w:p w:rsidR="00C22D2A" w:rsidRDefault="00586F16" w:rsidP="004F29EE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R-1 and R-2).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586F16" w:rsidRDefault="00586F16" w:rsidP="00586F16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586F16" w:rsidRDefault="00586F16" w:rsidP="00AA049E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E35225">
        <w:rPr>
          <w:rFonts w:eastAsia="Times New Roman"/>
          <w:color w:val="000000"/>
          <w:sz w:val="24"/>
          <w:szCs w:val="24"/>
        </w:rPr>
        <w:t>1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  <w:t xml:space="preserve">In June 2015, Complainant’s </w:t>
      </w:r>
      <w:r w:rsidR="000E5B45">
        <w:rPr>
          <w:rFonts w:eastAsia="Times New Roman"/>
          <w:color w:val="000000"/>
          <w:sz w:val="24"/>
          <w:szCs w:val="24"/>
        </w:rPr>
        <w:t xml:space="preserve">total </w:t>
      </w:r>
      <w:r>
        <w:rPr>
          <w:rFonts w:eastAsia="Times New Roman"/>
          <w:color w:val="000000"/>
          <w:sz w:val="24"/>
          <w:szCs w:val="24"/>
        </w:rPr>
        <w:t>household income was $2,325</w:t>
      </w:r>
      <w:r w:rsidR="000E5B45">
        <w:rPr>
          <w:rFonts w:eastAsia="Times New Roman"/>
          <w:color w:val="000000"/>
          <w:sz w:val="24"/>
          <w:szCs w:val="24"/>
        </w:rPr>
        <w:t xml:space="preserve"> and UGI</w:t>
      </w:r>
      <w:r w:rsidR="00AA049E">
        <w:rPr>
          <w:rFonts w:eastAsia="Times New Roman"/>
          <w:color w:val="000000"/>
          <w:sz w:val="24"/>
          <w:szCs w:val="24"/>
        </w:rPr>
        <w:t xml:space="preserve"> </w:t>
      </w:r>
      <w:r w:rsidR="000E5B45">
        <w:rPr>
          <w:rFonts w:eastAsia="Times New Roman"/>
          <w:color w:val="000000"/>
          <w:sz w:val="24"/>
          <w:szCs w:val="24"/>
        </w:rPr>
        <w:t>determined she was not income</w:t>
      </w:r>
      <w:r w:rsidR="00710470">
        <w:rPr>
          <w:rFonts w:eastAsia="Times New Roman"/>
          <w:color w:val="000000"/>
          <w:sz w:val="24"/>
          <w:szCs w:val="24"/>
        </w:rPr>
        <w:t>-</w:t>
      </w:r>
      <w:r w:rsidR="000E5B45">
        <w:rPr>
          <w:rFonts w:eastAsia="Times New Roman"/>
          <w:color w:val="000000"/>
          <w:sz w:val="24"/>
          <w:szCs w:val="24"/>
        </w:rPr>
        <w:t>eligible for its customer assistance program (CAP) (Tr. 23).</w:t>
      </w:r>
    </w:p>
    <w:p w:rsidR="000E5B45" w:rsidRDefault="000E5B45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E5B45" w:rsidRDefault="000E5B45" w:rsidP="00AA049E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E35225"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  <w:t>In June 2016, Complainant’s total household income was $2,466 and UGI</w:t>
      </w:r>
      <w:r w:rsidR="00AA049E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determined she was not income</w:t>
      </w:r>
      <w:r w:rsidR="00710470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 xml:space="preserve">eligible for its CAP (Tr. 24).  </w:t>
      </w:r>
    </w:p>
    <w:p w:rsidR="000E5B45" w:rsidRDefault="000E5B45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E5B45" w:rsidRDefault="000E5B45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1</w:t>
      </w:r>
      <w:r w:rsidR="00E35225">
        <w:rPr>
          <w:rFonts w:eastAsia="Times New Roman"/>
          <w:color w:val="000000"/>
          <w:sz w:val="24"/>
          <w:szCs w:val="24"/>
        </w:rPr>
        <w:t>3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  <w:t>Complainant’s final account balance is $1,532.33 (Tr. 20; Exhibit R-1).</w:t>
      </w:r>
    </w:p>
    <w:p w:rsidR="000E5B45" w:rsidRDefault="000E5B45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E5B45" w:rsidRDefault="000E5B45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1</w:t>
      </w:r>
      <w:r w:rsidR="00E35225"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  <w:t xml:space="preserve">At the time of hearing, UGI advised Complainant that she was eligible for $532.33 from Operation Share Funding and that service could be restored if she paid UGI $1,000 plus a reconnection fee in the amount of $73 for a total amount of $1,073 (Tr. 21).   </w:t>
      </w:r>
    </w:p>
    <w:p w:rsidR="00832D6E" w:rsidRDefault="00832D6E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E5B45" w:rsidRPr="007B6157" w:rsidRDefault="00832D6E" w:rsidP="000E5B45">
      <w:pPr>
        <w:tabs>
          <w:tab w:val="left" w:pos="64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15.</w:t>
      </w:r>
      <w:r>
        <w:rPr>
          <w:rFonts w:eastAsia="Times New Roman"/>
          <w:color w:val="000000"/>
          <w:sz w:val="24"/>
          <w:szCs w:val="24"/>
        </w:rPr>
        <w:tab/>
        <w:t xml:space="preserve">Complainant’s daughter and granddaughter did live with her </w:t>
      </w:r>
      <w:r w:rsidR="00D2189F">
        <w:rPr>
          <w:rFonts w:eastAsia="Times New Roman"/>
          <w:color w:val="000000"/>
          <w:sz w:val="24"/>
          <w:szCs w:val="24"/>
        </w:rPr>
        <w:t>at the service address</w:t>
      </w:r>
      <w:r w:rsidR="00710470">
        <w:rPr>
          <w:rFonts w:eastAsia="Times New Roman"/>
          <w:color w:val="000000"/>
          <w:sz w:val="24"/>
          <w:szCs w:val="24"/>
        </w:rPr>
        <w:t>,</w:t>
      </w:r>
      <w:r w:rsidR="00D2189F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but they moved out when gas service was terminated so there are two fewer residents in Complainant’s household currently (Tr. 15). </w:t>
      </w:r>
      <w:r w:rsidR="000E5B45">
        <w:rPr>
          <w:rFonts w:eastAsia="Times New Roman"/>
          <w:color w:val="000000"/>
          <w:sz w:val="24"/>
          <w:szCs w:val="24"/>
        </w:rPr>
        <w:tab/>
      </w:r>
      <w:r w:rsidR="000E5B45">
        <w:rPr>
          <w:rFonts w:eastAsia="Times New Roman"/>
          <w:color w:val="000000"/>
          <w:sz w:val="24"/>
          <w:szCs w:val="24"/>
        </w:rPr>
        <w:tab/>
      </w:r>
    </w:p>
    <w:p w:rsidR="00154990" w:rsidRPr="007B6157" w:rsidRDefault="00154990" w:rsidP="00426718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26AEF" w:rsidRDefault="00683277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426AEF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7B6157" w:rsidRDefault="009765EB" w:rsidP="00426718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FB508D" w:rsidRDefault="00FB508D" w:rsidP="00FB508D">
      <w:pPr>
        <w:spacing w:line="360" w:lineRule="auto"/>
        <w:ind w:firstLine="1440"/>
        <w:rPr>
          <w:sz w:val="24"/>
          <w:szCs w:val="24"/>
        </w:rPr>
      </w:pPr>
      <w:r w:rsidRPr="00ED36C7">
        <w:rPr>
          <w:sz w:val="24"/>
          <w:szCs w:val="24"/>
        </w:rPr>
        <w:t xml:space="preserve">As the party seeking affirmative relief from this Commission, </w:t>
      </w:r>
      <w:r>
        <w:rPr>
          <w:sz w:val="24"/>
          <w:szCs w:val="24"/>
        </w:rPr>
        <w:t>M</w:t>
      </w:r>
      <w:r w:rsidR="009A04E0">
        <w:rPr>
          <w:sz w:val="24"/>
          <w:szCs w:val="24"/>
        </w:rPr>
        <w:t xml:space="preserve">s. Rivers </w:t>
      </w:r>
      <w:r>
        <w:rPr>
          <w:sz w:val="24"/>
          <w:szCs w:val="24"/>
        </w:rPr>
        <w:t>b</w:t>
      </w:r>
      <w:r w:rsidRPr="00ED36C7">
        <w:rPr>
          <w:sz w:val="24"/>
          <w:szCs w:val="24"/>
        </w:rPr>
        <w:t xml:space="preserve">ears the burden of proof.  </w:t>
      </w:r>
      <w:proofErr w:type="gramStart"/>
      <w:r w:rsidRPr="00ED36C7">
        <w:rPr>
          <w:sz w:val="24"/>
          <w:szCs w:val="24"/>
        </w:rPr>
        <w:t xml:space="preserve">66 </w:t>
      </w:r>
      <w:proofErr w:type="spellStart"/>
      <w:r w:rsidRPr="00ED36C7">
        <w:rPr>
          <w:sz w:val="24"/>
          <w:szCs w:val="24"/>
        </w:rPr>
        <w:t>Pa.C.S</w:t>
      </w:r>
      <w:proofErr w:type="spellEnd"/>
      <w:r w:rsidRPr="00ED36C7">
        <w:rPr>
          <w:sz w:val="24"/>
          <w:szCs w:val="24"/>
        </w:rPr>
        <w:t>.</w:t>
      </w:r>
      <w:proofErr w:type="gramEnd"/>
      <w:r w:rsidRPr="00ED36C7">
        <w:rPr>
          <w:sz w:val="24"/>
          <w:szCs w:val="24"/>
        </w:rPr>
        <w:t xml:space="preserve"> §</w:t>
      </w:r>
      <w:r>
        <w:rPr>
          <w:sz w:val="24"/>
          <w:szCs w:val="24"/>
        </w:rPr>
        <w:t> </w:t>
      </w:r>
      <w:r w:rsidRPr="00ED36C7">
        <w:rPr>
          <w:sz w:val="24"/>
          <w:szCs w:val="24"/>
        </w:rPr>
        <w:t xml:space="preserve">332(a).  The term “burden of proof” means a duty to establish a fact by a preponderance of the evidence.  </w:t>
      </w:r>
      <w:proofErr w:type="gramStart"/>
      <w:r w:rsidRPr="00ED36C7">
        <w:rPr>
          <w:sz w:val="24"/>
          <w:szCs w:val="24"/>
          <w:u w:val="single"/>
        </w:rPr>
        <w:t>Se-Ling Hosiery v. Margulies</w:t>
      </w:r>
      <w:r w:rsidRPr="00ED36C7">
        <w:rPr>
          <w:sz w:val="24"/>
          <w:szCs w:val="24"/>
        </w:rPr>
        <w:t xml:space="preserve">, 364 Pa. 45, 70 A.2d 854 (1950); and </w:t>
      </w:r>
      <w:r w:rsidRPr="00ED36C7">
        <w:rPr>
          <w:sz w:val="24"/>
          <w:szCs w:val="24"/>
          <w:u w:val="single"/>
        </w:rPr>
        <w:t>Feinstein v. Philadelphia Suburban Water Company</w:t>
      </w:r>
      <w:r w:rsidRPr="00ED36C7">
        <w:rPr>
          <w:sz w:val="24"/>
          <w:szCs w:val="24"/>
        </w:rPr>
        <w:t>, 50 Pa. PUC 300 (1976).</w:t>
      </w:r>
      <w:proofErr w:type="gramEnd"/>
      <w:r w:rsidRPr="00ED36C7">
        <w:rPr>
          <w:sz w:val="24"/>
          <w:szCs w:val="24"/>
        </w:rPr>
        <w:t xml:space="preserve">  “Preponderance of the evidence” means one party must present evidence that is more convincing, by even the smallest amount, than the evidence presented by the other party.  </w:t>
      </w:r>
      <w:r w:rsidRPr="00ED36C7">
        <w:rPr>
          <w:i/>
          <w:sz w:val="24"/>
          <w:szCs w:val="24"/>
        </w:rPr>
        <w:t>Id</w:t>
      </w:r>
      <w:r w:rsidRPr="00ED36C7">
        <w:rPr>
          <w:sz w:val="24"/>
          <w:szCs w:val="24"/>
        </w:rPr>
        <w:t xml:space="preserve">.  </w:t>
      </w:r>
    </w:p>
    <w:p w:rsidR="00FB508D" w:rsidRDefault="00FB508D" w:rsidP="00FB508D">
      <w:pPr>
        <w:spacing w:line="360" w:lineRule="auto"/>
        <w:ind w:firstLine="1440"/>
        <w:rPr>
          <w:sz w:val="24"/>
          <w:szCs w:val="24"/>
        </w:rPr>
      </w:pPr>
    </w:p>
    <w:p w:rsidR="00FB508D" w:rsidRPr="001574A1" w:rsidRDefault="00FB508D" w:rsidP="00FB508D">
      <w:pPr>
        <w:spacing w:line="360" w:lineRule="auto"/>
        <w:ind w:firstLine="1440"/>
        <w:rPr>
          <w:sz w:val="24"/>
          <w:szCs w:val="24"/>
        </w:rPr>
      </w:pPr>
      <w:r w:rsidRPr="001574A1">
        <w:rPr>
          <w:sz w:val="24"/>
          <w:szCs w:val="24"/>
        </w:rPr>
        <w:t xml:space="preserve">The Responsible Utility Customer Protection Act, </w:t>
      </w:r>
      <w:proofErr w:type="gramStart"/>
      <w:r w:rsidRPr="001574A1">
        <w:rPr>
          <w:sz w:val="24"/>
          <w:szCs w:val="24"/>
        </w:rPr>
        <w:t xml:space="preserve">66 </w:t>
      </w:r>
      <w:proofErr w:type="spellStart"/>
      <w:r w:rsidRPr="001574A1">
        <w:rPr>
          <w:sz w:val="24"/>
          <w:szCs w:val="24"/>
        </w:rPr>
        <w:t>Pa.C.S</w:t>
      </w:r>
      <w:proofErr w:type="spellEnd"/>
      <w:proofErr w:type="gramEnd"/>
      <w:r w:rsidRPr="001574A1">
        <w:rPr>
          <w:sz w:val="24"/>
          <w:szCs w:val="24"/>
        </w:rPr>
        <w:t xml:space="preserve">. § 1401, </w:t>
      </w:r>
      <w:r w:rsidRPr="001574A1">
        <w:rPr>
          <w:i/>
          <w:sz w:val="24"/>
          <w:szCs w:val="24"/>
        </w:rPr>
        <w:t>et seq</w:t>
      </w:r>
      <w:r w:rsidRPr="001574A1">
        <w:rPr>
          <w:sz w:val="24"/>
          <w:szCs w:val="24"/>
        </w:rPr>
        <w:t>. (the Act or Chapter 14) applies to this proceeding.  This law provides strict guidelines that the Commission must follow in handling customer complaints</w:t>
      </w:r>
      <w:r>
        <w:rPr>
          <w:sz w:val="24"/>
          <w:szCs w:val="24"/>
        </w:rPr>
        <w:t xml:space="preserve"> seeking payment arrangements</w:t>
      </w:r>
      <w:r w:rsidRPr="001574A1">
        <w:rPr>
          <w:sz w:val="24"/>
          <w:szCs w:val="24"/>
        </w:rPr>
        <w:t>.</w:t>
      </w:r>
    </w:p>
    <w:p w:rsidR="00FB508D" w:rsidRPr="001574A1" w:rsidRDefault="00FB508D" w:rsidP="00FB508D">
      <w:pPr>
        <w:spacing w:line="360" w:lineRule="auto"/>
        <w:rPr>
          <w:sz w:val="24"/>
          <w:szCs w:val="24"/>
        </w:rPr>
      </w:pPr>
    </w:p>
    <w:p w:rsidR="00FB508D" w:rsidRPr="00ED36C7" w:rsidRDefault="00FB508D" w:rsidP="00FB508D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The issue presented by this complaint is whether Complainant</w:t>
      </w:r>
      <w:r>
        <w:rPr>
          <w:sz w:val="24"/>
          <w:szCs w:val="24"/>
        </w:rPr>
        <w:t xml:space="preserve"> is</w:t>
      </w:r>
      <w:r w:rsidRPr="00ED36C7">
        <w:rPr>
          <w:sz w:val="24"/>
          <w:szCs w:val="24"/>
        </w:rPr>
        <w:t xml:space="preserve"> entitled to a</w:t>
      </w:r>
      <w:r>
        <w:rPr>
          <w:sz w:val="24"/>
          <w:szCs w:val="24"/>
        </w:rPr>
        <w:t xml:space="preserve"> </w:t>
      </w:r>
      <w:r w:rsidR="009A04E0">
        <w:rPr>
          <w:sz w:val="24"/>
          <w:szCs w:val="24"/>
        </w:rPr>
        <w:t>second</w:t>
      </w:r>
      <w:r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Commission-ordered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pursuant to Section 1405 of the Code, 66 </w:t>
      </w:r>
      <w:proofErr w:type="spellStart"/>
      <w:r w:rsidRPr="00ED36C7">
        <w:rPr>
          <w:sz w:val="24"/>
          <w:szCs w:val="24"/>
        </w:rPr>
        <w:t>Pa.C.S</w:t>
      </w:r>
      <w:proofErr w:type="spellEnd"/>
      <w:r w:rsidRPr="00ED36C7">
        <w:rPr>
          <w:sz w:val="24"/>
          <w:szCs w:val="24"/>
        </w:rPr>
        <w:t>. §</w:t>
      </w:r>
      <w:r>
        <w:rPr>
          <w:sz w:val="24"/>
          <w:szCs w:val="24"/>
        </w:rPr>
        <w:t> </w:t>
      </w:r>
      <w:r w:rsidRPr="00ED36C7">
        <w:rPr>
          <w:sz w:val="24"/>
          <w:szCs w:val="24"/>
        </w:rPr>
        <w:t>1405</w:t>
      </w:r>
      <w:r w:rsidR="00D2189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  </w:t>
      </w:r>
    </w:p>
    <w:p w:rsidR="00FB508D" w:rsidRPr="00ED36C7" w:rsidRDefault="00FB508D" w:rsidP="00FB508D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 xml:space="preserve"> </w:t>
      </w: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 xml:space="preserve">Section 1405 of the Code provides as follows: </w:t>
      </w:r>
    </w:p>
    <w:p w:rsidR="00FB508D" w:rsidRPr="00ED36C7" w:rsidRDefault="00FB508D" w:rsidP="00FB508D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 xml:space="preserve">1405.  </w:t>
      </w:r>
      <w:proofErr w:type="gramStart"/>
      <w:r w:rsidRPr="00ED36C7">
        <w:rPr>
          <w:sz w:val="24"/>
          <w:szCs w:val="24"/>
        </w:rPr>
        <w:t>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>.</w:t>
      </w:r>
      <w:proofErr w:type="gramEnd"/>
      <w:r w:rsidRPr="00ED36C7">
        <w:rPr>
          <w:sz w:val="24"/>
          <w:szCs w:val="24"/>
        </w:rPr>
        <w:br/>
      </w:r>
      <w:r w:rsidRPr="00ED36C7">
        <w:rPr>
          <w:sz w:val="24"/>
          <w:szCs w:val="24"/>
        </w:rPr>
        <w:br/>
        <w:t xml:space="preserve">    (a) General Rule.  The commission is authorized to investigate complaints regarding payment disputes between a public utility, applicants and customers. </w:t>
      </w:r>
      <w:r>
        <w:rPr>
          <w:sz w:val="24"/>
          <w:szCs w:val="24"/>
        </w:rPr>
        <w:t xml:space="preserve"> </w:t>
      </w:r>
      <w:r w:rsidRPr="00ED36C7">
        <w:rPr>
          <w:sz w:val="24"/>
          <w:szCs w:val="24"/>
        </w:rPr>
        <w:t>The commission is authorized to establish 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 xml:space="preserve"> between a public utility, customers and applicants within the limits established by this </w:t>
      </w:r>
      <w:r w:rsidRPr="00ED36C7">
        <w:rPr>
          <w:sz w:val="24"/>
          <w:szCs w:val="24"/>
        </w:rPr>
        <w:lastRenderedPageBreak/>
        <w:t>chapter.</w:t>
      </w:r>
      <w:r w:rsidRPr="00ED36C7">
        <w:rPr>
          <w:sz w:val="24"/>
          <w:szCs w:val="24"/>
        </w:rPr>
        <w:br/>
        <w:t> </w:t>
      </w:r>
    </w:p>
    <w:p w:rsidR="00FB508D" w:rsidRPr="00ED36C7" w:rsidRDefault="00FB508D" w:rsidP="00FB508D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t>   (b) Length of 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>.  The length of time for a customer to resolve an unpaid balance on an account that is subject to a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that is investigated by the commission and is entered into by a public utility and a customer shall not extend beyond: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(1) Five years for customers with a gross monthly household income level not exceeding 150%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(2) T</w:t>
      </w:r>
      <w:r>
        <w:rPr>
          <w:sz w:val="24"/>
          <w:szCs w:val="24"/>
        </w:rPr>
        <w:t xml:space="preserve">hree </w:t>
      </w:r>
      <w:r w:rsidRPr="00ED36C7">
        <w:rPr>
          <w:sz w:val="24"/>
          <w:szCs w:val="24"/>
        </w:rPr>
        <w:t>years for customers with a gross monthly household income level exceeding 150% and not more than 250% of the Federal poverty level.</w:t>
      </w:r>
    </w:p>
    <w:p w:rsidR="00FB508D" w:rsidRDefault="00FB508D" w:rsidP="00FB508D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(3) One year for customers with a gross monthly household income level exceeding 250% of the Federal poverty level and not more than 300%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</w:t>
      </w:r>
      <w:r w:rsidRPr="00ED36C7">
        <w:rPr>
          <w:sz w:val="24"/>
          <w:szCs w:val="24"/>
        </w:rPr>
        <w:tab/>
        <w:t>(4) Six months for customers with a gross monthly household income level exceeding 300% of the Federal poverty level.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(c) Customer Assistance Programs.  Customer assistance program rates shall be timely paid and shall not be the subject of 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 xml:space="preserve"> negotiated or approved by the commission.</w:t>
      </w:r>
    </w:p>
    <w:p w:rsidR="00FB508D" w:rsidRDefault="00FB508D" w:rsidP="00FB508D">
      <w:pPr>
        <w:pStyle w:val="BodyText"/>
        <w:tabs>
          <w:tab w:val="left" w:pos="1800"/>
        </w:tabs>
        <w:spacing w:line="240" w:lineRule="auto"/>
        <w:ind w:left="1440" w:right="1440"/>
        <w:jc w:val="left"/>
        <w:rPr>
          <w:sz w:val="24"/>
          <w:szCs w:val="24"/>
        </w:rPr>
      </w:pPr>
      <w:r w:rsidRPr="00ED36C7">
        <w:rPr>
          <w:sz w:val="24"/>
          <w:szCs w:val="24"/>
        </w:rPr>
        <w:br/>
        <w:t>   (d) Number of 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>.  Absent a change in income, the commission shall not establish or order a public utility to establish a second or subsequent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if a customer has defaulted on a previous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>.  A public utility may, at its discretion, enter into a second or subsequent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with a customer.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(e) Extension of Payment A</w:t>
      </w:r>
      <w:r>
        <w:rPr>
          <w:sz w:val="24"/>
          <w:szCs w:val="24"/>
        </w:rPr>
        <w:t>rrangements</w:t>
      </w:r>
      <w:r w:rsidRPr="00ED36C7">
        <w:rPr>
          <w:sz w:val="24"/>
          <w:szCs w:val="24"/>
        </w:rPr>
        <w:t>.  If the customer defaults on a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established under subsections (a) and (b) as a result of a significant change in circumstance, the commission may reinstate the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 xml:space="preserve"> and extend the remaining term for an initial period of six months.</w:t>
      </w:r>
      <w:r>
        <w:rPr>
          <w:sz w:val="24"/>
          <w:szCs w:val="24"/>
        </w:rPr>
        <w:t xml:space="preserve">  </w:t>
      </w:r>
      <w:r w:rsidRPr="00ED36C7">
        <w:rPr>
          <w:sz w:val="24"/>
          <w:szCs w:val="24"/>
        </w:rPr>
        <w:t>The initial extension period may be extended for an additional six months for good cause shown.</w:t>
      </w:r>
      <w:r w:rsidRPr="00ED36C7">
        <w:rPr>
          <w:sz w:val="24"/>
          <w:szCs w:val="24"/>
        </w:rPr>
        <w:br/>
        <w:t> </w:t>
      </w:r>
      <w:r w:rsidRPr="00ED36C7">
        <w:rPr>
          <w:sz w:val="24"/>
          <w:szCs w:val="24"/>
        </w:rPr>
        <w:br/>
        <w:t>   (f) Failure to Comply with Payment A</w:t>
      </w:r>
      <w:r>
        <w:rPr>
          <w:sz w:val="24"/>
          <w:szCs w:val="24"/>
        </w:rPr>
        <w:t>rrangement</w:t>
      </w:r>
      <w:r w:rsidRPr="00ED36C7">
        <w:rPr>
          <w:sz w:val="24"/>
          <w:szCs w:val="24"/>
        </w:rPr>
        <w:t>.  Failure of a customer to compl</w:t>
      </w:r>
      <w:r>
        <w:rPr>
          <w:sz w:val="24"/>
          <w:szCs w:val="24"/>
        </w:rPr>
        <w:t>y with the terms of a payment arrangement</w:t>
      </w:r>
      <w:r w:rsidRPr="00ED36C7">
        <w:rPr>
          <w:sz w:val="24"/>
          <w:szCs w:val="24"/>
        </w:rPr>
        <w:t xml:space="preserve"> shall be grounds for a public utility to terminate the customer’s service. Pending the outcome of a complaint filed with the commission, a </w:t>
      </w:r>
      <w:r w:rsidRPr="00ED36C7">
        <w:rPr>
          <w:sz w:val="24"/>
          <w:szCs w:val="24"/>
        </w:rPr>
        <w:lastRenderedPageBreak/>
        <w:t>customer shall be obligated to pay that portion of the bill which is not in dispute and subsequent bills which are not in dispute.</w:t>
      </w:r>
    </w:p>
    <w:p w:rsidR="00FB508D" w:rsidRDefault="00FB508D" w:rsidP="00FB508D">
      <w:pPr>
        <w:pStyle w:val="BodyText"/>
        <w:tabs>
          <w:tab w:val="left" w:pos="1800"/>
        </w:tabs>
        <w:spacing w:line="240" w:lineRule="auto"/>
        <w:ind w:right="1440"/>
        <w:jc w:val="left"/>
        <w:rPr>
          <w:sz w:val="24"/>
          <w:szCs w:val="24"/>
        </w:rPr>
      </w:pPr>
    </w:p>
    <w:p w:rsidR="00FB508D" w:rsidRDefault="00FB508D" w:rsidP="00FB508D">
      <w:pPr>
        <w:pStyle w:val="BodyText"/>
        <w:tabs>
          <w:tab w:val="left" w:pos="1800"/>
        </w:tabs>
        <w:spacing w:line="240" w:lineRule="auto"/>
        <w:ind w:right="144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66 </w:t>
      </w:r>
      <w:proofErr w:type="spellStart"/>
      <w:r>
        <w:rPr>
          <w:sz w:val="24"/>
          <w:szCs w:val="24"/>
        </w:rPr>
        <w:t>Pa.C.S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1574A1">
        <w:rPr>
          <w:sz w:val="24"/>
          <w:szCs w:val="24"/>
        </w:rPr>
        <w:t>§</w:t>
      </w:r>
      <w:r>
        <w:rPr>
          <w:sz w:val="24"/>
          <w:szCs w:val="24"/>
        </w:rPr>
        <w:t xml:space="preserve"> 1405.</w:t>
      </w:r>
    </w:p>
    <w:p w:rsidR="00FB508D" w:rsidRDefault="00FB508D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FB508D" w:rsidRPr="00ED36C7" w:rsidRDefault="009A04E0" w:rsidP="009A04E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This is an unfortunate case where Complainant and her mother earn too much money to be eligible for UGI’</w:t>
      </w:r>
      <w:r w:rsidR="004F29EE">
        <w:rPr>
          <w:sz w:val="24"/>
          <w:szCs w:val="24"/>
        </w:rPr>
        <w:t>s CAP</w:t>
      </w:r>
      <w:r w:rsidR="00832D6E">
        <w:rPr>
          <w:sz w:val="24"/>
          <w:szCs w:val="24"/>
        </w:rPr>
        <w:t xml:space="preserve">.  </w:t>
      </w:r>
      <w:r w:rsidR="004F29EE">
        <w:rPr>
          <w:sz w:val="24"/>
          <w:szCs w:val="24"/>
        </w:rPr>
        <w:t xml:space="preserve">Complainant defaulted on two company payment agreements and one Commission-ordered payment agreement.  </w:t>
      </w:r>
      <w:r w:rsidR="00FB508D">
        <w:rPr>
          <w:sz w:val="24"/>
          <w:szCs w:val="24"/>
        </w:rPr>
        <w:t xml:space="preserve">Complainant is not entitled to a </w:t>
      </w:r>
      <w:r>
        <w:rPr>
          <w:sz w:val="24"/>
          <w:szCs w:val="24"/>
        </w:rPr>
        <w:t>second</w:t>
      </w:r>
      <w:r w:rsidR="00FB508D">
        <w:rPr>
          <w:sz w:val="24"/>
          <w:szCs w:val="24"/>
        </w:rPr>
        <w:t xml:space="preserve"> Commission-ordered payment arrangement pursuant to 66 </w:t>
      </w:r>
      <w:proofErr w:type="spellStart"/>
      <w:r w:rsidR="00FB508D">
        <w:rPr>
          <w:sz w:val="24"/>
          <w:szCs w:val="24"/>
        </w:rPr>
        <w:t>Pa.C.S</w:t>
      </w:r>
      <w:proofErr w:type="spellEnd"/>
      <w:r w:rsidR="00FB508D">
        <w:rPr>
          <w:sz w:val="24"/>
          <w:szCs w:val="24"/>
        </w:rPr>
        <w:t xml:space="preserve">. </w:t>
      </w:r>
      <w:proofErr w:type="gramStart"/>
      <w:r w:rsidR="00FB508D">
        <w:rPr>
          <w:sz w:val="24"/>
          <w:szCs w:val="24"/>
        </w:rPr>
        <w:t>§1405(d).</w:t>
      </w:r>
      <w:proofErr w:type="gramEnd"/>
      <w:r w:rsidR="00FB508D">
        <w:rPr>
          <w:sz w:val="24"/>
          <w:szCs w:val="24"/>
        </w:rPr>
        <w:t xml:space="preserve">  </w:t>
      </w:r>
      <w:r w:rsidR="00832D6E">
        <w:rPr>
          <w:sz w:val="24"/>
          <w:szCs w:val="24"/>
        </w:rPr>
        <w:t xml:space="preserve">She did not prove that her household income has been reduced.  In fact, the income she reported to UGI for purposes of determining CAP eligibility in June 2016 was $2,466 whereas the income she reported to determine CAP eligibility in June 2015 was $2,325.  </w:t>
      </w:r>
      <w:r w:rsidR="00FB508D">
        <w:rPr>
          <w:sz w:val="24"/>
          <w:szCs w:val="24"/>
        </w:rPr>
        <w:t xml:space="preserve">The request for </w:t>
      </w:r>
      <w:r w:rsidR="00D2189F">
        <w:rPr>
          <w:sz w:val="24"/>
          <w:szCs w:val="24"/>
        </w:rPr>
        <w:t xml:space="preserve">restoration of service and </w:t>
      </w:r>
      <w:r w:rsidR="00FB508D">
        <w:rPr>
          <w:sz w:val="24"/>
          <w:szCs w:val="24"/>
        </w:rPr>
        <w:t>a payment arrangement is denied in the ordering paragraphs to follow.  Complainant has failed to meet h</w:t>
      </w:r>
      <w:r>
        <w:rPr>
          <w:sz w:val="24"/>
          <w:szCs w:val="24"/>
        </w:rPr>
        <w:t>er</w:t>
      </w:r>
      <w:r w:rsidR="00FB508D">
        <w:rPr>
          <w:sz w:val="24"/>
          <w:szCs w:val="24"/>
        </w:rPr>
        <w:t xml:space="preserve"> burden of proof.</w:t>
      </w: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</w:p>
    <w:p w:rsidR="00FB508D" w:rsidRPr="00ED36C7" w:rsidRDefault="00FB508D" w:rsidP="00FB508D">
      <w:pPr>
        <w:pStyle w:val="BodyText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CONCLUSIONS OF LAW</w:t>
      </w:r>
    </w:p>
    <w:p w:rsidR="00FB508D" w:rsidRDefault="00FB508D" w:rsidP="00FB508D">
      <w:pPr>
        <w:pStyle w:val="BodyText"/>
        <w:jc w:val="left"/>
        <w:rPr>
          <w:sz w:val="24"/>
          <w:szCs w:val="24"/>
        </w:rPr>
      </w:pPr>
    </w:p>
    <w:p w:rsidR="00FB508D" w:rsidRPr="00C637E9" w:rsidRDefault="00FB508D" w:rsidP="00FB508D">
      <w:pPr>
        <w:numPr>
          <w:ilvl w:val="0"/>
          <w:numId w:val="3"/>
        </w:numPr>
        <w:tabs>
          <w:tab w:val="clear" w:pos="900"/>
        </w:tabs>
        <w:spacing w:line="360" w:lineRule="auto"/>
        <w:ind w:left="0" w:firstLine="1440"/>
        <w:rPr>
          <w:sz w:val="24"/>
          <w:szCs w:val="24"/>
        </w:rPr>
      </w:pPr>
      <w:r w:rsidRPr="00C637E9">
        <w:rPr>
          <w:sz w:val="24"/>
          <w:szCs w:val="24"/>
        </w:rPr>
        <w:t xml:space="preserve">The Commission has jurisdiction over the parties and the subject matter of this proceeding.  </w:t>
      </w:r>
      <w:proofErr w:type="gramStart"/>
      <w:r w:rsidRPr="00C637E9">
        <w:rPr>
          <w:sz w:val="24"/>
          <w:szCs w:val="24"/>
        </w:rPr>
        <w:t xml:space="preserve">66 </w:t>
      </w:r>
      <w:proofErr w:type="spellStart"/>
      <w:r w:rsidRPr="00C637E9">
        <w:rPr>
          <w:sz w:val="24"/>
          <w:szCs w:val="24"/>
        </w:rPr>
        <w:t>Pa.C.S</w:t>
      </w:r>
      <w:proofErr w:type="spellEnd"/>
      <w:r w:rsidRPr="00C637E9">
        <w:rPr>
          <w:sz w:val="24"/>
          <w:szCs w:val="24"/>
        </w:rPr>
        <w:t>.</w:t>
      </w:r>
      <w:proofErr w:type="gramEnd"/>
      <w:r w:rsidRPr="00C637E9">
        <w:rPr>
          <w:sz w:val="24"/>
          <w:szCs w:val="24"/>
        </w:rPr>
        <w:t xml:space="preserve"> § 701.</w:t>
      </w:r>
    </w:p>
    <w:p w:rsidR="00FB508D" w:rsidRPr="00C637E9" w:rsidRDefault="00FB508D" w:rsidP="00FB508D">
      <w:pPr>
        <w:tabs>
          <w:tab w:val="num" w:pos="2160"/>
        </w:tabs>
        <w:spacing w:line="360" w:lineRule="auto"/>
        <w:ind w:firstLine="1260"/>
        <w:rPr>
          <w:sz w:val="24"/>
          <w:szCs w:val="24"/>
        </w:rPr>
      </w:pPr>
    </w:p>
    <w:p w:rsidR="00FB508D" w:rsidRPr="00C637E9" w:rsidRDefault="00FB508D" w:rsidP="00FB508D">
      <w:pPr>
        <w:spacing w:line="360" w:lineRule="auto"/>
        <w:rPr>
          <w:sz w:val="24"/>
          <w:szCs w:val="24"/>
        </w:rPr>
      </w:pPr>
      <w:r w:rsidRPr="00C637E9">
        <w:rPr>
          <w:sz w:val="24"/>
          <w:szCs w:val="24"/>
        </w:rPr>
        <w:tab/>
      </w:r>
      <w:r w:rsidRPr="00C637E9">
        <w:rPr>
          <w:sz w:val="24"/>
          <w:szCs w:val="24"/>
        </w:rPr>
        <w:tab/>
        <w:t>2.</w:t>
      </w:r>
      <w:r w:rsidRPr="00C637E9">
        <w:rPr>
          <w:sz w:val="24"/>
          <w:szCs w:val="24"/>
        </w:rPr>
        <w:tab/>
        <w:t xml:space="preserve">The Responsible Utility Customer Protection Act, </w:t>
      </w:r>
      <w:proofErr w:type="gramStart"/>
      <w:r w:rsidRPr="00C637E9">
        <w:rPr>
          <w:sz w:val="24"/>
          <w:szCs w:val="24"/>
        </w:rPr>
        <w:t xml:space="preserve">66 </w:t>
      </w:r>
      <w:proofErr w:type="spellStart"/>
      <w:r w:rsidRPr="00C637E9">
        <w:rPr>
          <w:sz w:val="24"/>
          <w:szCs w:val="24"/>
        </w:rPr>
        <w:t>Pa.C.S</w:t>
      </w:r>
      <w:proofErr w:type="spellEnd"/>
      <w:proofErr w:type="gramEnd"/>
      <w:r w:rsidRPr="00C637E9">
        <w:rPr>
          <w:sz w:val="24"/>
          <w:szCs w:val="24"/>
        </w:rPr>
        <w:t xml:space="preserve">. § 1401, </w:t>
      </w:r>
      <w:r w:rsidRPr="00C637E9">
        <w:rPr>
          <w:i/>
          <w:sz w:val="24"/>
          <w:szCs w:val="24"/>
        </w:rPr>
        <w:t>et seq</w:t>
      </w:r>
      <w:r w:rsidRPr="00C637E9">
        <w:rPr>
          <w:sz w:val="24"/>
          <w:szCs w:val="24"/>
        </w:rPr>
        <w:t>., applies to this proceeding.</w:t>
      </w:r>
    </w:p>
    <w:p w:rsidR="00FB508D" w:rsidRPr="00C637E9" w:rsidRDefault="00FB508D" w:rsidP="00FB508D">
      <w:pPr>
        <w:pStyle w:val="FootnoteText"/>
        <w:spacing w:line="360" w:lineRule="auto"/>
        <w:rPr>
          <w:sz w:val="24"/>
          <w:szCs w:val="24"/>
        </w:rPr>
      </w:pPr>
    </w:p>
    <w:p w:rsidR="00FB508D" w:rsidRDefault="00FB508D" w:rsidP="00FB508D">
      <w:pPr>
        <w:pStyle w:val="FootnoteText"/>
        <w:spacing w:line="360" w:lineRule="auto"/>
        <w:rPr>
          <w:sz w:val="24"/>
          <w:szCs w:val="24"/>
        </w:rPr>
      </w:pPr>
      <w:r w:rsidRPr="00C637E9">
        <w:rPr>
          <w:sz w:val="24"/>
          <w:szCs w:val="24"/>
        </w:rPr>
        <w:tab/>
      </w:r>
      <w:r w:rsidRPr="00C637E9">
        <w:rPr>
          <w:sz w:val="24"/>
          <w:szCs w:val="24"/>
        </w:rPr>
        <w:tab/>
        <w:t>3.</w:t>
      </w:r>
      <w:r w:rsidRPr="00C637E9">
        <w:rPr>
          <w:sz w:val="24"/>
          <w:szCs w:val="24"/>
        </w:rPr>
        <w:tab/>
        <w:t>The Complainant had the burden of proof</w:t>
      </w:r>
      <w:r>
        <w:rPr>
          <w:sz w:val="24"/>
          <w:szCs w:val="24"/>
        </w:rPr>
        <w:t xml:space="preserve"> in this proceeding and </w:t>
      </w:r>
      <w:r w:rsidR="009A04E0">
        <w:rPr>
          <w:sz w:val="24"/>
          <w:szCs w:val="24"/>
        </w:rPr>
        <w:t>s</w:t>
      </w:r>
      <w:r>
        <w:rPr>
          <w:sz w:val="24"/>
          <w:szCs w:val="24"/>
        </w:rPr>
        <w:t xml:space="preserve">he failed to prove </w:t>
      </w:r>
      <w:r w:rsidR="009A04E0">
        <w:rPr>
          <w:sz w:val="24"/>
          <w:szCs w:val="24"/>
        </w:rPr>
        <w:t>s</w:t>
      </w:r>
      <w:r>
        <w:rPr>
          <w:sz w:val="24"/>
          <w:szCs w:val="24"/>
        </w:rPr>
        <w:t xml:space="preserve">he is entitled to </w:t>
      </w:r>
      <w:r w:rsidR="00D2189F">
        <w:rPr>
          <w:sz w:val="24"/>
          <w:szCs w:val="24"/>
        </w:rPr>
        <w:t xml:space="preserve">restoration of service and a </w:t>
      </w:r>
      <w:r w:rsidR="009A04E0">
        <w:rPr>
          <w:sz w:val="24"/>
          <w:szCs w:val="24"/>
        </w:rPr>
        <w:t>second</w:t>
      </w:r>
      <w:r>
        <w:rPr>
          <w:sz w:val="24"/>
          <w:szCs w:val="24"/>
        </w:rPr>
        <w:t xml:space="preserve"> Commission-ordered payment arrangement.  </w:t>
      </w:r>
      <w:proofErr w:type="gramStart"/>
      <w:r w:rsidRPr="00C637E9">
        <w:rPr>
          <w:sz w:val="24"/>
          <w:szCs w:val="24"/>
        </w:rPr>
        <w:t xml:space="preserve">66 </w:t>
      </w:r>
      <w:proofErr w:type="spellStart"/>
      <w:r w:rsidRPr="00C637E9">
        <w:rPr>
          <w:sz w:val="24"/>
          <w:szCs w:val="24"/>
        </w:rPr>
        <w:t>Pa.C.S</w:t>
      </w:r>
      <w:proofErr w:type="spellEnd"/>
      <w:r w:rsidRPr="00C637E9">
        <w:rPr>
          <w:sz w:val="24"/>
          <w:szCs w:val="24"/>
        </w:rPr>
        <w:t>.</w:t>
      </w:r>
      <w:proofErr w:type="gramEnd"/>
      <w:r w:rsidRPr="00C637E9">
        <w:rPr>
          <w:sz w:val="24"/>
          <w:szCs w:val="24"/>
        </w:rPr>
        <w:t xml:space="preserve"> § 332(a)</w:t>
      </w:r>
      <w:r>
        <w:rPr>
          <w:sz w:val="24"/>
          <w:szCs w:val="24"/>
        </w:rPr>
        <w:t xml:space="preserve">; </w:t>
      </w:r>
      <w:r w:rsidRPr="00C637E9">
        <w:rPr>
          <w:sz w:val="24"/>
          <w:szCs w:val="24"/>
        </w:rPr>
        <w:t xml:space="preserve">66 </w:t>
      </w:r>
      <w:proofErr w:type="spellStart"/>
      <w:r w:rsidRPr="00C637E9">
        <w:rPr>
          <w:sz w:val="24"/>
          <w:szCs w:val="24"/>
        </w:rPr>
        <w:t>Pa.C.S</w:t>
      </w:r>
      <w:proofErr w:type="spellEnd"/>
      <w:r w:rsidRPr="00C637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C637E9">
        <w:rPr>
          <w:sz w:val="24"/>
          <w:szCs w:val="24"/>
        </w:rPr>
        <w:t>§</w:t>
      </w:r>
      <w:r>
        <w:rPr>
          <w:sz w:val="24"/>
          <w:szCs w:val="24"/>
        </w:rPr>
        <w:t xml:space="preserve"> 1405(d).</w:t>
      </w:r>
      <w:proofErr w:type="gramEnd"/>
    </w:p>
    <w:p w:rsidR="00FB508D" w:rsidRDefault="00FB508D" w:rsidP="00FB508D">
      <w:pPr>
        <w:pStyle w:val="FootnoteText"/>
        <w:spacing w:line="360" w:lineRule="auto"/>
        <w:rPr>
          <w:sz w:val="24"/>
          <w:szCs w:val="24"/>
        </w:rPr>
      </w:pPr>
    </w:p>
    <w:p w:rsidR="00FB508D" w:rsidRPr="00ED36C7" w:rsidRDefault="00FB508D" w:rsidP="00FB508D">
      <w:pPr>
        <w:pStyle w:val="BodyText"/>
        <w:jc w:val="center"/>
        <w:rPr>
          <w:sz w:val="24"/>
          <w:szCs w:val="24"/>
        </w:rPr>
      </w:pPr>
      <w:r w:rsidRPr="00ED36C7">
        <w:rPr>
          <w:sz w:val="24"/>
          <w:szCs w:val="24"/>
          <w:u w:val="single"/>
        </w:rPr>
        <w:t>ORDER</w:t>
      </w: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THEREFORE,</w:t>
      </w: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</w:p>
    <w:p w:rsidR="00FB508D" w:rsidRPr="00ED36C7" w:rsidRDefault="00FB508D" w:rsidP="00FB508D">
      <w:pPr>
        <w:pStyle w:val="BodyText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IT IS ORDERED:</w:t>
      </w:r>
    </w:p>
    <w:p w:rsidR="00FB508D" w:rsidRDefault="00FB508D" w:rsidP="00FB508D">
      <w:pPr>
        <w:pStyle w:val="ListParagraph"/>
        <w:numPr>
          <w:ilvl w:val="0"/>
          <w:numId w:val="4"/>
        </w:numPr>
        <w:spacing w:line="360" w:lineRule="auto"/>
        <w:ind w:left="0" w:firstLine="1440"/>
        <w:contextualSpacing w:val="0"/>
        <w:outlineLvl w:val="0"/>
        <w:rPr>
          <w:sz w:val="24"/>
          <w:szCs w:val="24"/>
        </w:rPr>
      </w:pPr>
      <w:r w:rsidRPr="004777FF">
        <w:rPr>
          <w:sz w:val="24"/>
          <w:szCs w:val="24"/>
        </w:rPr>
        <w:lastRenderedPageBreak/>
        <w:t xml:space="preserve">That the Formal Complaint filed by </w:t>
      </w:r>
      <w:r>
        <w:rPr>
          <w:sz w:val="24"/>
          <w:szCs w:val="24"/>
        </w:rPr>
        <w:t>Lisa M. Rivers against UGI Utilities, Inc. at Docket No. C-2016-</w:t>
      </w:r>
      <w:proofErr w:type="gramStart"/>
      <w:r>
        <w:rPr>
          <w:sz w:val="24"/>
          <w:szCs w:val="24"/>
        </w:rPr>
        <w:t>2546855,</w:t>
      </w:r>
      <w:proofErr w:type="gramEnd"/>
      <w:r>
        <w:rPr>
          <w:sz w:val="24"/>
          <w:szCs w:val="24"/>
        </w:rPr>
        <w:t xml:space="preserve"> is denied.  </w:t>
      </w:r>
    </w:p>
    <w:p w:rsidR="00FB508D" w:rsidRDefault="00FB508D" w:rsidP="00FB508D">
      <w:pPr>
        <w:pStyle w:val="ListParagraph"/>
        <w:spacing w:line="360" w:lineRule="auto"/>
        <w:ind w:left="1440"/>
        <w:contextualSpacing w:val="0"/>
        <w:outlineLvl w:val="0"/>
        <w:rPr>
          <w:sz w:val="24"/>
          <w:szCs w:val="24"/>
        </w:rPr>
      </w:pPr>
    </w:p>
    <w:p w:rsidR="00FB508D" w:rsidRPr="00147BCD" w:rsidRDefault="00FB508D" w:rsidP="00FB508D">
      <w:pPr>
        <w:pStyle w:val="ListParagraph"/>
        <w:tabs>
          <w:tab w:val="left" w:pos="1440"/>
        </w:tabs>
        <w:spacing w:line="360" w:lineRule="auto"/>
        <w:ind w:left="0" w:firstLine="720"/>
        <w:contextualSpacing w:val="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Pr="00616F66">
        <w:rPr>
          <w:sz w:val="24"/>
          <w:szCs w:val="24"/>
        </w:rPr>
        <w:t xml:space="preserve">That the docket </w:t>
      </w:r>
      <w:r>
        <w:rPr>
          <w:sz w:val="24"/>
          <w:szCs w:val="24"/>
        </w:rPr>
        <w:t xml:space="preserve">for this proceeding, </w:t>
      </w:r>
      <w:r w:rsidRPr="00616F66">
        <w:rPr>
          <w:sz w:val="24"/>
          <w:szCs w:val="24"/>
        </w:rPr>
        <w:t xml:space="preserve">Docket No. </w:t>
      </w:r>
      <w:r>
        <w:rPr>
          <w:sz w:val="24"/>
          <w:szCs w:val="24"/>
        </w:rPr>
        <w:t xml:space="preserve">C-2016-2546855, </w:t>
      </w:r>
      <w:r w:rsidRPr="00616F66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147BCD">
        <w:rPr>
          <w:sz w:val="24"/>
          <w:szCs w:val="24"/>
        </w:rPr>
        <w:t>marked closed.</w:t>
      </w:r>
    </w:p>
    <w:p w:rsidR="00FB508D" w:rsidRPr="00616F66" w:rsidRDefault="00FB508D" w:rsidP="00FB508D">
      <w:pPr>
        <w:spacing w:line="360" w:lineRule="auto"/>
        <w:outlineLvl w:val="0"/>
        <w:rPr>
          <w:sz w:val="24"/>
          <w:szCs w:val="24"/>
        </w:rPr>
      </w:pPr>
    </w:p>
    <w:p w:rsidR="00FB508D" w:rsidRPr="00ED36C7" w:rsidRDefault="00FB508D" w:rsidP="00FB508D">
      <w:pPr>
        <w:spacing w:line="360" w:lineRule="auto"/>
        <w:ind w:firstLine="5760"/>
        <w:rPr>
          <w:sz w:val="24"/>
          <w:szCs w:val="24"/>
        </w:rPr>
      </w:pPr>
    </w:p>
    <w:p w:rsidR="00FB508D" w:rsidRPr="00ED36C7" w:rsidRDefault="00FB508D" w:rsidP="00FB508D">
      <w:pPr>
        <w:spacing w:line="360" w:lineRule="auto"/>
        <w:rPr>
          <w:sz w:val="24"/>
          <w:szCs w:val="24"/>
        </w:rPr>
      </w:pPr>
      <w:r w:rsidRPr="00ED36C7">
        <w:rPr>
          <w:sz w:val="24"/>
          <w:szCs w:val="24"/>
        </w:rPr>
        <w:t xml:space="preserve">Date:  </w:t>
      </w:r>
      <w:r>
        <w:rPr>
          <w:sz w:val="24"/>
          <w:szCs w:val="24"/>
          <w:u w:val="single"/>
        </w:rPr>
        <w:t>September 29, 2016</w:t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  <w:u w:val="single"/>
        </w:rPr>
        <w:tab/>
      </w:r>
      <w:r w:rsidRPr="00ED36C7">
        <w:rPr>
          <w:sz w:val="24"/>
          <w:szCs w:val="24"/>
          <w:u w:val="single"/>
        </w:rPr>
        <w:tab/>
        <w:t>/s/</w:t>
      </w:r>
      <w:r w:rsidRPr="00ED36C7">
        <w:rPr>
          <w:sz w:val="24"/>
          <w:szCs w:val="24"/>
          <w:u w:val="single"/>
        </w:rPr>
        <w:tab/>
      </w:r>
      <w:r w:rsidRPr="00ED36C7">
        <w:rPr>
          <w:sz w:val="24"/>
          <w:szCs w:val="24"/>
          <w:u w:val="single"/>
        </w:rPr>
        <w:tab/>
      </w:r>
      <w:r w:rsidRPr="00ED36C7">
        <w:rPr>
          <w:sz w:val="24"/>
          <w:szCs w:val="24"/>
          <w:u w:val="single"/>
        </w:rPr>
        <w:tab/>
      </w:r>
      <w:r w:rsidRPr="00ED36C7">
        <w:rPr>
          <w:sz w:val="24"/>
          <w:szCs w:val="24"/>
          <w:u w:val="single"/>
        </w:rPr>
        <w:tab/>
      </w:r>
    </w:p>
    <w:p w:rsidR="00FB508D" w:rsidRPr="00ED36C7" w:rsidRDefault="00FB508D" w:rsidP="00FB508D">
      <w:pPr>
        <w:pStyle w:val="BodyText"/>
        <w:spacing w:line="240" w:lineRule="auto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  <w:t>Mark A. Hoyer</w:t>
      </w:r>
    </w:p>
    <w:p w:rsidR="00FB508D" w:rsidRPr="00ED36C7" w:rsidRDefault="00FB508D" w:rsidP="00FB508D">
      <w:pPr>
        <w:pStyle w:val="BodyText"/>
        <w:spacing w:line="240" w:lineRule="auto"/>
        <w:jc w:val="left"/>
        <w:rPr>
          <w:sz w:val="24"/>
          <w:szCs w:val="24"/>
        </w:rPr>
      </w:pP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 w:rsidRPr="00ED36C7">
        <w:rPr>
          <w:sz w:val="24"/>
          <w:szCs w:val="24"/>
        </w:rPr>
        <w:tab/>
      </w:r>
      <w:r>
        <w:rPr>
          <w:sz w:val="24"/>
          <w:szCs w:val="24"/>
        </w:rPr>
        <w:t xml:space="preserve">Deputy Chief </w:t>
      </w:r>
      <w:r w:rsidRPr="00ED36C7">
        <w:rPr>
          <w:sz w:val="24"/>
          <w:szCs w:val="24"/>
        </w:rPr>
        <w:t>Administrative Law Judge</w:t>
      </w:r>
    </w:p>
    <w:p w:rsidR="00FB508D" w:rsidRDefault="00FB508D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FB508D" w:rsidRDefault="00FB508D" w:rsidP="0042671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sectPr w:rsidR="00FB508D" w:rsidSect="00F736C4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A3" w:rsidRDefault="00E870A3" w:rsidP="0052002C">
      <w:r>
        <w:separator/>
      </w:r>
    </w:p>
  </w:endnote>
  <w:endnote w:type="continuationSeparator" w:id="0">
    <w:p w:rsidR="00E870A3" w:rsidRDefault="00E870A3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603B05">
          <w:rPr>
            <w:noProof/>
            <w:sz w:val="20"/>
            <w:szCs w:val="20"/>
          </w:rPr>
          <w:t>2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A3" w:rsidRDefault="00E870A3" w:rsidP="0052002C">
      <w:r>
        <w:separator/>
      </w:r>
    </w:p>
  </w:footnote>
  <w:footnote w:type="continuationSeparator" w:id="0">
    <w:p w:rsidR="00E870A3" w:rsidRDefault="00E870A3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41E15"/>
    <w:rsid w:val="000816B2"/>
    <w:rsid w:val="000D6399"/>
    <w:rsid w:val="000E5B45"/>
    <w:rsid w:val="000F7BF4"/>
    <w:rsid w:val="00154990"/>
    <w:rsid w:val="0015588A"/>
    <w:rsid w:val="00155EC9"/>
    <w:rsid w:val="001801D9"/>
    <w:rsid w:val="001837FE"/>
    <w:rsid w:val="00186EE0"/>
    <w:rsid w:val="001E0853"/>
    <w:rsid w:val="001E264E"/>
    <w:rsid w:val="001E7997"/>
    <w:rsid w:val="00205949"/>
    <w:rsid w:val="00206266"/>
    <w:rsid w:val="00241D60"/>
    <w:rsid w:val="002901CF"/>
    <w:rsid w:val="002B2161"/>
    <w:rsid w:val="002E4CCB"/>
    <w:rsid w:val="00301AAC"/>
    <w:rsid w:val="00304178"/>
    <w:rsid w:val="003303CA"/>
    <w:rsid w:val="0038268F"/>
    <w:rsid w:val="003A05B4"/>
    <w:rsid w:val="003F683E"/>
    <w:rsid w:val="00420306"/>
    <w:rsid w:val="00426718"/>
    <w:rsid w:val="00426AEF"/>
    <w:rsid w:val="0043685B"/>
    <w:rsid w:val="00471DB3"/>
    <w:rsid w:val="00483721"/>
    <w:rsid w:val="00492148"/>
    <w:rsid w:val="004938B2"/>
    <w:rsid w:val="004F29EE"/>
    <w:rsid w:val="0052002C"/>
    <w:rsid w:val="00556AA4"/>
    <w:rsid w:val="00586F16"/>
    <w:rsid w:val="005D3462"/>
    <w:rsid w:val="00603B05"/>
    <w:rsid w:val="00605F7D"/>
    <w:rsid w:val="00671C7F"/>
    <w:rsid w:val="00672EE4"/>
    <w:rsid w:val="00683277"/>
    <w:rsid w:val="00684DEB"/>
    <w:rsid w:val="006F4D73"/>
    <w:rsid w:val="00710470"/>
    <w:rsid w:val="00742FE8"/>
    <w:rsid w:val="007B6157"/>
    <w:rsid w:val="007C12E1"/>
    <w:rsid w:val="00810F20"/>
    <w:rsid w:val="00816B7F"/>
    <w:rsid w:val="00820780"/>
    <w:rsid w:val="00827841"/>
    <w:rsid w:val="00832D6E"/>
    <w:rsid w:val="00833D36"/>
    <w:rsid w:val="008516E3"/>
    <w:rsid w:val="00862165"/>
    <w:rsid w:val="00895DFF"/>
    <w:rsid w:val="008D42E2"/>
    <w:rsid w:val="008E45AF"/>
    <w:rsid w:val="008E7CB9"/>
    <w:rsid w:val="00905081"/>
    <w:rsid w:val="00945D9D"/>
    <w:rsid w:val="0095090E"/>
    <w:rsid w:val="009765EB"/>
    <w:rsid w:val="009A04E0"/>
    <w:rsid w:val="009A7803"/>
    <w:rsid w:val="009B0855"/>
    <w:rsid w:val="009B26BC"/>
    <w:rsid w:val="009D37C8"/>
    <w:rsid w:val="00A20F79"/>
    <w:rsid w:val="00A53B05"/>
    <w:rsid w:val="00A92AA6"/>
    <w:rsid w:val="00AA049E"/>
    <w:rsid w:val="00AA422B"/>
    <w:rsid w:val="00AC5566"/>
    <w:rsid w:val="00AF2F38"/>
    <w:rsid w:val="00B002C8"/>
    <w:rsid w:val="00B24463"/>
    <w:rsid w:val="00B6703F"/>
    <w:rsid w:val="00B86706"/>
    <w:rsid w:val="00BB71AB"/>
    <w:rsid w:val="00BE598B"/>
    <w:rsid w:val="00C03101"/>
    <w:rsid w:val="00C215C0"/>
    <w:rsid w:val="00C22D2A"/>
    <w:rsid w:val="00C45545"/>
    <w:rsid w:val="00C73F99"/>
    <w:rsid w:val="00CB1CBF"/>
    <w:rsid w:val="00CD3FC4"/>
    <w:rsid w:val="00D10448"/>
    <w:rsid w:val="00D2189F"/>
    <w:rsid w:val="00D43265"/>
    <w:rsid w:val="00D614C8"/>
    <w:rsid w:val="00D77875"/>
    <w:rsid w:val="00DF0C47"/>
    <w:rsid w:val="00E07D51"/>
    <w:rsid w:val="00E35225"/>
    <w:rsid w:val="00E870A3"/>
    <w:rsid w:val="00EA3A5E"/>
    <w:rsid w:val="00EC3948"/>
    <w:rsid w:val="00EC574A"/>
    <w:rsid w:val="00EF513A"/>
    <w:rsid w:val="00F524E1"/>
    <w:rsid w:val="00F70F24"/>
    <w:rsid w:val="00F736C4"/>
    <w:rsid w:val="00F737BA"/>
    <w:rsid w:val="00F90FDC"/>
    <w:rsid w:val="00FB508D"/>
    <w:rsid w:val="00FE439A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7B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B508D"/>
    <w:pPr>
      <w:spacing w:line="360" w:lineRule="auto"/>
      <w:jc w:val="both"/>
    </w:pPr>
    <w:rPr>
      <w:rFonts w:eastAsia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B508D"/>
    <w:rPr>
      <w:rFonts w:eastAsia="Times New Roman"/>
      <w:sz w:val="26"/>
      <w:szCs w:val="20"/>
    </w:rPr>
  </w:style>
  <w:style w:type="paragraph" w:styleId="FootnoteText">
    <w:name w:val="footnote text"/>
    <w:basedOn w:val="Normal"/>
    <w:link w:val="FootnoteTextChar"/>
    <w:rsid w:val="00FB508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08D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508D"/>
    <w:pPr>
      <w:ind w:left="720"/>
      <w:contextualSpacing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7B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B508D"/>
    <w:pPr>
      <w:spacing w:line="360" w:lineRule="auto"/>
      <w:jc w:val="both"/>
    </w:pPr>
    <w:rPr>
      <w:rFonts w:eastAsia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B508D"/>
    <w:rPr>
      <w:rFonts w:eastAsia="Times New Roman"/>
      <w:sz w:val="26"/>
      <w:szCs w:val="20"/>
    </w:rPr>
  </w:style>
  <w:style w:type="paragraph" w:styleId="FootnoteText">
    <w:name w:val="footnote text"/>
    <w:basedOn w:val="Normal"/>
    <w:link w:val="FootnoteTextChar"/>
    <w:rsid w:val="00FB508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08D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508D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5211-8455-494C-A763-218576D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Eubanks, Arlene</cp:lastModifiedBy>
  <cp:revision>4</cp:revision>
  <cp:lastPrinted>2016-09-07T15:01:00Z</cp:lastPrinted>
  <dcterms:created xsi:type="dcterms:W3CDTF">2016-09-29T12:01:00Z</dcterms:created>
  <dcterms:modified xsi:type="dcterms:W3CDTF">2016-10-21T18:18:00Z</dcterms:modified>
</cp:coreProperties>
</file>