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5E" w:rsidRPr="00314E5E" w:rsidRDefault="00314E5E" w:rsidP="00BC413C">
      <w:pPr>
        <w:widowControl/>
        <w:tabs>
          <w:tab w:val="center" w:pos="4680"/>
        </w:tabs>
        <w:suppressAutoHyphens/>
        <w:jc w:val="center"/>
        <w:rPr>
          <w:b/>
          <w:sz w:val="26"/>
          <w:szCs w:val="26"/>
        </w:rPr>
      </w:pPr>
      <w:r w:rsidRPr="00314E5E">
        <w:rPr>
          <w:b/>
          <w:sz w:val="26"/>
          <w:szCs w:val="26"/>
        </w:rPr>
        <w:t>PENNSYLVANIA</w:t>
      </w:r>
    </w:p>
    <w:p w:rsidR="00314E5E" w:rsidRPr="00314E5E" w:rsidRDefault="00314E5E" w:rsidP="00BC413C">
      <w:pPr>
        <w:widowControl/>
        <w:tabs>
          <w:tab w:val="center" w:pos="4680"/>
        </w:tabs>
        <w:suppressAutoHyphens/>
        <w:jc w:val="center"/>
        <w:rPr>
          <w:sz w:val="26"/>
          <w:szCs w:val="26"/>
        </w:rPr>
      </w:pPr>
      <w:r w:rsidRPr="00314E5E">
        <w:rPr>
          <w:b/>
          <w:sz w:val="26"/>
          <w:szCs w:val="26"/>
        </w:rPr>
        <w:t>PUBLIC UTILITY COMMISSION</w:t>
      </w:r>
    </w:p>
    <w:p w:rsidR="00314E5E" w:rsidRPr="00314E5E" w:rsidRDefault="00314E5E" w:rsidP="00BC413C">
      <w:pPr>
        <w:widowControl/>
        <w:tabs>
          <w:tab w:val="center" w:pos="4680"/>
        </w:tabs>
        <w:suppressAutoHyphens/>
        <w:jc w:val="center"/>
        <w:rPr>
          <w:sz w:val="26"/>
          <w:szCs w:val="26"/>
        </w:rPr>
      </w:pPr>
      <w:r w:rsidRPr="00314E5E">
        <w:rPr>
          <w:b/>
          <w:sz w:val="26"/>
          <w:szCs w:val="26"/>
        </w:rPr>
        <w:t>Harrisburg, PA 17105-3265</w:t>
      </w:r>
    </w:p>
    <w:p w:rsidR="00314E5E" w:rsidRPr="00314E5E" w:rsidRDefault="00314E5E" w:rsidP="00BC413C">
      <w:pPr>
        <w:widowControl/>
        <w:tabs>
          <w:tab w:val="left" w:pos="-720"/>
        </w:tabs>
        <w:suppressAutoHyphens/>
        <w:rPr>
          <w:sz w:val="26"/>
          <w:szCs w:val="26"/>
        </w:rPr>
      </w:pPr>
    </w:p>
    <w:p w:rsidR="00314E5E" w:rsidRPr="00314E5E" w:rsidRDefault="00314E5E" w:rsidP="00BC413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314E5E" w:rsidRPr="00314E5E" w:rsidTr="00384B77">
        <w:tc>
          <w:tcPr>
            <w:tcW w:w="5058" w:type="dxa"/>
          </w:tcPr>
          <w:p w:rsidR="00314E5E" w:rsidRPr="00314E5E" w:rsidRDefault="00314E5E" w:rsidP="00BC413C">
            <w:pPr>
              <w:widowControl/>
              <w:rPr>
                <w:sz w:val="26"/>
                <w:szCs w:val="26"/>
              </w:rPr>
            </w:pPr>
          </w:p>
        </w:tc>
        <w:tc>
          <w:tcPr>
            <w:tcW w:w="4428" w:type="dxa"/>
          </w:tcPr>
          <w:p w:rsidR="00314E5E" w:rsidRPr="00314E5E" w:rsidRDefault="00314E5E" w:rsidP="00BC413C">
            <w:pPr>
              <w:widowControl/>
              <w:ind w:right="-90"/>
              <w:rPr>
                <w:sz w:val="26"/>
                <w:szCs w:val="26"/>
              </w:rPr>
            </w:pPr>
            <w:r>
              <w:rPr>
                <w:sz w:val="26"/>
                <w:szCs w:val="26"/>
              </w:rPr>
              <w:t xml:space="preserve">Public Meeting held </w:t>
            </w:r>
            <w:r w:rsidR="00B977EF">
              <w:rPr>
                <w:sz w:val="26"/>
                <w:szCs w:val="26"/>
              </w:rPr>
              <w:t>October 27</w:t>
            </w:r>
            <w:r w:rsidRPr="00314E5E">
              <w:rPr>
                <w:sz w:val="26"/>
                <w:szCs w:val="26"/>
              </w:rPr>
              <w:t>, 2016</w:t>
            </w:r>
          </w:p>
          <w:p w:rsidR="00314E5E" w:rsidRPr="00314E5E" w:rsidRDefault="00314E5E" w:rsidP="00BC413C">
            <w:pPr>
              <w:widowControl/>
              <w:jc w:val="right"/>
              <w:rPr>
                <w:sz w:val="26"/>
                <w:szCs w:val="26"/>
              </w:rPr>
            </w:pPr>
          </w:p>
          <w:p w:rsidR="00314E5E" w:rsidRPr="00314E5E" w:rsidRDefault="00314E5E" w:rsidP="00BC413C">
            <w:pPr>
              <w:widowControl/>
              <w:jc w:val="right"/>
              <w:rPr>
                <w:sz w:val="26"/>
                <w:szCs w:val="26"/>
              </w:rPr>
            </w:pPr>
          </w:p>
        </w:tc>
      </w:tr>
      <w:tr w:rsidR="00314E5E" w:rsidRPr="00314E5E" w:rsidTr="00384B77">
        <w:tc>
          <w:tcPr>
            <w:tcW w:w="9486" w:type="dxa"/>
            <w:gridSpan w:val="2"/>
          </w:tcPr>
          <w:p w:rsidR="00BC413C" w:rsidRDefault="00BC413C" w:rsidP="00BC413C">
            <w:pPr>
              <w:widowControl/>
              <w:rPr>
                <w:sz w:val="26"/>
                <w:szCs w:val="26"/>
              </w:rPr>
            </w:pPr>
          </w:p>
          <w:p w:rsidR="00314E5E" w:rsidRPr="00314E5E" w:rsidRDefault="00314E5E" w:rsidP="00BC413C">
            <w:pPr>
              <w:widowControl/>
              <w:rPr>
                <w:sz w:val="26"/>
                <w:szCs w:val="26"/>
              </w:rPr>
            </w:pPr>
            <w:r w:rsidRPr="00314E5E">
              <w:rPr>
                <w:sz w:val="26"/>
                <w:szCs w:val="26"/>
              </w:rPr>
              <w:t>Commissioners Present:</w:t>
            </w:r>
          </w:p>
          <w:p w:rsidR="00314E5E" w:rsidRPr="00314E5E" w:rsidRDefault="00314E5E" w:rsidP="00BC413C">
            <w:pPr>
              <w:widowControl/>
              <w:rPr>
                <w:sz w:val="26"/>
                <w:szCs w:val="26"/>
              </w:rPr>
            </w:pPr>
          </w:p>
          <w:p w:rsidR="00314E5E" w:rsidRPr="00314E5E" w:rsidRDefault="00314E5E" w:rsidP="00BC413C">
            <w:pPr>
              <w:widowControl/>
              <w:tabs>
                <w:tab w:val="left" w:pos="705"/>
              </w:tabs>
              <w:ind w:firstLine="720"/>
              <w:rPr>
                <w:sz w:val="26"/>
                <w:szCs w:val="26"/>
              </w:rPr>
            </w:pPr>
            <w:r w:rsidRPr="00314E5E">
              <w:rPr>
                <w:sz w:val="26"/>
                <w:szCs w:val="26"/>
              </w:rPr>
              <w:t>Gladys M. Brown, Chairman</w:t>
            </w:r>
          </w:p>
          <w:p w:rsidR="00314E5E" w:rsidRPr="00314E5E" w:rsidRDefault="00314E5E" w:rsidP="00BC413C">
            <w:pPr>
              <w:widowControl/>
              <w:tabs>
                <w:tab w:val="left" w:pos="705"/>
              </w:tabs>
              <w:ind w:firstLine="720"/>
              <w:rPr>
                <w:sz w:val="26"/>
                <w:szCs w:val="26"/>
              </w:rPr>
            </w:pPr>
            <w:r w:rsidRPr="00314E5E">
              <w:rPr>
                <w:sz w:val="26"/>
                <w:szCs w:val="26"/>
              </w:rPr>
              <w:t>Andrew G. Place, Vice Chairman</w:t>
            </w:r>
          </w:p>
          <w:p w:rsidR="00314E5E" w:rsidRPr="00314E5E" w:rsidRDefault="00314E5E" w:rsidP="00BC413C">
            <w:pPr>
              <w:widowControl/>
              <w:tabs>
                <w:tab w:val="left" w:pos="705"/>
              </w:tabs>
              <w:ind w:firstLine="720"/>
              <w:rPr>
                <w:sz w:val="26"/>
                <w:szCs w:val="26"/>
              </w:rPr>
            </w:pPr>
            <w:r w:rsidRPr="00314E5E">
              <w:rPr>
                <w:sz w:val="26"/>
                <w:szCs w:val="26"/>
              </w:rPr>
              <w:t>John F. Coleman, Jr.</w:t>
            </w:r>
          </w:p>
          <w:p w:rsidR="00314E5E" w:rsidRDefault="00314E5E" w:rsidP="00BC413C">
            <w:pPr>
              <w:widowControl/>
              <w:tabs>
                <w:tab w:val="left" w:pos="705"/>
              </w:tabs>
              <w:ind w:firstLine="720"/>
              <w:rPr>
                <w:sz w:val="26"/>
                <w:szCs w:val="26"/>
              </w:rPr>
            </w:pPr>
            <w:r w:rsidRPr="00314E5E">
              <w:rPr>
                <w:sz w:val="26"/>
                <w:szCs w:val="26"/>
              </w:rPr>
              <w:t>Robert F. Powelson</w:t>
            </w:r>
          </w:p>
          <w:p w:rsidR="00314E5E" w:rsidRPr="00314E5E" w:rsidRDefault="00314E5E" w:rsidP="00BC413C">
            <w:pPr>
              <w:widowControl/>
              <w:tabs>
                <w:tab w:val="left" w:pos="705"/>
              </w:tabs>
              <w:ind w:firstLine="720"/>
              <w:rPr>
                <w:sz w:val="26"/>
                <w:szCs w:val="26"/>
              </w:rPr>
            </w:pPr>
            <w:r>
              <w:rPr>
                <w:sz w:val="26"/>
                <w:szCs w:val="26"/>
              </w:rPr>
              <w:t>David W. Sweet</w:t>
            </w:r>
          </w:p>
          <w:p w:rsidR="00314E5E" w:rsidRDefault="00314E5E" w:rsidP="00BC413C">
            <w:pPr>
              <w:widowControl/>
              <w:rPr>
                <w:sz w:val="26"/>
                <w:szCs w:val="26"/>
              </w:rPr>
            </w:pPr>
          </w:p>
          <w:p w:rsidR="00BC413C" w:rsidRPr="00314E5E" w:rsidRDefault="00BC413C" w:rsidP="00BC413C">
            <w:pPr>
              <w:widowControl/>
              <w:rPr>
                <w:sz w:val="26"/>
                <w:szCs w:val="26"/>
              </w:rPr>
            </w:pPr>
          </w:p>
          <w:p w:rsidR="00314E5E" w:rsidRPr="00314E5E" w:rsidRDefault="00314E5E" w:rsidP="00BC413C">
            <w:pPr>
              <w:widowControl/>
              <w:rPr>
                <w:sz w:val="26"/>
                <w:szCs w:val="26"/>
              </w:rPr>
            </w:pPr>
          </w:p>
        </w:tc>
      </w:tr>
      <w:tr w:rsidR="00314E5E" w:rsidRPr="00314E5E" w:rsidTr="00384B77">
        <w:tc>
          <w:tcPr>
            <w:tcW w:w="5058" w:type="dxa"/>
          </w:tcPr>
          <w:p w:rsidR="00314E5E" w:rsidRPr="00314E5E" w:rsidRDefault="00B977EF" w:rsidP="00BC413C">
            <w:pPr>
              <w:widowControl/>
              <w:rPr>
                <w:sz w:val="26"/>
                <w:szCs w:val="26"/>
              </w:rPr>
            </w:pPr>
            <w:r>
              <w:rPr>
                <w:sz w:val="26"/>
                <w:szCs w:val="26"/>
              </w:rPr>
              <w:t>Joseph Rago</w:t>
            </w:r>
            <w:r w:rsidR="00314E5E" w:rsidRPr="00314E5E">
              <w:rPr>
                <w:sz w:val="26"/>
                <w:szCs w:val="26"/>
              </w:rPr>
              <w:t xml:space="preserve"> </w:t>
            </w:r>
          </w:p>
          <w:p w:rsidR="00314E5E" w:rsidRPr="00314E5E" w:rsidRDefault="00314E5E" w:rsidP="00BC413C">
            <w:pPr>
              <w:widowControl/>
              <w:jc w:val="right"/>
              <w:rPr>
                <w:sz w:val="26"/>
                <w:szCs w:val="26"/>
              </w:rPr>
            </w:pPr>
          </w:p>
        </w:tc>
        <w:tc>
          <w:tcPr>
            <w:tcW w:w="4428" w:type="dxa"/>
          </w:tcPr>
          <w:p w:rsidR="00314E5E" w:rsidRPr="00314E5E" w:rsidRDefault="00B977EF" w:rsidP="00BC413C">
            <w:pPr>
              <w:widowControl/>
              <w:jc w:val="right"/>
              <w:rPr>
                <w:sz w:val="26"/>
                <w:szCs w:val="26"/>
              </w:rPr>
            </w:pPr>
            <w:r>
              <w:rPr>
                <w:sz w:val="26"/>
                <w:szCs w:val="26"/>
              </w:rPr>
              <w:t>F-2015</w:t>
            </w:r>
            <w:r w:rsidR="00314E5E">
              <w:rPr>
                <w:sz w:val="26"/>
                <w:szCs w:val="26"/>
              </w:rPr>
              <w:t>-2</w:t>
            </w:r>
            <w:r>
              <w:rPr>
                <w:sz w:val="26"/>
                <w:szCs w:val="26"/>
              </w:rPr>
              <w:t>503606</w:t>
            </w:r>
          </w:p>
          <w:p w:rsidR="00314E5E" w:rsidRPr="00314E5E" w:rsidRDefault="00314E5E" w:rsidP="00BC413C">
            <w:pPr>
              <w:widowControl/>
              <w:jc w:val="right"/>
              <w:rPr>
                <w:sz w:val="26"/>
                <w:szCs w:val="26"/>
              </w:rPr>
            </w:pPr>
            <w:r w:rsidRPr="00314E5E">
              <w:rPr>
                <w:sz w:val="26"/>
                <w:szCs w:val="26"/>
              </w:rPr>
              <w:t xml:space="preserve"> </w:t>
            </w:r>
          </w:p>
        </w:tc>
      </w:tr>
      <w:tr w:rsidR="00314E5E" w:rsidRPr="00314E5E" w:rsidTr="00384B77">
        <w:tc>
          <w:tcPr>
            <w:tcW w:w="5058" w:type="dxa"/>
          </w:tcPr>
          <w:p w:rsidR="00314E5E" w:rsidRPr="00314E5E" w:rsidRDefault="00314E5E" w:rsidP="00BC413C">
            <w:pPr>
              <w:widowControl/>
              <w:ind w:firstLine="720"/>
              <w:rPr>
                <w:sz w:val="26"/>
                <w:szCs w:val="26"/>
              </w:rPr>
            </w:pPr>
            <w:r w:rsidRPr="00314E5E">
              <w:rPr>
                <w:sz w:val="26"/>
                <w:szCs w:val="26"/>
              </w:rPr>
              <w:t>v.</w:t>
            </w:r>
          </w:p>
          <w:p w:rsidR="00314E5E" w:rsidRPr="00314E5E" w:rsidRDefault="00314E5E" w:rsidP="00BC413C">
            <w:pPr>
              <w:widowControl/>
              <w:ind w:firstLine="1440"/>
              <w:rPr>
                <w:sz w:val="26"/>
                <w:szCs w:val="26"/>
              </w:rPr>
            </w:pPr>
          </w:p>
        </w:tc>
        <w:tc>
          <w:tcPr>
            <w:tcW w:w="4428" w:type="dxa"/>
          </w:tcPr>
          <w:p w:rsidR="00314E5E" w:rsidRPr="00314E5E" w:rsidRDefault="00314E5E" w:rsidP="00BC413C">
            <w:pPr>
              <w:widowControl/>
              <w:rPr>
                <w:sz w:val="26"/>
                <w:szCs w:val="26"/>
              </w:rPr>
            </w:pPr>
          </w:p>
        </w:tc>
      </w:tr>
      <w:tr w:rsidR="00314E5E" w:rsidRPr="00314E5E" w:rsidTr="00384B77">
        <w:tc>
          <w:tcPr>
            <w:tcW w:w="5058" w:type="dxa"/>
          </w:tcPr>
          <w:p w:rsidR="00314E5E" w:rsidRPr="00314E5E" w:rsidRDefault="00314E5E" w:rsidP="00BC413C">
            <w:pPr>
              <w:widowControl/>
              <w:rPr>
                <w:sz w:val="26"/>
                <w:szCs w:val="26"/>
              </w:rPr>
            </w:pPr>
            <w:r w:rsidRPr="00314E5E">
              <w:rPr>
                <w:sz w:val="26"/>
                <w:szCs w:val="26"/>
              </w:rPr>
              <w:t xml:space="preserve">Philadelphia Gas Works </w:t>
            </w:r>
          </w:p>
        </w:tc>
        <w:tc>
          <w:tcPr>
            <w:tcW w:w="4428" w:type="dxa"/>
          </w:tcPr>
          <w:p w:rsidR="00314E5E" w:rsidRPr="00314E5E" w:rsidRDefault="00314E5E" w:rsidP="00BC413C">
            <w:pPr>
              <w:widowControl/>
              <w:rPr>
                <w:sz w:val="26"/>
                <w:szCs w:val="26"/>
              </w:rPr>
            </w:pPr>
          </w:p>
        </w:tc>
      </w:tr>
    </w:tbl>
    <w:p w:rsidR="00314E5E" w:rsidRDefault="00314E5E" w:rsidP="00BC413C">
      <w:pPr>
        <w:widowControl/>
        <w:rPr>
          <w:sz w:val="26"/>
          <w:szCs w:val="26"/>
        </w:rPr>
      </w:pPr>
    </w:p>
    <w:p w:rsidR="00BC413C" w:rsidRPr="00314E5E" w:rsidRDefault="00BC413C" w:rsidP="00BC413C">
      <w:pPr>
        <w:widowControl/>
        <w:rPr>
          <w:sz w:val="26"/>
          <w:szCs w:val="26"/>
        </w:rPr>
      </w:pPr>
    </w:p>
    <w:p w:rsidR="00314E5E" w:rsidRPr="00314E5E" w:rsidRDefault="00314E5E" w:rsidP="00BC413C">
      <w:pPr>
        <w:widowControl/>
        <w:rPr>
          <w:sz w:val="26"/>
          <w:szCs w:val="26"/>
        </w:rPr>
      </w:pPr>
    </w:p>
    <w:p w:rsidR="00314E5E" w:rsidRPr="00314E5E" w:rsidRDefault="00314E5E" w:rsidP="00BC413C">
      <w:pPr>
        <w:widowControl/>
        <w:jc w:val="center"/>
        <w:rPr>
          <w:b/>
          <w:sz w:val="26"/>
          <w:szCs w:val="26"/>
        </w:rPr>
      </w:pPr>
      <w:r w:rsidRPr="00314E5E">
        <w:rPr>
          <w:b/>
          <w:sz w:val="26"/>
          <w:szCs w:val="26"/>
        </w:rPr>
        <w:t xml:space="preserve">OPINION </w:t>
      </w:r>
      <w:smartTag w:uri="urn:schemas-microsoft-com:office:smarttags" w:element="stockticker">
        <w:r w:rsidRPr="00314E5E">
          <w:rPr>
            <w:b/>
            <w:sz w:val="26"/>
            <w:szCs w:val="26"/>
          </w:rPr>
          <w:t>AND</w:t>
        </w:r>
      </w:smartTag>
      <w:r w:rsidRPr="00314E5E">
        <w:rPr>
          <w:b/>
          <w:sz w:val="26"/>
          <w:szCs w:val="26"/>
        </w:rPr>
        <w:t xml:space="preserve"> ORDER</w:t>
      </w:r>
    </w:p>
    <w:p w:rsidR="00314E5E" w:rsidRPr="00314E5E" w:rsidRDefault="00314E5E" w:rsidP="00BC413C">
      <w:pPr>
        <w:widowControl/>
        <w:jc w:val="center"/>
        <w:rPr>
          <w:b/>
          <w:sz w:val="26"/>
          <w:szCs w:val="26"/>
        </w:rPr>
      </w:pPr>
    </w:p>
    <w:p w:rsidR="00314E5E" w:rsidRPr="00314E5E" w:rsidRDefault="00314E5E" w:rsidP="00BC413C">
      <w:pPr>
        <w:widowControl/>
        <w:jc w:val="center"/>
        <w:rPr>
          <w:b/>
          <w:sz w:val="26"/>
          <w:szCs w:val="26"/>
        </w:rPr>
      </w:pPr>
    </w:p>
    <w:p w:rsidR="00314E5E" w:rsidRPr="00314E5E" w:rsidRDefault="00314E5E" w:rsidP="00BC413C">
      <w:pPr>
        <w:widowControl/>
        <w:spacing w:line="360" w:lineRule="auto"/>
        <w:rPr>
          <w:b/>
          <w:sz w:val="26"/>
          <w:szCs w:val="26"/>
        </w:rPr>
      </w:pPr>
      <w:r w:rsidRPr="00314E5E">
        <w:rPr>
          <w:b/>
          <w:sz w:val="26"/>
          <w:szCs w:val="26"/>
        </w:rPr>
        <w:t>BY THE COMMISSION:</w:t>
      </w:r>
    </w:p>
    <w:p w:rsidR="00314E5E" w:rsidRPr="00314E5E" w:rsidRDefault="00314E5E" w:rsidP="00BC413C">
      <w:pPr>
        <w:widowControl/>
        <w:spacing w:line="360" w:lineRule="auto"/>
        <w:rPr>
          <w:sz w:val="26"/>
          <w:szCs w:val="26"/>
        </w:rPr>
      </w:pPr>
    </w:p>
    <w:p w:rsidR="00314E5E" w:rsidRPr="00314E5E" w:rsidRDefault="00314E5E" w:rsidP="00BC413C">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sidR="00B977EF">
        <w:rPr>
          <w:color w:val="000000"/>
          <w:sz w:val="26"/>
          <w:szCs w:val="26"/>
        </w:rPr>
        <w:t>Exceptions of Joseph Rago</w:t>
      </w:r>
      <w:r w:rsidRPr="00314E5E">
        <w:rPr>
          <w:color w:val="000000"/>
          <w:sz w:val="26"/>
          <w:szCs w:val="26"/>
        </w:rPr>
        <w:t xml:space="preserve"> (Complainant) filed on</w:t>
      </w:r>
      <w:r w:rsidR="00B977EF">
        <w:rPr>
          <w:color w:val="000000"/>
          <w:sz w:val="26"/>
          <w:szCs w:val="26"/>
        </w:rPr>
        <w:t xml:space="preserve"> January 11, 2016</w:t>
      </w:r>
      <w:r w:rsidRPr="00314E5E">
        <w:rPr>
          <w:color w:val="000000"/>
          <w:sz w:val="26"/>
          <w:szCs w:val="26"/>
        </w:rPr>
        <w:t>,</w:t>
      </w:r>
      <w:r w:rsidR="009B2A7C" w:rsidRPr="009B2A7C">
        <w:rPr>
          <w:rStyle w:val="FootnoteReference"/>
          <w:color w:val="000000"/>
          <w:sz w:val="26"/>
          <w:szCs w:val="26"/>
        </w:rPr>
        <w:t xml:space="preserve"> </w:t>
      </w:r>
      <w:r w:rsidR="009B2A7C" w:rsidRPr="00314E5E">
        <w:rPr>
          <w:rStyle w:val="FootnoteReference"/>
          <w:color w:val="000000"/>
          <w:sz w:val="26"/>
          <w:szCs w:val="26"/>
        </w:rPr>
        <w:footnoteReference w:id="1"/>
      </w:r>
      <w:r w:rsidRPr="00314E5E">
        <w:rPr>
          <w:color w:val="000000"/>
          <w:sz w:val="26"/>
          <w:szCs w:val="26"/>
        </w:rPr>
        <w:t xml:space="preserve"> to the Initial Decision (I.D.) of Administrative Law Judge </w:t>
      </w:r>
      <w:r w:rsidR="00B977EF">
        <w:rPr>
          <w:color w:val="000000"/>
          <w:sz w:val="26"/>
          <w:szCs w:val="26"/>
        </w:rPr>
        <w:t xml:space="preserve">Cynthia </w:t>
      </w:r>
      <w:r w:rsidR="00B977EF">
        <w:rPr>
          <w:color w:val="000000"/>
          <w:sz w:val="26"/>
          <w:szCs w:val="26"/>
        </w:rPr>
        <w:lastRenderedPageBreak/>
        <w:t>Williams Fordham</w:t>
      </w:r>
      <w:r w:rsidRPr="00314E5E">
        <w:rPr>
          <w:color w:val="000000"/>
          <w:sz w:val="26"/>
          <w:szCs w:val="26"/>
        </w:rPr>
        <w:t xml:space="preserve"> (ALJ)</w:t>
      </w:r>
      <w:r w:rsidR="00B977EF">
        <w:rPr>
          <w:color w:val="000000"/>
          <w:sz w:val="26"/>
          <w:szCs w:val="26"/>
        </w:rPr>
        <w:t>, which was issued on December 16</w:t>
      </w:r>
      <w:r w:rsidRPr="00314E5E">
        <w:rPr>
          <w:color w:val="000000"/>
          <w:sz w:val="26"/>
          <w:szCs w:val="26"/>
        </w:rPr>
        <w:t>, 2015, in the above-captioned proceeding.</w:t>
      </w:r>
      <w:r w:rsidR="00B977EF">
        <w:rPr>
          <w:color w:val="000000"/>
          <w:sz w:val="26"/>
          <w:szCs w:val="26"/>
        </w:rPr>
        <w:t xml:space="preserve"> </w:t>
      </w:r>
      <w:r w:rsidR="00F177FB">
        <w:rPr>
          <w:color w:val="000000"/>
          <w:sz w:val="26"/>
          <w:szCs w:val="26"/>
        </w:rPr>
        <w:t xml:space="preserve"> </w:t>
      </w:r>
      <w:r w:rsidRPr="00314E5E">
        <w:rPr>
          <w:rStyle w:val="FootnoteReference"/>
          <w:color w:val="000000"/>
          <w:sz w:val="26"/>
          <w:szCs w:val="26"/>
        </w:rPr>
        <w:t xml:space="preserve"> </w:t>
      </w:r>
      <w:r w:rsidR="00B977EF">
        <w:rPr>
          <w:rStyle w:val="FootnoteReference"/>
          <w:color w:val="000000"/>
          <w:sz w:val="26"/>
          <w:szCs w:val="26"/>
          <w:vertAlign w:val="baseline"/>
        </w:rPr>
        <w:t>The Philadelphia Gas Works (</w:t>
      </w:r>
      <w:r w:rsidR="009B2A7C">
        <w:rPr>
          <w:color w:val="000000"/>
          <w:sz w:val="26"/>
          <w:szCs w:val="26"/>
        </w:rPr>
        <w:t>PGW</w:t>
      </w:r>
      <w:r w:rsidR="00B977EF">
        <w:rPr>
          <w:color w:val="000000"/>
          <w:sz w:val="26"/>
          <w:szCs w:val="26"/>
        </w:rPr>
        <w:t>, Company or Respondent)</w:t>
      </w:r>
      <w:r w:rsidR="009B2A7C">
        <w:rPr>
          <w:color w:val="000000"/>
          <w:sz w:val="26"/>
          <w:szCs w:val="26"/>
        </w:rPr>
        <w:t xml:space="preserve"> filed </w:t>
      </w:r>
      <w:r w:rsidRPr="00314E5E">
        <w:rPr>
          <w:color w:val="000000"/>
          <w:sz w:val="26"/>
          <w:szCs w:val="26"/>
        </w:rPr>
        <w:t xml:space="preserve">Replies to </w:t>
      </w:r>
      <w:r w:rsidR="009B2A7C">
        <w:rPr>
          <w:color w:val="000000"/>
          <w:sz w:val="26"/>
          <w:szCs w:val="26"/>
        </w:rPr>
        <w:t xml:space="preserve">the </w:t>
      </w:r>
      <w:r w:rsidRPr="00314E5E">
        <w:rPr>
          <w:color w:val="000000"/>
          <w:sz w:val="26"/>
          <w:szCs w:val="26"/>
        </w:rPr>
        <w:t xml:space="preserve">Exceptions </w:t>
      </w:r>
      <w:r w:rsidR="009B2A7C">
        <w:rPr>
          <w:color w:val="000000"/>
          <w:sz w:val="26"/>
          <w:szCs w:val="26"/>
        </w:rPr>
        <w:t>o</w:t>
      </w:r>
      <w:r w:rsidR="00B977EF">
        <w:rPr>
          <w:color w:val="000000"/>
          <w:sz w:val="26"/>
          <w:szCs w:val="26"/>
        </w:rPr>
        <w:t>f the Complainant on January 19, 2016</w:t>
      </w:r>
      <w:r w:rsidRPr="00314E5E">
        <w:rPr>
          <w:color w:val="000000"/>
          <w:sz w:val="26"/>
          <w:szCs w:val="26"/>
        </w:rPr>
        <w:t xml:space="preserve">.  </w:t>
      </w:r>
      <w:r w:rsidRPr="00314E5E">
        <w:rPr>
          <w:sz w:val="26"/>
          <w:szCs w:val="26"/>
        </w:rPr>
        <w:t>For the reasons stated below, we shall deny the Complainant’s Exceptions</w:t>
      </w:r>
      <w:r w:rsidR="00B977EF">
        <w:rPr>
          <w:sz w:val="26"/>
          <w:szCs w:val="26"/>
        </w:rPr>
        <w:t xml:space="preserve"> </w:t>
      </w:r>
      <w:r w:rsidRPr="00314E5E">
        <w:rPr>
          <w:sz w:val="26"/>
          <w:szCs w:val="26"/>
        </w:rPr>
        <w:t xml:space="preserve">and </w:t>
      </w:r>
      <w:r w:rsidR="00B977EF">
        <w:rPr>
          <w:sz w:val="26"/>
          <w:szCs w:val="26"/>
        </w:rPr>
        <w:t>adopt</w:t>
      </w:r>
      <w:r w:rsidRPr="00314E5E">
        <w:rPr>
          <w:sz w:val="26"/>
          <w:szCs w:val="26"/>
        </w:rPr>
        <w:t xml:space="preserve"> the ALJ’s Initial Decision.</w:t>
      </w:r>
    </w:p>
    <w:p w:rsidR="00D45D36" w:rsidRDefault="00D45D36" w:rsidP="00BC413C">
      <w:pPr>
        <w:widowControl/>
        <w:spacing w:line="360" w:lineRule="auto"/>
        <w:ind w:firstLine="1440"/>
        <w:rPr>
          <w:sz w:val="26"/>
          <w:szCs w:val="26"/>
        </w:rPr>
      </w:pPr>
    </w:p>
    <w:p w:rsidR="00D45D36" w:rsidRDefault="00D45D36" w:rsidP="00BC413C">
      <w:pPr>
        <w:widowControl/>
        <w:spacing w:line="360" w:lineRule="auto"/>
        <w:jc w:val="center"/>
        <w:rPr>
          <w:b/>
          <w:sz w:val="26"/>
          <w:szCs w:val="26"/>
        </w:rPr>
      </w:pPr>
      <w:r w:rsidRPr="00D64605">
        <w:rPr>
          <w:b/>
          <w:sz w:val="26"/>
          <w:szCs w:val="26"/>
        </w:rPr>
        <w:t>History of the Proceeding</w:t>
      </w:r>
    </w:p>
    <w:p w:rsidR="004E67A0" w:rsidRPr="00A531A7" w:rsidRDefault="004E67A0" w:rsidP="00BC413C">
      <w:pPr>
        <w:widowControl/>
        <w:spacing w:line="360" w:lineRule="auto"/>
        <w:jc w:val="center"/>
        <w:rPr>
          <w:b/>
          <w:sz w:val="26"/>
          <w:szCs w:val="26"/>
        </w:rPr>
      </w:pPr>
    </w:p>
    <w:p w:rsidR="00A531A7" w:rsidRDefault="001E6500" w:rsidP="00BC413C">
      <w:pPr>
        <w:widowControl/>
        <w:spacing w:line="360" w:lineRule="auto"/>
        <w:ind w:firstLine="1440"/>
        <w:rPr>
          <w:sz w:val="26"/>
          <w:szCs w:val="26"/>
        </w:rPr>
      </w:pPr>
      <w:r>
        <w:rPr>
          <w:sz w:val="26"/>
          <w:szCs w:val="26"/>
        </w:rPr>
        <w:t>On September 14, 2015</w:t>
      </w:r>
      <w:r w:rsidR="00A531A7">
        <w:rPr>
          <w:sz w:val="26"/>
          <w:szCs w:val="26"/>
        </w:rPr>
        <w:t xml:space="preserve">, the </w:t>
      </w:r>
      <w:r w:rsidR="00A531A7" w:rsidRPr="00A531A7">
        <w:rPr>
          <w:sz w:val="26"/>
          <w:szCs w:val="26"/>
        </w:rPr>
        <w:t>Complainant</w:t>
      </w:r>
      <w:r w:rsidR="00B73BE5">
        <w:rPr>
          <w:sz w:val="26"/>
          <w:szCs w:val="26"/>
        </w:rPr>
        <w:t xml:space="preserve"> filed a Formal C</w:t>
      </w:r>
      <w:r w:rsidR="00A531A7" w:rsidRPr="00A531A7">
        <w:rPr>
          <w:sz w:val="26"/>
          <w:szCs w:val="26"/>
        </w:rPr>
        <w:t xml:space="preserve">omplaint </w:t>
      </w:r>
      <w:r w:rsidR="00A531A7">
        <w:rPr>
          <w:sz w:val="26"/>
          <w:szCs w:val="26"/>
        </w:rPr>
        <w:t>against PGW with the Commission</w:t>
      </w:r>
      <w:r w:rsidR="00A531A7" w:rsidRPr="00A531A7">
        <w:rPr>
          <w:sz w:val="26"/>
          <w:szCs w:val="26"/>
        </w:rPr>
        <w:t>.  The Compl</w:t>
      </w:r>
      <w:r w:rsidR="00A531A7">
        <w:rPr>
          <w:sz w:val="26"/>
          <w:szCs w:val="26"/>
        </w:rPr>
        <w:t>ainant stated</w:t>
      </w:r>
      <w:r>
        <w:rPr>
          <w:sz w:val="26"/>
          <w:szCs w:val="26"/>
        </w:rPr>
        <w:t xml:space="preserve"> that his</w:t>
      </w:r>
      <w:r w:rsidR="00A531A7" w:rsidRPr="00A531A7">
        <w:rPr>
          <w:sz w:val="26"/>
          <w:szCs w:val="26"/>
        </w:rPr>
        <w:t xml:space="preserve"> gas service ha</w:t>
      </w:r>
      <w:r w:rsidR="00F177FB">
        <w:rPr>
          <w:sz w:val="26"/>
          <w:szCs w:val="26"/>
        </w:rPr>
        <w:t>d</w:t>
      </w:r>
      <w:r w:rsidR="00A531A7" w:rsidRPr="00A531A7">
        <w:rPr>
          <w:sz w:val="26"/>
          <w:szCs w:val="26"/>
        </w:rPr>
        <w:t xml:space="preserve"> been terminated</w:t>
      </w:r>
      <w:r>
        <w:rPr>
          <w:sz w:val="26"/>
          <w:szCs w:val="26"/>
        </w:rPr>
        <w:t xml:space="preserve">, </w:t>
      </w:r>
      <w:r w:rsidR="00B73BE5">
        <w:rPr>
          <w:sz w:val="26"/>
          <w:szCs w:val="26"/>
        </w:rPr>
        <w:t>that the</w:t>
      </w:r>
      <w:r>
        <w:rPr>
          <w:sz w:val="26"/>
          <w:szCs w:val="26"/>
        </w:rPr>
        <w:t xml:space="preserve">re were incorrect charges on his bill and that it is not safe for his service to be off.  As relief, </w:t>
      </w:r>
      <w:r w:rsidR="00B73BE5">
        <w:rPr>
          <w:sz w:val="26"/>
          <w:szCs w:val="26"/>
        </w:rPr>
        <w:t xml:space="preserve">he requested that </w:t>
      </w:r>
      <w:r>
        <w:rPr>
          <w:sz w:val="26"/>
          <w:szCs w:val="26"/>
        </w:rPr>
        <w:t>his</w:t>
      </w:r>
      <w:r w:rsidR="00A531A7" w:rsidRPr="00A531A7">
        <w:rPr>
          <w:sz w:val="26"/>
          <w:szCs w:val="26"/>
        </w:rPr>
        <w:t xml:space="preserve"> gas service</w:t>
      </w:r>
      <w:r w:rsidR="00B73BE5">
        <w:rPr>
          <w:sz w:val="26"/>
          <w:szCs w:val="26"/>
        </w:rPr>
        <w:t xml:space="preserve"> be</w:t>
      </w:r>
      <w:r w:rsidR="00A531A7" w:rsidRPr="00A531A7">
        <w:rPr>
          <w:sz w:val="26"/>
          <w:szCs w:val="26"/>
        </w:rPr>
        <w:t xml:space="preserve"> reinstated and </w:t>
      </w:r>
      <w:r w:rsidR="00FC4059">
        <w:rPr>
          <w:sz w:val="26"/>
          <w:szCs w:val="26"/>
        </w:rPr>
        <w:t xml:space="preserve">that he be given </w:t>
      </w:r>
      <w:r w:rsidR="00A531A7" w:rsidRPr="00A531A7">
        <w:rPr>
          <w:sz w:val="26"/>
          <w:szCs w:val="26"/>
        </w:rPr>
        <w:t>a new payment arrangement</w:t>
      </w:r>
      <w:r>
        <w:rPr>
          <w:sz w:val="26"/>
          <w:szCs w:val="26"/>
        </w:rPr>
        <w:t xml:space="preserve"> that is realistic and possible</w:t>
      </w:r>
      <w:r w:rsidR="00A531A7" w:rsidRPr="00A531A7">
        <w:rPr>
          <w:sz w:val="26"/>
          <w:szCs w:val="26"/>
        </w:rPr>
        <w:t>.</w:t>
      </w:r>
      <w:r w:rsidR="00E37DBA">
        <w:rPr>
          <w:sz w:val="26"/>
          <w:szCs w:val="26"/>
        </w:rPr>
        <w:t xml:space="preserve">  This Complaint represents a timely appeal of the Bureau of Consumer Services’ decision at Case No.</w:t>
      </w:r>
      <w:r w:rsidR="006F085A">
        <w:rPr>
          <w:sz w:val="26"/>
          <w:szCs w:val="26"/>
        </w:rPr>
        <w:t> </w:t>
      </w:r>
      <w:r w:rsidR="00E37DBA">
        <w:rPr>
          <w:sz w:val="26"/>
          <w:szCs w:val="26"/>
        </w:rPr>
        <w:t>3375697.</w:t>
      </w:r>
    </w:p>
    <w:p w:rsidR="00B73BE5" w:rsidRPr="00A531A7" w:rsidRDefault="00B73BE5" w:rsidP="00BC413C">
      <w:pPr>
        <w:widowControl/>
        <w:spacing w:line="360" w:lineRule="auto"/>
        <w:ind w:firstLine="1440"/>
        <w:rPr>
          <w:sz w:val="26"/>
          <w:szCs w:val="26"/>
        </w:rPr>
      </w:pPr>
    </w:p>
    <w:p w:rsidR="00E37DBA" w:rsidRDefault="00A531A7" w:rsidP="00BC413C">
      <w:pPr>
        <w:widowControl/>
        <w:spacing w:line="360" w:lineRule="auto"/>
        <w:rPr>
          <w:sz w:val="26"/>
          <w:szCs w:val="26"/>
        </w:rPr>
      </w:pPr>
      <w:r w:rsidRPr="00A531A7">
        <w:rPr>
          <w:sz w:val="26"/>
          <w:szCs w:val="26"/>
        </w:rPr>
        <w:tab/>
      </w:r>
      <w:r w:rsidR="00B73BE5">
        <w:rPr>
          <w:sz w:val="26"/>
          <w:szCs w:val="26"/>
        </w:rPr>
        <w:tab/>
      </w:r>
      <w:r w:rsidR="001E6500">
        <w:rPr>
          <w:sz w:val="26"/>
          <w:szCs w:val="26"/>
        </w:rPr>
        <w:t>On October 5</w:t>
      </w:r>
      <w:r w:rsidR="00B73BE5">
        <w:rPr>
          <w:sz w:val="26"/>
          <w:szCs w:val="26"/>
        </w:rPr>
        <w:t>, 2015, PGW filed an Answer</w:t>
      </w:r>
      <w:r w:rsidRPr="00A531A7">
        <w:rPr>
          <w:sz w:val="26"/>
          <w:szCs w:val="26"/>
        </w:rPr>
        <w:t xml:space="preserve"> </w:t>
      </w:r>
      <w:r w:rsidR="00B73BE5">
        <w:rPr>
          <w:sz w:val="26"/>
          <w:szCs w:val="26"/>
        </w:rPr>
        <w:t xml:space="preserve">admitting that the </w:t>
      </w:r>
      <w:r w:rsidR="00082D11">
        <w:rPr>
          <w:sz w:val="26"/>
          <w:szCs w:val="26"/>
        </w:rPr>
        <w:t xml:space="preserve">Complainant’s gas service was </w:t>
      </w:r>
      <w:r w:rsidR="006C7825">
        <w:rPr>
          <w:sz w:val="26"/>
          <w:szCs w:val="26"/>
        </w:rPr>
        <w:t xml:space="preserve">turned </w:t>
      </w:r>
      <w:r w:rsidR="00082D11">
        <w:rPr>
          <w:sz w:val="26"/>
          <w:szCs w:val="26"/>
        </w:rPr>
        <w:t>off</w:t>
      </w:r>
      <w:r w:rsidR="006C7825">
        <w:rPr>
          <w:sz w:val="26"/>
          <w:szCs w:val="26"/>
        </w:rPr>
        <w:t xml:space="preserve"> on August 12</w:t>
      </w:r>
      <w:r w:rsidR="00082D11">
        <w:rPr>
          <w:sz w:val="26"/>
          <w:szCs w:val="26"/>
        </w:rPr>
        <w:t xml:space="preserve">, </w:t>
      </w:r>
      <w:r w:rsidR="006C7825">
        <w:rPr>
          <w:sz w:val="26"/>
          <w:szCs w:val="26"/>
        </w:rPr>
        <w:t xml:space="preserve">2015, </w:t>
      </w:r>
      <w:r w:rsidR="00082D11">
        <w:rPr>
          <w:sz w:val="26"/>
          <w:szCs w:val="26"/>
        </w:rPr>
        <w:t xml:space="preserve">but </w:t>
      </w:r>
      <w:r w:rsidRPr="00A531A7">
        <w:rPr>
          <w:sz w:val="26"/>
          <w:szCs w:val="26"/>
        </w:rPr>
        <w:t>denying t</w:t>
      </w:r>
      <w:r w:rsidR="00B73BE5">
        <w:rPr>
          <w:sz w:val="26"/>
          <w:szCs w:val="26"/>
        </w:rPr>
        <w:t>he material allegations of the C</w:t>
      </w:r>
      <w:r w:rsidRPr="00A531A7">
        <w:rPr>
          <w:sz w:val="26"/>
          <w:szCs w:val="26"/>
        </w:rPr>
        <w:t xml:space="preserve">omplaint.  </w:t>
      </w:r>
      <w:r w:rsidR="00FC4059">
        <w:rPr>
          <w:sz w:val="26"/>
          <w:szCs w:val="26"/>
        </w:rPr>
        <w:t xml:space="preserve">PGW noted </w:t>
      </w:r>
      <w:r w:rsidR="00082D11">
        <w:rPr>
          <w:sz w:val="26"/>
          <w:szCs w:val="26"/>
        </w:rPr>
        <w:t xml:space="preserve">that the Complainant established service </w:t>
      </w:r>
      <w:r w:rsidR="006C7825">
        <w:rPr>
          <w:sz w:val="26"/>
          <w:szCs w:val="26"/>
        </w:rPr>
        <w:t>at the service address on Ma</w:t>
      </w:r>
      <w:r w:rsidR="00082D11">
        <w:rPr>
          <w:sz w:val="26"/>
          <w:szCs w:val="26"/>
        </w:rPr>
        <w:t xml:space="preserve">y </w:t>
      </w:r>
      <w:r w:rsidR="006C7825">
        <w:rPr>
          <w:sz w:val="26"/>
          <w:szCs w:val="26"/>
        </w:rPr>
        <w:t>31, 2007</w:t>
      </w:r>
      <w:r w:rsidR="00082D11">
        <w:rPr>
          <w:sz w:val="26"/>
          <w:szCs w:val="26"/>
        </w:rPr>
        <w:t xml:space="preserve">, and </w:t>
      </w:r>
      <w:r w:rsidR="00FC4059">
        <w:rPr>
          <w:sz w:val="26"/>
          <w:szCs w:val="26"/>
        </w:rPr>
        <w:t xml:space="preserve">defaulted on </w:t>
      </w:r>
      <w:r w:rsidR="006C7825">
        <w:rPr>
          <w:sz w:val="26"/>
          <w:szCs w:val="26"/>
        </w:rPr>
        <w:t xml:space="preserve">a payment agreement pursuant to a prior informal complaint </w:t>
      </w:r>
      <w:r w:rsidR="00FC4059">
        <w:rPr>
          <w:sz w:val="26"/>
          <w:szCs w:val="26"/>
        </w:rPr>
        <w:t>that</w:t>
      </w:r>
      <w:r w:rsidR="006C7825">
        <w:rPr>
          <w:sz w:val="26"/>
          <w:szCs w:val="26"/>
        </w:rPr>
        <w:t xml:space="preserve"> was closed on April 1, 2014.</w:t>
      </w:r>
      <w:r w:rsidR="00082D11">
        <w:rPr>
          <w:sz w:val="26"/>
          <w:szCs w:val="26"/>
        </w:rPr>
        <w:t xml:space="preserve">  PGW’s further stated </w:t>
      </w:r>
      <w:r w:rsidR="006F085A">
        <w:rPr>
          <w:sz w:val="26"/>
          <w:szCs w:val="26"/>
        </w:rPr>
        <w:t xml:space="preserve">in its Answer </w:t>
      </w:r>
      <w:r w:rsidR="00082D11">
        <w:rPr>
          <w:sz w:val="26"/>
          <w:szCs w:val="26"/>
        </w:rPr>
        <w:t xml:space="preserve">that </w:t>
      </w:r>
      <w:r w:rsidR="006C7825">
        <w:rPr>
          <w:sz w:val="26"/>
          <w:szCs w:val="26"/>
        </w:rPr>
        <w:t xml:space="preserve">due to two broken payment arrangements, </w:t>
      </w:r>
      <w:r w:rsidR="00082D11">
        <w:rPr>
          <w:sz w:val="26"/>
          <w:szCs w:val="26"/>
        </w:rPr>
        <w:t>the</w:t>
      </w:r>
      <w:r w:rsidR="006C7825">
        <w:rPr>
          <w:sz w:val="26"/>
          <w:szCs w:val="26"/>
        </w:rPr>
        <w:t xml:space="preserve"> Complainant is required to pay $6,584.11</w:t>
      </w:r>
      <w:r w:rsidR="00D90BFD">
        <w:rPr>
          <w:rStyle w:val="FootnoteReference"/>
          <w:sz w:val="26"/>
          <w:szCs w:val="26"/>
        </w:rPr>
        <w:footnoteReference w:id="2"/>
      </w:r>
      <w:r w:rsidR="006C7825">
        <w:rPr>
          <w:sz w:val="26"/>
          <w:szCs w:val="26"/>
        </w:rPr>
        <w:t>, which is comprised of a $6,275.88 balance, plus $185.00 for one-half of a deposit, plus a $123.23 reconnection fee, to have his natural gas service restored</w:t>
      </w:r>
      <w:r w:rsidR="00082D11">
        <w:rPr>
          <w:sz w:val="26"/>
          <w:szCs w:val="26"/>
        </w:rPr>
        <w:t>.  Answer at 1</w:t>
      </w:r>
      <w:r w:rsidR="006C7825">
        <w:rPr>
          <w:sz w:val="26"/>
          <w:szCs w:val="26"/>
        </w:rPr>
        <w:t>-2</w:t>
      </w:r>
      <w:r w:rsidR="00082D11">
        <w:rPr>
          <w:sz w:val="26"/>
          <w:szCs w:val="26"/>
        </w:rPr>
        <w:t>.</w:t>
      </w:r>
    </w:p>
    <w:p w:rsidR="00A531A7" w:rsidRPr="00A531A7" w:rsidRDefault="00A531A7" w:rsidP="00BC413C">
      <w:pPr>
        <w:widowControl/>
        <w:spacing w:line="360" w:lineRule="auto"/>
        <w:rPr>
          <w:sz w:val="26"/>
          <w:szCs w:val="26"/>
        </w:rPr>
      </w:pPr>
      <w:r w:rsidRPr="00A531A7">
        <w:rPr>
          <w:sz w:val="26"/>
          <w:szCs w:val="26"/>
        </w:rPr>
        <w:lastRenderedPageBreak/>
        <w:t xml:space="preserve">  </w:t>
      </w:r>
    </w:p>
    <w:p w:rsidR="00A531A7" w:rsidRDefault="00A531A7" w:rsidP="00BC413C">
      <w:pPr>
        <w:widowControl/>
        <w:spacing w:line="360" w:lineRule="auto"/>
        <w:rPr>
          <w:sz w:val="26"/>
          <w:szCs w:val="26"/>
        </w:rPr>
      </w:pPr>
      <w:r w:rsidRPr="00A531A7">
        <w:rPr>
          <w:sz w:val="26"/>
          <w:szCs w:val="26"/>
        </w:rPr>
        <w:tab/>
      </w:r>
      <w:r w:rsidR="00BC4493">
        <w:rPr>
          <w:sz w:val="26"/>
          <w:szCs w:val="26"/>
        </w:rPr>
        <w:tab/>
      </w:r>
      <w:r w:rsidRPr="00A531A7">
        <w:rPr>
          <w:sz w:val="26"/>
          <w:szCs w:val="26"/>
        </w:rPr>
        <w:t>Th</w:t>
      </w:r>
      <w:r w:rsidR="00DB0635">
        <w:rPr>
          <w:sz w:val="26"/>
          <w:szCs w:val="26"/>
        </w:rPr>
        <w:t xml:space="preserve">e ALJ conducted a </w:t>
      </w:r>
      <w:r w:rsidRPr="00A531A7">
        <w:rPr>
          <w:sz w:val="26"/>
          <w:szCs w:val="26"/>
        </w:rPr>
        <w:t xml:space="preserve">hearing </w:t>
      </w:r>
      <w:r w:rsidR="00DB0635">
        <w:rPr>
          <w:sz w:val="26"/>
          <w:szCs w:val="26"/>
        </w:rPr>
        <w:t>in this matter on November 13</w:t>
      </w:r>
      <w:r w:rsidRPr="00A531A7">
        <w:rPr>
          <w:sz w:val="26"/>
          <w:szCs w:val="26"/>
        </w:rPr>
        <w:t>, 2015</w:t>
      </w:r>
      <w:r w:rsidR="00413650">
        <w:rPr>
          <w:sz w:val="26"/>
          <w:szCs w:val="26"/>
        </w:rPr>
        <w:t xml:space="preserve">. </w:t>
      </w:r>
      <w:r w:rsidRPr="00A531A7">
        <w:rPr>
          <w:sz w:val="26"/>
          <w:szCs w:val="26"/>
        </w:rPr>
        <w:t xml:space="preserve"> The Complainant </w:t>
      </w:r>
      <w:r w:rsidR="00413650">
        <w:rPr>
          <w:sz w:val="26"/>
          <w:szCs w:val="26"/>
        </w:rPr>
        <w:t xml:space="preserve">appeared </w:t>
      </w:r>
      <w:r w:rsidR="00413650">
        <w:rPr>
          <w:i/>
          <w:sz w:val="26"/>
          <w:szCs w:val="26"/>
        </w:rPr>
        <w:t>pro se</w:t>
      </w:r>
      <w:r w:rsidR="00DB0635">
        <w:rPr>
          <w:sz w:val="26"/>
          <w:szCs w:val="26"/>
        </w:rPr>
        <w:t>, testified on his own behalf, and presented one other witness, his mother who lives with him at the service address</w:t>
      </w:r>
      <w:r w:rsidR="00413650">
        <w:rPr>
          <w:sz w:val="26"/>
          <w:szCs w:val="26"/>
        </w:rPr>
        <w:t>.</w:t>
      </w:r>
      <w:r w:rsidRPr="00A531A7">
        <w:rPr>
          <w:sz w:val="26"/>
          <w:szCs w:val="26"/>
        </w:rPr>
        <w:t xml:space="preserve">  </w:t>
      </w:r>
      <w:r w:rsidR="00DB0635">
        <w:rPr>
          <w:sz w:val="26"/>
          <w:szCs w:val="26"/>
        </w:rPr>
        <w:t xml:space="preserve">The Complainant sponsored three exhibits.  </w:t>
      </w:r>
      <w:r w:rsidRPr="00A531A7">
        <w:rPr>
          <w:sz w:val="26"/>
          <w:szCs w:val="26"/>
        </w:rPr>
        <w:t>PGW</w:t>
      </w:r>
      <w:r w:rsidR="00413650">
        <w:rPr>
          <w:sz w:val="26"/>
          <w:szCs w:val="26"/>
        </w:rPr>
        <w:t>, which</w:t>
      </w:r>
      <w:r w:rsidRPr="00A531A7">
        <w:rPr>
          <w:sz w:val="26"/>
          <w:szCs w:val="26"/>
        </w:rPr>
        <w:t xml:space="preserve"> was represented by </w:t>
      </w:r>
      <w:r w:rsidR="00413650">
        <w:rPr>
          <w:sz w:val="26"/>
          <w:szCs w:val="26"/>
        </w:rPr>
        <w:t>counsel,</w:t>
      </w:r>
      <w:r w:rsidRPr="00A531A7">
        <w:rPr>
          <w:sz w:val="26"/>
          <w:szCs w:val="26"/>
        </w:rPr>
        <w:t xml:space="preserve"> presented the testimony of one witness</w:t>
      </w:r>
      <w:r w:rsidR="00413650">
        <w:rPr>
          <w:sz w:val="26"/>
          <w:szCs w:val="26"/>
        </w:rPr>
        <w:t xml:space="preserve"> and </w:t>
      </w:r>
      <w:r w:rsidRPr="00A531A7">
        <w:rPr>
          <w:sz w:val="26"/>
          <w:szCs w:val="26"/>
        </w:rPr>
        <w:t>offered</w:t>
      </w:r>
      <w:r w:rsidR="00413650">
        <w:rPr>
          <w:sz w:val="26"/>
          <w:szCs w:val="26"/>
        </w:rPr>
        <w:t xml:space="preserve"> </w:t>
      </w:r>
      <w:r w:rsidRPr="00A531A7">
        <w:rPr>
          <w:sz w:val="26"/>
          <w:szCs w:val="26"/>
        </w:rPr>
        <w:t>PGW Exhibits 1</w:t>
      </w:r>
      <w:r w:rsidR="00DB0635">
        <w:rPr>
          <w:sz w:val="26"/>
          <w:szCs w:val="26"/>
        </w:rPr>
        <w:t>, 2 and 3</w:t>
      </w:r>
      <w:r w:rsidR="001C20F7">
        <w:rPr>
          <w:sz w:val="26"/>
          <w:szCs w:val="26"/>
        </w:rPr>
        <w:t xml:space="preserve">.  All six exhibits </w:t>
      </w:r>
      <w:r w:rsidRPr="00A531A7">
        <w:rPr>
          <w:sz w:val="26"/>
          <w:szCs w:val="26"/>
        </w:rPr>
        <w:t>were admitted into the record without objection</w:t>
      </w:r>
      <w:r w:rsidR="006F085A">
        <w:rPr>
          <w:sz w:val="26"/>
          <w:szCs w:val="26"/>
        </w:rPr>
        <w:t xml:space="preserve"> and the </w:t>
      </w:r>
      <w:r w:rsidRPr="00A531A7">
        <w:rPr>
          <w:sz w:val="26"/>
          <w:szCs w:val="26"/>
        </w:rPr>
        <w:t>reco</w:t>
      </w:r>
      <w:r w:rsidR="001C20F7">
        <w:rPr>
          <w:sz w:val="26"/>
          <w:szCs w:val="26"/>
        </w:rPr>
        <w:t xml:space="preserve">rd was </w:t>
      </w:r>
      <w:r w:rsidR="00BC4493">
        <w:rPr>
          <w:sz w:val="26"/>
          <w:szCs w:val="26"/>
        </w:rPr>
        <w:t xml:space="preserve">closed </w:t>
      </w:r>
      <w:r w:rsidR="001C20F7">
        <w:rPr>
          <w:sz w:val="26"/>
          <w:szCs w:val="26"/>
        </w:rPr>
        <w:t>on November 25, 2015.</w:t>
      </w:r>
    </w:p>
    <w:p w:rsidR="00966D12" w:rsidRDefault="00966D12" w:rsidP="00BC413C">
      <w:pPr>
        <w:widowControl/>
        <w:spacing w:line="360" w:lineRule="auto"/>
        <w:rPr>
          <w:sz w:val="26"/>
          <w:szCs w:val="26"/>
        </w:rPr>
      </w:pPr>
    </w:p>
    <w:p w:rsidR="00966D12" w:rsidRDefault="00966D12" w:rsidP="00BC413C">
      <w:pPr>
        <w:widowControl/>
        <w:spacing w:line="360" w:lineRule="auto"/>
        <w:rPr>
          <w:sz w:val="26"/>
          <w:szCs w:val="26"/>
        </w:rPr>
      </w:pPr>
      <w:r>
        <w:rPr>
          <w:sz w:val="26"/>
          <w:szCs w:val="26"/>
        </w:rPr>
        <w:tab/>
      </w:r>
      <w:r>
        <w:rPr>
          <w:sz w:val="26"/>
          <w:szCs w:val="26"/>
        </w:rPr>
        <w:tab/>
        <w:t>In her Initi</w:t>
      </w:r>
      <w:r w:rsidR="006D5990">
        <w:rPr>
          <w:sz w:val="26"/>
          <w:szCs w:val="26"/>
        </w:rPr>
        <w:t>al Decision, issued on December 16, 2015, ALJ Fordham</w:t>
      </w:r>
      <w:r>
        <w:rPr>
          <w:sz w:val="26"/>
          <w:szCs w:val="26"/>
        </w:rPr>
        <w:t xml:space="preserve"> </w:t>
      </w:r>
      <w:r w:rsidR="006D5990">
        <w:rPr>
          <w:sz w:val="26"/>
          <w:szCs w:val="26"/>
        </w:rPr>
        <w:t>dismissed</w:t>
      </w:r>
      <w:r>
        <w:rPr>
          <w:sz w:val="26"/>
          <w:szCs w:val="26"/>
        </w:rPr>
        <w:t xml:space="preserve"> the Complaint </w:t>
      </w:r>
      <w:r w:rsidR="006D5990">
        <w:rPr>
          <w:sz w:val="26"/>
          <w:szCs w:val="26"/>
        </w:rPr>
        <w:t xml:space="preserve">and denied the </w:t>
      </w:r>
      <w:r w:rsidR="00F27700">
        <w:rPr>
          <w:sz w:val="26"/>
          <w:szCs w:val="26"/>
        </w:rPr>
        <w:t xml:space="preserve">Complainant’s request for a </w:t>
      </w:r>
      <w:r w:rsidR="006D5990">
        <w:rPr>
          <w:sz w:val="26"/>
          <w:szCs w:val="26"/>
        </w:rPr>
        <w:t xml:space="preserve">payment arrangement for failure </w:t>
      </w:r>
      <w:r w:rsidR="00F16EA6">
        <w:rPr>
          <w:sz w:val="26"/>
          <w:szCs w:val="26"/>
        </w:rPr>
        <w:t xml:space="preserve">by the Complainant </w:t>
      </w:r>
      <w:r w:rsidR="006D5990">
        <w:rPr>
          <w:sz w:val="26"/>
          <w:szCs w:val="26"/>
        </w:rPr>
        <w:t xml:space="preserve">to sustain </w:t>
      </w:r>
      <w:r w:rsidR="00F16EA6">
        <w:rPr>
          <w:sz w:val="26"/>
          <w:szCs w:val="26"/>
        </w:rPr>
        <w:t>his</w:t>
      </w:r>
      <w:r w:rsidR="006D5990">
        <w:rPr>
          <w:sz w:val="26"/>
          <w:szCs w:val="26"/>
        </w:rPr>
        <w:t xml:space="preserve"> burden of proof</w:t>
      </w:r>
      <w:r>
        <w:rPr>
          <w:sz w:val="26"/>
          <w:szCs w:val="26"/>
        </w:rPr>
        <w:t xml:space="preserve">.  As previously indicated, </w:t>
      </w:r>
      <w:r w:rsidR="006D5990">
        <w:rPr>
          <w:sz w:val="26"/>
          <w:szCs w:val="26"/>
        </w:rPr>
        <w:t>th</w:t>
      </w:r>
      <w:r>
        <w:rPr>
          <w:sz w:val="26"/>
          <w:szCs w:val="26"/>
        </w:rPr>
        <w:t>e Complaina</w:t>
      </w:r>
      <w:r w:rsidR="006D5990">
        <w:rPr>
          <w:sz w:val="26"/>
          <w:szCs w:val="26"/>
        </w:rPr>
        <w:t>nt filed Exceptions on January</w:t>
      </w:r>
      <w:r>
        <w:rPr>
          <w:sz w:val="26"/>
          <w:szCs w:val="26"/>
        </w:rPr>
        <w:t xml:space="preserve"> 1</w:t>
      </w:r>
      <w:r w:rsidR="006D5990">
        <w:rPr>
          <w:sz w:val="26"/>
          <w:szCs w:val="26"/>
        </w:rPr>
        <w:t>1, 2016</w:t>
      </w:r>
      <w:r w:rsidR="009E5CA2">
        <w:rPr>
          <w:sz w:val="26"/>
          <w:szCs w:val="26"/>
        </w:rPr>
        <w:t>.  PGW filed Re</w:t>
      </w:r>
      <w:r w:rsidR="006D5990">
        <w:rPr>
          <w:sz w:val="26"/>
          <w:szCs w:val="26"/>
        </w:rPr>
        <w:t>plies to Exceptions on January 19, 2016</w:t>
      </w:r>
      <w:r w:rsidR="009E5CA2">
        <w:rPr>
          <w:sz w:val="26"/>
          <w:szCs w:val="26"/>
        </w:rPr>
        <w:t>.</w:t>
      </w:r>
    </w:p>
    <w:p w:rsidR="006D5990" w:rsidRPr="00A531A7" w:rsidRDefault="006D5990" w:rsidP="00BC413C">
      <w:pPr>
        <w:widowControl/>
        <w:spacing w:line="360" w:lineRule="auto"/>
        <w:rPr>
          <w:sz w:val="26"/>
          <w:szCs w:val="26"/>
        </w:rPr>
      </w:pPr>
    </w:p>
    <w:p w:rsidR="00D45D36" w:rsidRPr="00A531A7" w:rsidRDefault="00D45D36" w:rsidP="00BC413C">
      <w:pPr>
        <w:widowControl/>
        <w:spacing w:line="360" w:lineRule="auto"/>
        <w:jc w:val="center"/>
        <w:rPr>
          <w:b/>
          <w:sz w:val="26"/>
          <w:szCs w:val="26"/>
        </w:rPr>
      </w:pPr>
      <w:r w:rsidRPr="00A531A7">
        <w:rPr>
          <w:b/>
          <w:sz w:val="26"/>
          <w:szCs w:val="26"/>
        </w:rPr>
        <w:t>Discussion</w:t>
      </w:r>
    </w:p>
    <w:p w:rsidR="00D45D36" w:rsidRPr="00D64605" w:rsidRDefault="00D45D36" w:rsidP="00BC413C">
      <w:pPr>
        <w:widowControl/>
        <w:spacing w:line="360" w:lineRule="auto"/>
        <w:jc w:val="center"/>
        <w:rPr>
          <w:b/>
          <w:sz w:val="26"/>
          <w:szCs w:val="26"/>
        </w:rPr>
      </w:pPr>
    </w:p>
    <w:p w:rsidR="00D45D36" w:rsidRPr="00D64605" w:rsidRDefault="00D45D36" w:rsidP="00BC413C">
      <w:pPr>
        <w:widowControl/>
        <w:spacing w:line="360" w:lineRule="auto"/>
        <w:rPr>
          <w:sz w:val="26"/>
          <w:szCs w:val="26"/>
        </w:rPr>
      </w:pPr>
      <w:r w:rsidRPr="00D64605">
        <w:rPr>
          <w:b/>
          <w:sz w:val="26"/>
          <w:szCs w:val="26"/>
        </w:rPr>
        <w:t>Legal Standards</w:t>
      </w:r>
    </w:p>
    <w:p w:rsidR="00D45D36" w:rsidRPr="00D64605" w:rsidRDefault="00D45D36" w:rsidP="00BC413C">
      <w:pPr>
        <w:widowControl/>
        <w:spacing w:line="360" w:lineRule="auto"/>
        <w:rPr>
          <w:sz w:val="26"/>
          <w:szCs w:val="26"/>
        </w:rPr>
      </w:pPr>
    </w:p>
    <w:p w:rsidR="00D45D36" w:rsidRPr="00D64605" w:rsidRDefault="00D45D36" w:rsidP="00BC413C">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w:t>
      </w:r>
      <w:r w:rsidRPr="00D64605">
        <w:rPr>
          <w:sz w:val="26"/>
          <w:szCs w:val="26"/>
        </w:rPr>
        <w:lastRenderedPageBreak/>
        <w:t xml:space="preserve">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D45D36" w:rsidRPr="00D64605" w:rsidRDefault="00D45D36" w:rsidP="00BC413C">
      <w:pPr>
        <w:widowControl/>
        <w:spacing w:line="360" w:lineRule="auto"/>
        <w:rPr>
          <w:sz w:val="26"/>
          <w:szCs w:val="26"/>
        </w:rPr>
      </w:pPr>
    </w:p>
    <w:p w:rsidR="00D45D36" w:rsidRDefault="00D45D36" w:rsidP="00BC413C">
      <w:pPr>
        <w:widowControl/>
        <w:spacing w:line="360" w:lineRule="auto"/>
        <w:ind w:firstLine="1440"/>
        <w:rPr>
          <w:sz w:val="26"/>
        </w:rPr>
      </w:pPr>
      <w:r w:rsidRPr="00D64605">
        <w:rPr>
          <w:sz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D64605">
        <w:rPr>
          <w:iCs/>
          <w:sz w:val="26"/>
        </w:rPr>
        <w:t xml:space="preserve"> </w:t>
      </w:r>
      <w:hyperlink r:id="rId8" w:history="1">
        <w:r w:rsidRPr="005E12B6">
          <w:rPr>
            <w:rStyle w:val="Hyperlink"/>
            <w:rFonts w:ascii="Times New (W1)" w:hAnsi="Times New (W1)"/>
            <w:i/>
            <w:iCs/>
            <w:color w:val="auto"/>
            <w:sz w:val="26"/>
            <w:u w:val="none"/>
          </w:rPr>
          <w:t>Burleson v. Pa. PUC,</w:t>
        </w:r>
        <w:r w:rsidRPr="005E12B6">
          <w:rPr>
            <w:rStyle w:val="Hyperlink"/>
            <w:rFonts w:ascii="Times New (W1)" w:hAnsi="Times New (W1)"/>
            <w:iCs/>
            <w:color w:val="auto"/>
            <w:sz w:val="26"/>
            <w:u w:val="none"/>
          </w:rPr>
          <w:t xml:space="preserve"> 443 A.2d 1373 (Pa. Cmwlth. 1982), </w:t>
        </w:r>
        <w:r w:rsidRPr="005E12B6">
          <w:rPr>
            <w:rStyle w:val="Hyperlink"/>
            <w:rFonts w:ascii="Times New (W1)" w:hAnsi="Times New (W1)"/>
            <w:i/>
            <w:iCs/>
            <w:color w:val="auto"/>
            <w:sz w:val="26"/>
            <w:u w:val="none"/>
          </w:rPr>
          <w:t>aff’d,</w:t>
        </w:r>
        <w:r w:rsidRPr="005E12B6">
          <w:rPr>
            <w:rStyle w:val="Hyperlink"/>
            <w:rFonts w:ascii="Times New (W1)" w:hAnsi="Times New (W1)"/>
            <w:iCs/>
            <w:color w:val="auto"/>
            <w:sz w:val="26"/>
            <w:u w:val="none"/>
          </w:rPr>
          <w:t xml:space="preserve"> 501 Pa. 433, 461 A.2d 1234 (1983).</w:t>
        </w:r>
      </w:hyperlink>
      <w:r w:rsidRPr="005E12B6">
        <w:rPr>
          <w:rStyle w:val="Hyperlink"/>
          <w:rFonts w:ascii="Times New (W1)" w:hAnsi="Times New (W1)"/>
          <w:iCs/>
          <w:color w:val="auto"/>
          <w:sz w:val="26"/>
          <w:u w:val="none"/>
        </w:rPr>
        <w:t xml:space="preserve">  </w:t>
      </w:r>
      <w:r w:rsidRPr="00D64605">
        <w:rPr>
          <w:sz w:val="26"/>
        </w:rPr>
        <w:t xml:space="preserve">While the burden of persuasion may </w:t>
      </w:r>
      <w:r w:rsidRPr="005E12B6">
        <w:rPr>
          <w:rStyle w:val="term1"/>
          <w:b w:val="0"/>
          <w:sz w:val="26"/>
        </w:rPr>
        <w:t>shift</w:t>
      </w:r>
      <w:r w:rsidRPr="00D64605">
        <w:rPr>
          <w:sz w:val="26"/>
        </w:rPr>
        <w:t xml:space="preserve"> back and forth during a proceeding, the </w:t>
      </w:r>
      <w:r w:rsidRPr="005E12B6">
        <w:rPr>
          <w:rStyle w:val="term1"/>
          <w:b w:val="0"/>
          <w:sz w:val="26"/>
        </w:rPr>
        <w:t>burden of proof</w:t>
      </w:r>
      <w:r w:rsidRPr="00D64605">
        <w:rPr>
          <w:sz w:val="26"/>
        </w:rPr>
        <w:t xml:space="preserve"> never </w:t>
      </w:r>
      <w:r w:rsidRPr="005E12B6">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rsidR="006D5990" w:rsidRDefault="006D5990" w:rsidP="00BC413C">
      <w:pPr>
        <w:widowControl/>
        <w:spacing w:line="360" w:lineRule="auto"/>
        <w:ind w:firstLine="1440"/>
        <w:rPr>
          <w:sz w:val="26"/>
        </w:rPr>
      </w:pPr>
    </w:p>
    <w:p w:rsidR="00D45D36" w:rsidRDefault="00D45D36" w:rsidP="00BC413C">
      <w:pPr>
        <w:widowControl/>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85210D">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85210D">
          <w:rPr>
            <w:rStyle w:val="Hyperlink"/>
            <w:color w:val="000000"/>
            <w:sz w:val="26"/>
            <w:szCs w:val="26"/>
            <w:u w:val="none"/>
          </w:rPr>
          <w:t>, 485 A.2d 1217 (Pa. Cmwlth. 1984).</w:t>
        </w:r>
      </w:hyperlink>
    </w:p>
    <w:p w:rsidR="00D45D36" w:rsidRDefault="00D45D36" w:rsidP="00BC413C">
      <w:pPr>
        <w:widowControl/>
        <w:spacing w:line="360" w:lineRule="auto"/>
        <w:ind w:firstLine="1440"/>
        <w:rPr>
          <w:rStyle w:val="Hyperlink"/>
          <w:color w:val="000000"/>
          <w:sz w:val="26"/>
          <w:szCs w:val="26"/>
        </w:rPr>
      </w:pPr>
    </w:p>
    <w:p w:rsidR="00D45D36" w:rsidRPr="00D64605" w:rsidRDefault="00D45D36" w:rsidP="00BC413C">
      <w:pPr>
        <w:widowControl/>
        <w:spacing w:line="360" w:lineRule="auto"/>
        <w:rPr>
          <w:b/>
          <w:color w:val="000000"/>
          <w:sz w:val="26"/>
          <w:szCs w:val="26"/>
        </w:rPr>
      </w:pPr>
      <w:r>
        <w:rPr>
          <w:b/>
          <w:color w:val="000000"/>
          <w:sz w:val="26"/>
          <w:szCs w:val="26"/>
        </w:rPr>
        <w:t>ALJ</w:t>
      </w:r>
      <w:r w:rsidRPr="00D64605">
        <w:rPr>
          <w:b/>
          <w:color w:val="000000"/>
          <w:sz w:val="26"/>
          <w:szCs w:val="26"/>
        </w:rPr>
        <w:t>’s Initial Decision</w:t>
      </w:r>
    </w:p>
    <w:p w:rsidR="00D45D36" w:rsidRPr="00D64605" w:rsidRDefault="00D45D36" w:rsidP="00BC413C">
      <w:pPr>
        <w:widowControl/>
        <w:spacing w:line="360" w:lineRule="auto"/>
        <w:ind w:firstLine="1440"/>
        <w:rPr>
          <w:rStyle w:val="Hyperlink"/>
          <w:color w:val="000000"/>
          <w:sz w:val="26"/>
          <w:szCs w:val="26"/>
        </w:rPr>
      </w:pPr>
    </w:p>
    <w:p w:rsidR="00D45D36" w:rsidRDefault="00D45D36" w:rsidP="00BC413C">
      <w:pPr>
        <w:widowControl/>
        <w:spacing w:line="360" w:lineRule="auto"/>
        <w:ind w:firstLine="1440"/>
        <w:rPr>
          <w:sz w:val="26"/>
          <w:szCs w:val="26"/>
        </w:rPr>
      </w:pPr>
      <w:r>
        <w:rPr>
          <w:sz w:val="26"/>
          <w:szCs w:val="26"/>
        </w:rPr>
        <w:t>In</w:t>
      </w:r>
      <w:r w:rsidR="006D5990">
        <w:rPr>
          <w:sz w:val="26"/>
          <w:szCs w:val="26"/>
        </w:rPr>
        <w:t xml:space="preserve"> her Initial Decision, ALJ Fordham</w:t>
      </w:r>
      <w:r w:rsidR="00504720">
        <w:rPr>
          <w:sz w:val="26"/>
          <w:szCs w:val="26"/>
        </w:rPr>
        <w:t xml:space="preserve"> made forty-six</w:t>
      </w:r>
      <w:r w:rsidRPr="00D64605">
        <w:rPr>
          <w:sz w:val="26"/>
          <w:szCs w:val="26"/>
        </w:rPr>
        <w:t xml:space="preserve"> </w:t>
      </w:r>
      <w:r>
        <w:rPr>
          <w:sz w:val="26"/>
          <w:szCs w:val="26"/>
        </w:rPr>
        <w:t>F</w:t>
      </w:r>
      <w:r w:rsidR="00504720">
        <w:rPr>
          <w:sz w:val="26"/>
          <w:szCs w:val="26"/>
        </w:rPr>
        <w:t>indings of Fact and reached nine</w:t>
      </w:r>
      <w:r w:rsidRPr="00D64605">
        <w:rPr>
          <w:sz w:val="26"/>
          <w:szCs w:val="26"/>
        </w:rPr>
        <w:t xml:space="preserve"> Conclus</w:t>
      </w:r>
      <w:r w:rsidR="00504720">
        <w:rPr>
          <w:sz w:val="26"/>
          <w:szCs w:val="26"/>
        </w:rPr>
        <w:t>ions of Law.  I.D. at 3</w:t>
      </w:r>
      <w:r w:rsidR="009E5CA2">
        <w:rPr>
          <w:sz w:val="26"/>
          <w:szCs w:val="26"/>
        </w:rPr>
        <w:t>-7, 14-15</w:t>
      </w:r>
      <w:r w:rsidRPr="00D64605">
        <w:rPr>
          <w:sz w:val="26"/>
          <w:szCs w:val="26"/>
        </w:rPr>
        <w:t xml:space="preserve">.  The Findings of Fact and Conclusions of Law are incorporated herein by reference and are adopted without </w:t>
      </w:r>
      <w:r w:rsidRPr="00D64605">
        <w:rPr>
          <w:sz w:val="26"/>
          <w:szCs w:val="26"/>
        </w:rPr>
        <w:lastRenderedPageBreak/>
        <w:t>comment unless they are either expressly or by necessary implication rejected or modified by this Opinion and Order.</w:t>
      </w:r>
    </w:p>
    <w:p w:rsidR="00A339DF" w:rsidRDefault="00A339DF" w:rsidP="00BC413C">
      <w:pPr>
        <w:widowControl/>
        <w:spacing w:line="360" w:lineRule="auto"/>
        <w:ind w:firstLine="1440"/>
        <w:rPr>
          <w:sz w:val="26"/>
          <w:szCs w:val="26"/>
        </w:rPr>
      </w:pPr>
    </w:p>
    <w:p w:rsidR="00972AC2" w:rsidRDefault="00A339DF" w:rsidP="00BC413C">
      <w:pPr>
        <w:widowControl/>
        <w:spacing w:line="360" w:lineRule="auto"/>
        <w:ind w:firstLine="1440"/>
        <w:rPr>
          <w:sz w:val="26"/>
          <w:szCs w:val="26"/>
        </w:rPr>
      </w:pPr>
      <w:r>
        <w:rPr>
          <w:sz w:val="26"/>
          <w:szCs w:val="26"/>
        </w:rPr>
        <w:t xml:space="preserve">The ALJ found that </w:t>
      </w:r>
      <w:r w:rsidR="00504720">
        <w:rPr>
          <w:sz w:val="26"/>
          <w:szCs w:val="26"/>
        </w:rPr>
        <w:t xml:space="preserve">the Complainant failed to show that the Company was billing him incorrectly or that the Company failed to provide him with reasonable or </w:t>
      </w:r>
      <w:r w:rsidR="001E649A">
        <w:rPr>
          <w:sz w:val="26"/>
          <w:szCs w:val="26"/>
        </w:rPr>
        <w:t>safe service</w:t>
      </w:r>
      <w:r w:rsidR="00504720">
        <w:rPr>
          <w:sz w:val="26"/>
          <w:szCs w:val="26"/>
        </w:rPr>
        <w:t xml:space="preserve">.  </w:t>
      </w:r>
      <w:r w:rsidR="0054452C">
        <w:rPr>
          <w:sz w:val="26"/>
          <w:szCs w:val="26"/>
        </w:rPr>
        <w:t>T</w:t>
      </w:r>
      <w:r w:rsidR="00024FEF">
        <w:rPr>
          <w:sz w:val="26"/>
          <w:szCs w:val="26"/>
        </w:rPr>
        <w:t xml:space="preserve">he ALJ denied </w:t>
      </w:r>
      <w:r w:rsidR="0054452C">
        <w:rPr>
          <w:sz w:val="26"/>
          <w:szCs w:val="26"/>
        </w:rPr>
        <w:t>the Comp</w:t>
      </w:r>
      <w:r w:rsidR="00045AF0">
        <w:rPr>
          <w:sz w:val="26"/>
          <w:szCs w:val="26"/>
        </w:rPr>
        <w:t xml:space="preserve">lainant’s </w:t>
      </w:r>
      <w:r w:rsidR="00024FEF">
        <w:rPr>
          <w:sz w:val="26"/>
          <w:szCs w:val="26"/>
        </w:rPr>
        <w:t>request</w:t>
      </w:r>
      <w:r w:rsidR="00045AF0">
        <w:rPr>
          <w:sz w:val="26"/>
          <w:szCs w:val="26"/>
        </w:rPr>
        <w:t>s</w:t>
      </w:r>
      <w:r w:rsidR="00024FEF">
        <w:rPr>
          <w:sz w:val="26"/>
          <w:szCs w:val="26"/>
        </w:rPr>
        <w:t xml:space="preserve"> for another </w:t>
      </w:r>
      <w:r>
        <w:rPr>
          <w:sz w:val="26"/>
          <w:szCs w:val="26"/>
        </w:rPr>
        <w:t xml:space="preserve">payment arrangement </w:t>
      </w:r>
      <w:r w:rsidR="00045AF0">
        <w:rPr>
          <w:sz w:val="26"/>
          <w:szCs w:val="26"/>
        </w:rPr>
        <w:t xml:space="preserve">and </w:t>
      </w:r>
      <w:r w:rsidR="00504720">
        <w:rPr>
          <w:sz w:val="26"/>
          <w:szCs w:val="26"/>
        </w:rPr>
        <w:t xml:space="preserve">to </w:t>
      </w:r>
      <w:r w:rsidR="00045AF0">
        <w:rPr>
          <w:sz w:val="26"/>
          <w:szCs w:val="26"/>
        </w:rPr>
        <w:t>have his s</w:t>
      </w:r>
      <w:r>
        <w:rPr>
          <w:sz w:val="26"/>
          <w:szCs w:val="26"/>
        </w:rPr>
        <w:t>ervice reinstated</w:t>
      </w:r>
      <w:r w:rsidR="00045AF0">
        <w:rPr>
          <w:sz w:val="26"/>
          <w:szCs w:val="26"/>
        </w:rPr>
        <w:t xml:space="preserve"> because the record showed that the Complainant failed to make regular payments on his account and defaulted on multiple Company-issued payment arrangements</w:t>
      </w:r>
      <w:r w:rsidR="00045AF0">
        <w:rPr>
          <w:rStyle w:val="FootnoteReference"/>
          <w:sz w:val="26"/>
          <w:szCs w:val="26"/>
        </w:rPr>
        <w:footnoteReference w:id="3"/>
      </w:r>
      <w:r w:rsidR="00045AF0">
        <w:rPr>
          <w:sz w:val="26"/>
          <w:szCs w:val="26"/>
        </w:rPr>
        <w:t xml:space="preserve"> and one Commission-issued payment arrangement.</w:t>
      </w:r>
      <w:r>
        <w:rPr>
          <w:sz w:val="26"/>
          <w:szCs w:val="26"/>
        </w:rPr>
        <w:t xml:space="preserve">  </w:t>
      </w:r>
      <w:r w:rsidR="00045AF0">
        <w:rPr>
          <w:sz w:val="26"/>
          <w:szCs w:val="26"/>
        </w:rPr>
        <w:t>For these reasons, t</w:t>
      </w:r>
      <w:r w:rsidR="00024FEF">
        <w:rPr>
          <w:sz w:val="26"/>
          <w:szCs w:val="26"/>
        </w:rPr>
        <w:t>he ALJ directed th</w:t>
      </w:r>
      <w:r w:rsidR="00045AF0">
        <w:rPr>
          <w:sz w:val="26"/>
          <w:szCs w:val="26"/>
        </w:rPr>
        <w:t>e</w:t>
      </w:r>
      <w:r w:rsidR="00024FEF">
        <w:rPr>
          <w:sz w:val="26"/>
          <w:szCs w:val="26"/>
        </w:rPr>
        <w:t xml:space="preserve"> Complainant to pay the outstanding balance of his account together with any reconnection fees prior to reconnection of his service.  </w:t>
      </w:r>
      <w:r w:rsidR="00045AF0">
        <w:rPr>
          <w:sz w:val="26"/>
          <w:szCs w:val="26"/>
        </w:rPr>
        <w:t xml:space="preserve">The ALJ also ruled that </w:t>
      </w:r>
      <w:r w:rsidR="00024FEF">
        <w:rPr>
          <w:sz w:val="26"/>
          <w:szCs w:val="26"/>
        </w:rPr>
        <w:t xml:space="preserve">the Complainant is required to comply with PGW’s request for </w:t>
      </w:r>
      <w:r w:rsidR="00BF2850">
        <w:rPr>
          <w:sz w:val="26"/>
          <w:szCs w:val="26"/>
        </w:rPr>
        <w:t xml:space="preserve">a payment of </w:t>
      </w:r>
      <w:r w:rsidR="00024FEF">
        <w:rPr>
          <w:sz w:val="26"/>
          <w:szCs w:val="26"/>
        </w:rPr>
        <w:t xml:space="preserve">$6,594.08 </w:t>
      </w:r>
      <w:r w:rsidR="00BF2850">
        <w:rPr>
          <w:sz w:val="26"/>
          <w:szCs w:val="26"/>
        </w:rPr>
        <w:t>before PGW restores his gas service.</w:t>
      </w:r>
      <w:r w:rsidR="00024FEF">
        <w:rPr>
          <w:sz w:val="26"/>
          <w:szCs w:val="26"/>
        </w:rPr>
        <w:t xml:space="preserve">  I.D. at 8-13.</w:t>
      </w:r>
    </w:p>
    <w:p w:rsidR="00C17210" w:rsidRDefault="00C17210" w:rsidP="00BC413C">
      <w:pPr>
        <w:widowControl/>
        <w:spacing w:line="360" w:lineRule="auto"/>
        <w:ind w:firstLine="1440"/>
        <w:rPr>
          <w:sz w:val="26"/>
          <w:szCs w:val="26"/>
        </w:rPr>
      </w:pPr>
    </w:p>
    <w:p w:rsidR="00C17210" w:rsidRDefault="00C17210" w:rsidP="00BC413C">
      <w:pPr>
        <w:widowControl/>
        <w:spacing w:line="360" w:lineRule="auto"/>
        <w:ind w:firstLine="1440"/>
        <w:rPr>
          <w:sz w:val="26"/>
          <w:szCs w:val="26"/>
        </w:rPr>
      </w:pPr>
      <w:r>
        <w:rPr>
          <w:sz w:val="26"/>
          <w:szCs w:val="26"/>
        </w:rPr>
        <w:t xml:space="preserve">Next, the ALJ noted that PGW </w:t>
      </w:r>
      <w:r w:rsidR="004A6029">
        <w:rPr>
          <w:sz w:val="26"/>
          <w:szCs w:val="26"/>
        </w:rPr>
        <w:t xml:space="preserve">previously </w:t>
      </w:r>
      <w:r>
        <w:rPr>
          <w:sz w:val="26"/>
          <w:szCs w:val="26"/>
        </w:rPr>
        <w:t xml:space="preserve">provided two medical certificates to the Complainant during 2012 and 2013 due to the multiple illnesses of his mother.  However, the ALJ concluded that since the Complainant </w:t>
      </w:r>
      <w:r w:rsidR="004A6029">
        <w:rPr>
          <w:sz w:val="26"/>
          <w:szCs w:val="26"/>
        </w:rPr>
        <w:t xml:space="preserve">never paid his bills in accordance with Section 56.116 of our Regulations, </w:t>
      </w:r>
      <w:r>
        <w:rPr>
          <w:sz w:val="26"/>
          <w:szCs w:val="26"/>
        </w:rPr>
        <w:t>52</w:t>
      </w:r>
      <w:r w:rsidR="00BF2850">
        <w:rPr>
          <w:sz w:val="26"/>
          <w:szCs w:val="26"/>
        </w:rPr>
        <w:t> </w:t>
      </w:r>
      <w:r>
        <w:rPr>
          <w:sz w:val="26"/>
          <w:szCs w:val="26"/>
        </w:rPr>
        <w:t>Pa. Code § 56.116</w:t>
      </w:r>
      <w:r w:rsidR="004A6029">
        <w:rPr>
          <w:sz w:val="26"/>
          <w:szCs w:val="26"/>
        </w:rPr>
        <w:t>,</w:t>
      </w:r>
      <w:r>
        <w:rPr>
          <w:rStyle w:val="FootnoteReference"/>
          <w:sz w:val="26"/>
          <w:szCs w:val="26"/>
        </w:rPr>
        <w:footnoteReference w:id="4"/>
      </w:r>
      <w:r>
        <w:rPr>
          <w:sz w:val="26"/>
          <w:szCs w:val="26"/>
        </w:rPr>
        <w:t xml:space="preserve"> the number of renewals for the customer’s household is limited to two certificates filed for the same set of arrearages.  As such, the ALJ found that PGW was not required to honor a third renewal of the medical certificate.  I.D. at</w:t>
      </w:r>
      <w:r w:rsidR="006C735E">
        <w:rPr>
          <w:sz w:val="26"/>
          <w:szCs w:val="26"/>
        </w:rPr>
        <w:t xml:space="preserve"> 13-14.  The ALJ dismissed the C</w:t>
      </w:r>
      <w:r w:rsidR="00BC413C">
        <w:rPr>
          <w:sz w:val="26"/>
          <w:szCs w:val="26"/>
        </w:rPr>
        <w:t>omplaint in its entirety.</w:t>
      </w:r>
    </w:p>
    <w:p w:rsidR="00024FEF" w:rsidRDefault="00024FEF" w:rsidP="00BC413C">
      <w:pPr>
        <w:widowControl/>
        <w:spacing w:line="360" w:lineRule="auto"/>
        <w:ind w:firstLine="1440"/>
        <w:rPr>
          <w:sz w:val="26"/>
          <w:szCs w:val="26"/>
        </w:rPr>
      </w:pPr>
    </w:p>
    <w:p w:rsidR="008432C8" w:rsidRDefault="008432C8" w:rsidP="00BC413C">
      <w:pPr>
        <w:keepNext/>
        <w:keepLines/>
        <w:widowControl/>
        <w:spacing w:line="360" w:lineRule="auto"/>
        <w:rPr>
          <w:b/>
          <w:sz w:val="26"/>
          <w:szCs w:val="26"/>
        </w:rPr>
      </w:pPr>
      <w:r>
        <w:rPr>
          <w:b/>
          <w:sz w:val="26"/>
          <w:szCs w:val="26"/>
        </w:rPr>
        <w:lastRenderedPageBreak/>
        <w:t>Exceptions and Replies</w:t>
      </w:r>
    </w:p>
    <w:p w:rsidR="008432C8" w:rsidRDefault="008432C8" w:rsidP="00BC413C">
      <w:pPr>
        <w:keepNext/>
        <w:keepLines/>
        <w:widowControl/>
        <w:spacing w:line="360" w:lineRule="auto"/>
        <w:rPr>
          <w:sz w:val="26"/>
          <w:szCs w:val="26"/>
        </w:rPr>
      </w:pPr>
    </w:p>
    <w:p w:rsidR="008432C8" w:rsidRDefault="008432C8" w:rsidP="00BC413C">
      <w:pPr>
        <w:widowControl/>
        <w:spacing w:line="360" w:lineRule="auto"/>
        <w:rPr>
          <w:sz w:val="26"/>
          <w:szCs w:val="26"/>
        </w:rPr>
      </w:pPr>
      <w:r>
        <w:rPr>
          <w:sz w:val="26"/>
          <w:szCs w:val="26"/>
        </w:rPr>
        <w:tab/>
      </w:r>
      <w:r>
        <w:rPr>
          <w:sz w:val="26"/>
          <w:szCs w:val="26"/>
        </w:rPr>
        <w:tab/>
      </w:r>
      <w:r w:rsidR="001D02B7">
        <w:rPr>
          <w:sz w:val="26"/>
          <w:szCs w:val="26"/>
        </w:rPr>
        <w:t>In his</w:t>
      </w:r>
      <w:r>
        <w:rPr>
          <w:sz w:val="26"/>
          <w:szCs w:val="26"/>
        </w:rPr>
        <w:t xml:space="preserve"> Exceptions, </w:t>
      </w:r>
      <w:r w:rsidR="004333C6">
        <w:rPr>
          <w:sz w:val="26"/>
          <w:szCs w:val="26"/>
        </w:rPr>
        <w:t xml:space="preserve">the Complainant states </w:t>
      </w:r>
      <w:r w:rsidR="00E47725">
        <w:rPr>
          <w:sz w:val="26"/>
          <w:szCs w:val="26"/>
        </w:rPr>
        <w:t xml:space="preserve">that due to </w:t>
      </w:r>
      <w:r w:rsidR="00EB6B32">
        <w:rPr>
          <w:sz w:val="26"/>
          <w:szCs w:val="26"/>
        </w:rPr>
        <w:t xml:space="preserve">problem involving </w:t>
      </w:r>
      <w:r w:rsidR="00E47725">
        <w:rPr>
          <w:sz w:val="26"/>
          <w:szCs w:val="26"/>
        </w:rPr>
        <w:t>a long</w:t>
      </w:r>
      <w:r w:rsidR="00D45AFC">
        <w:rPr>
          <w:sz w:val="26"/>
          <w:szCs w:val="26"/>
        </w:rPr>
        <w:t>-</w:t>
      </w:r>
      <w:r w:rsidR="00E47725">
        <w:rPr>
          <w:sz w:val="26"/>
          <w:szCs w:val="26"/>
        </w:rPr>
        <w:t>term water leak</w:t>
      </w:r>
      <w:r w:rsidR="00C52DA9">
        <w:rPr>
          <w:rStyle w:val="FootnoteReference"/>
          <w:sz w:val="26"/>
          <w:szCs w:val="26"/>
        </w:rPr>
        <w:footnoteReference w:id="5"/>
      </w:r>
      <w:r w:rsidR="00E47725">
        <w:rPr>
          <w:sz w:val="26"/>
          <w:szCs w:val="26"/>
        </w:rPr>
        <w:t xml:space="preserve"> his gas bills were outrageously high (from $297.57 up to $434.82 per month).</w:t>
      </w:r>
      <w:r w:rsidR="00D45AFC">
        <w:rPr>
          <w:rStyle w:val="FootnoteReference"/>
          <w:sz w:val="26"/>
          <w:szCs w:val="26"/>
        </w:rPr>
        <w:footnoteReference w:id="6"/>
      </w:r>
      <w:r w:rsidR="00E47725">
        <w:rPr>
          <w:sz w:val="26"/>
          <w:szCs w:val="26"/>
        </w:rPr>
        <w:t xml:space="preserve">  The Complainant asserts that these bills were too high, that his water </w:t>
      </w:r>
      <w:r w:rsidR="0072553F">
        <w:rPr>
          <w:sz w:val="26"/>
          <w:szCs w:val="26"/>
        </w:rPr>
        <w:t>leak</w:t>
      </w:r>
      <w:r w:rsidR="00E47725">
        <w:rPr>
          <w:sz w:val="26"/>
          <w:szCs w:val="26"/>
        </w:rPr>
        <w:t xml:space="preserve"> certainly affected his gas bills, that these charges are not accurate because of the water circumstances</w:t>
      </w:r>
      <w:r w:rsidR="0072553F">
        <w:rPr>
          <w:sz w:val="26"/>
          <w:szCs w:val="26"/>
        </w:rPr>
        <w:t>,</w:t>
      </w:r>
      <w:r w:rsidR="00E47725">
        <w:rPr>
          <w:sz w:val="26"/>
          <w:szCs w:val="26"/>
        </w:rPr>
        <w:t xml:space="preserve"> and are disputable.  The Complainant </w:t>
      </w:r>
      <w:r w:rsidR="0072553F">
        <w:rPr>
          <w:sz w:val="26"/>
          <w:szCs w:val="26"/>
        </w:rPr>
        <w:t xml:space="preserve">is of the opinion that his gas should be turned on during the pendency of </w:t>
      </w:r>
      <w:r w:rsidR="00E47725">
        <w:rPr>
          <w:sz w:val="26"/>
          <w:szCs w:val="26"/>
        </w:rPr>
        <w:t xml:space="preserve">a final outcome </w:t>
      </w:r>
      <w:r w:rsidR="006D1F71">
        <w:rPr>
          <w:sz w:val="26"/>
          <w:szCs w:val="26"/>
        </w:rPr>
        <w:t xml:space="preserve">of his Complaint </w:t>
      </w:r>
      <w:r w:rsidR="0072553F">
        <w:rPr>
          <w:sz w:val="26"/>
          <w:szCs w:val="26"/>
        </w:rPr>
        <w:t>because his m</w:t>
      </w:r>
      <w:r w:rsidR="00E47725">
        <w:rPr>
          <w:sz w:val="26"/>
          <w:szCs w:val="26"/>
        </w:rPr>
        <w:t xml:space="preserve">other </w:t>
      </w:r>
      <w:r w:rsidR="0072553F">
        <w:rPr>
          <w:sz w:val="26"/>
          <w:szCs w:val="26"/>
        </w:rPr>
        <w:t xml:space="preserve">is disabled </w:t>
      </w:r>
      <w:r w:rsidR="00E47725">
        <w:rPr>
          <w:sz w:val="26"/>
          <w:szCs w:val="26"/>
        </w:rPr>
        <w:t xml:space="preserve">and </w:t>
      </w:r>
      <w:r w:rsidR="0072553F">
        <w:rPr>
          <w:sz w:val="26"/>
          <w:szCs w:val="26"/>
        </w:rPr>
        <w:t xml:space="preserve">he has a </w:t>
      </w:r>
      <w:r w:rsidR="00E47725">
        <w:rPr>
          <w:sz w:val="26"/>
          <w:szCs w:val="26"/>
        </w:rPr>
        <w:t xml:space="preserve">young son </w:t>
      </w:r>
      <w:r w:rsidR="0072553F">
        <w:rPr>
          <w:sz w:val="26"/>
          <w:szCs w:val="26"/>
        </w:rPr>
        <w:t xml:space="preserve">that lives with </w:t>
      </w:r>
      <w:r w:rsidR="00E47725">
        <w:rPr>
          <w:sz w:val="26"/>
          <w:szCs w:val="26"/>
        </w:rPr>
        <w:t xml:space="preserve">him.  The Complainant </w:t>
      </w:r>
      <w:r w:rsidR="006D1F71">
        <w:rPr>
          <w:sz w:val="26"/>
          <w:szCs w:val="26"/>
        </w:rPr>
        <w:t xml:space="preserve">also contends </w:t>
      </w:r>
      <w:r w:rsidR="00E47725">
        <w:rPr>
          <w:sz w:val="26"/>
          <w:szCs w:val="26"/>
        </w:rPr>
        <w:t xml:space="preserve">that </w:t>
      </w:r>
      <w:r w:rsidR="00B47661">
        <w:rPr>
          <w:sz w:val="26"/>
          <w:szCs w:val="26"/>
        </w:rPr>
        <w:t xml:space="preserve">he should be allowed </w:t>
      </w:r>
      <w:r w:rsidR="00E47725">
        <w:rPr>
          <w:sz w:val="26"/>
          <w:szCs w:val="26"/>
        </w:rPr>
        <w:t xml:space="preserve">a </w:t>
      </w:r>
      <w:r w:rsidR="00B47661">
        <w:rPr>
          <w:sz w:val="26"/>
          <w:szCs w:val="26"/>
        </w:rPr>
        <w:t xml:space="preserve">new </w:t>
      </w:r>
      <w:r w:rsidR="00E47725">
        <w:rPr>
          <w:sz w:val="26"/>
          <w:szCs w:val="26"/>
        </w:rPr>
        <w:t>payment arrangement because he was earning less when the gas bills were escalating and because of his mother’s surgeries and hospital stays.</w:t>
      </w:r>
      <w:r w:rsidR="00367BB2">
        <w:rPr>
          <w:sz w:val="26"/>
          <w:szCs w:val="26"/>
        </w:rPr>
        <w:t xml:space="preserve">  The Complainant </w:t>
      </w:r>
      <w:r w:rsidR="006D1F71">
        <w:rPr>
          <w:sz w:val="26"/>
          <w:szCs w:val="26"/>
        </w:rPr>
        <w:t xml:space="preserve">notes </w:t>
      </w:r>
      <w:r w:rsidR="00367BB2">
        <w:rPr>
          <w:sz w:val="26"/>
          <w:szCs w:val="26"/>
        </w:rPr>
        <w:t>that he lost sight of his payment arrangement due to his mother’s health issues.  Exc. at 1-2.</w:t>
      </w:r>
    </w:p>
    <w:p w:rsidR="00FE4969" w:rsidRDefault="00FE4969" w:rsidP="00BC413C">
      <w:pPr>
        <w:widowControl/>
        <w:spacing w:line="360" w:lineRule="auto"/>
        <w:rPr>
          <w:sz w:val="26"/>
          <w:szCs w:val="26"/>
        </w:rPr>
      </w:pPr>
    </w:p>
    <w:p w:rsidR="00367BB2" w:rsidRDefault="00367BB2" w:rsidP="00BC72E4">
      <w:pPr>
        <w:widowControl/>
        <w:spacing w:line="360" w:lineRule="auto"/>
        <w:rPr>
          <w:i/>
          <w:sz w:val="26"/>
          <w:szCs w:val="26"/>
        </w:rPr>
      </w:pPr>
      <w:r>
        <w:rPr>
          <w:sz w:val="26"/>
          <w:szCs w:val="26"/>
        </w:rPr>
        <w:tab/>
      </w:r>
      <w:r>
        <w:rPr>
          <w:sz w:val="26"/>
          <w:szCs w:val="26"/>
        </w:rPr>
        <w:tab/>
        <w:t xml:space="preserve">Next, the Complainant </w:t>
      </w:r>
      <w:r w:rsidR="006D1F71">
        <w:rPr>
          <w:sz w:val="26"/>
          <w:szCs w:val="26"/>
        </w:rPr>
        <w:t>submits</w:t>
      </w:r>
      <w:r>
        <w:rPr>
          <w:sz w:val="26"/>
          <w:szCs w:val="26"/>
        </w:rPr>
        <w:t xml:space="preserve"> that his salary was just enough to receive “CAP” for his electric bills at that time and that he still has it.  The Complainant claims </w:t>
      </w:r>
      <w:r w:rsidR="006D1F71">
        <w:rPr>
          <w:sz w:val="26"/>
          <w:szCs w:val="26"/>
        </w:rPr>
        <w:t xml:space="preserve">he pays </w:t>
      </w:r>
      <w:r>
        <w:rPr>
          <w:sz w:val="26"/>
          <w:szCs w:val="26"/>
        </w:rPr>
        <w:t xml:space="preserve">his electric bills on time and that his electric payment arrangement is good.  The Complainant </w:t>
      </w:r>
      <w:r w:rsidR="005536F0">
        <w:rPr>
          <w:sz w:val="26"/>
          <w:szCs w:val="26"/>
        </w:rPr>
        <w:t xml:space="preserve">maintains that </w:t>
      </w:r>
      <w:r>
        <w:rPr>
          <w:sz w:val="26"/>
          <w:szCs w:val="26"/>
        </w:rPr>
        <w:t xml:space="preserve">it </w:t>
      </w:r>
      <w:r w:rsidR="00A67198">
        <w:rPr>
          <w:sz w:val="26"/>
          <w:szCs w:val="26"/>
        </w:rPr>
        <w:t>is</w:t>
      </w:r>
      <w:r>
        <w:rPr>
          <w:sz w:val="26"/>
          <w:szCs w:val="26"/>
        </w:rPr>
        <w:t xml:space="preserve"> obvious that the only way he can possibly rectify this issue is to be afforded a final payment arrangement similar to the last one </w:t>
      </w:r>
      <w:r w:rsidR="005536F0">
        <w:rPr>
          <w:sz w:val="26"/>
          <w:szCs w:val="26"/>
        </w:rPr>
        <w:t>he was offered because i</w:t>
      </w:r>
      <w:r>
        <w:rPr>
          <w:sz w:val="26"/>
          <w:szCs w:val="26"/>
        </w:rPr>
        <w:t xml:space="preserve">t is </w:t>
      </w:r>
      <w:r w:rsidR="0074547D">
        <w:rPr>
          <w:sz w:val="26"/>
          <w:szCs w:val="26"/>
        </w:rPr>
        <w:t>impossible for him to come up with the remaining balance</w:t>
      </w:r>
      <w:r w:rsidR="00BC72E4">
        <w:rPr>
          <w:sz w:val="26"/>
          <w:szCs w:val="26"/>
        </w:rPr>
        <w:t xml:space="preserve"> and other fees </w:t>
      </w:r>
      <w:r w:rsidR="00A67198">
        <w:rPr>
          <w:sz w:val="26"/>
          <w:szCs w:val="26"/>
        </w:rPr>
        <w:t xml:space="preserve">(currently $6,593.99) </w:t>
      </w:r>
      <w:r w:rsidR="00BC72E4">
        <w:rPr>
          <w:sz w:val="26"/>
          <w:szCs w:val="26"/>
        </w:rPr>
        <w:t>that he must pay before having his service restored.</w:t>
      </w:r>
      <w:r>
        <w:rPr>
          <w:sz w:val="26"/>
          <w:szCs w:val="26"/>
        </w:rPr>
        <w:t xml:space="preserve">  The Complainant claims that at the time his bills ran up</w:t>
      </w:r>
      <w:r w:rsidR="00B47661">
        <w:rPr>
          <w:sz w:val="26"/>
          <w:szCs w:val="26"/>
        </w:rPr>
        <w:t>,</w:t>
      </w:r>
      <w:r>
        <w:rPr>
          <w:sz w:val="26"/>
          <w:szCs w:val="26"/>
        </w:rPr>
        <w:t xml:space="preserve"> his monthly income was $2,490.00</w:t>
      </w:r>
      <w:r w:rsidR="00FE4969">
        <w:rPr>
          <w:rStyle w:val="FootnoteReference"/>
          <w:sz w:val="26"/>
          <w:szCs w:val="26"/>
        </w:rPr>
        <w:footnoteReference w:id="7"/>
      </w:r>
      <w:r>
        <w:rPr>
          <w:sz w:val="26"/>
          <w:szCs w:val="26"/>
        </w:rPr>
        <w:t xml:space="preserve"> and it became impossible</w:t>
      </w:r>
      <w:r w:rsidR="00E5638B">
        <w:rPr>
          <w:sz w:val="26"/>
          <w:szCs w:val="26"/>
        </w:rPr>
        <w:t xml:space="preserve"> </w:t>
      </w:r>
      <w:r w:rsidR="00A67198">
        <w:rPr>
          <w:sz w:val="26"/>
          <w:szCs w:val="26"/>
        </w:rPr>
        <w:t xml:space="preserve">for him </w:t>
      </w:r>
      <w:r w:rsidR="00B47661">
        <w:rPr>
          <w:sz w:val="26"/>
          <w:szCs w:val="26"/>
        </w:rPr>
        <w:t xml:space="preserve">to pay </w:t>
      </w:r>
      <w:r w:rsidR="00E5638B">
        <w:rPr>
          <w:sz w:val="26"/>
          <w:szCs w:val="26"/>
        </w:rPr>
        <w:t xml:space="preserve">without an agreement.  The Complainant </w:t>
      </w:r>
      <w:r w:rsidR="00E5638B">
        <w:rPr>
          <w:sz w:val="26"/>
          <w:szCs w:val="26"/>
        </w:rPr>
        <w:lastRenderedPageBreak/>
        <w:t>requests that</w:t>
      </w:r>
      <w:r w:rsidR="00B47661">
        <w:rPr>
          <w:sz w:val="26"/>
          <w:szCs w:val="26"/>
        </w:rPr>
        <w:t xml:space="preserve"> </w:t>
      </w:r>
      <w:r w:rsidR="00E5638B">
        <w:rPr>
          <w:sz w:val="26"/>
          <w:szCs w:val="26"/>
        </w:rPr>
        <w:t>a medical certificate be honored due to simple humane and health reasons</w:t>
      </w:r>
      <w:r w:rsidR="00B47661">
        <w:rPr>
          <w:sz w:val="26"/>
          <w:szCs w:val="26"/>
        </w:rPr>
        <w:t xml:space="preserve">. </w:t>
      </w:r>
      <w:r w:rsidR="00E5638B">
        <w:rPr>
          <w:sz w:val="26"/>
          <w:szCs w:val="26"/>
        </w:rPr>
        <w:t xml:space="preserve"> According to the Complainant, he will attain several </w:t>
      </w:r>
      <w:r w:rsidR="001E649A">
        <w:rPr>
          <w:sz w:val="26"/>
          <w:szCs w:val="26"/>
        </w:rPr>
        <w:t>doctors’</w:t>
      </w:r>
      <w:r w:rsidR="00E5638B">
        <w:rPr>
          <w:sz w:val="26"/>
          <w:szCs w:val="26"/>
        </w:rPr>
        <w:t xml:space="preserve"> notes to support his mother’s health difficulties</w:t>
      </w:r>
      <w:r w:rsidR="00B47661">
        <w:rPr>
          <w:sz w:val="26"/>
          <w:szCs w:val="26"/>
        </w:rPr>
        <w:t xml:space="preserve"> if needed</w:t>
      </w:r>
      <w:r w:rsidR="00E5638B">
        <w:rPr>
          <w:sz w:val="26"/>
          <w:szCs w:val="26"/>
        </w:rPr>
        <w:t xml:space="preserve">.  Exc. at 2-4. </w:t>
      </w:r>
    </w:p>
    <w:p w:rsidR="00FC787C" w:rsidRPr="00DA077E" w:rsidRDefault="00FC787C" w:rsidP="00BC413C">
      <w:pPr>
        <w:widowControl/>
        <w:spacing w:line="360" w:lineRule="auto"/>
        <w:ind w:firstLine="1440"/>
        <w:rPr>
          <w:sz w:val="26"/>
          <w:szCs w:val="26"/>
        </w:rPr>
      </w:pPr>
    </w:p>
    <w:p w:rsidR="00494E10" w:rsidRDefault="007679C3" w:rsidP="00BC413C">
      <w:pPr>
        <w:widowControl/>
        <w:spacing w:line="360" w:lineRule="auto"/>
        <w:ind w:firstLine="1440"/>
        <w:rPr>
          <w:sz w:val="26"/>
          <w:szCs w:val="26"/>
        </w:rPr>
      </w:pPr>
      <w:r>
        <w:rPr>
          <w:sz w:val="26"/>
          <w:szCs w:val="26"/>
        </w:rPr>
        <w:t xml:space="preserve">In its Replies to the </w:t>
      </w:r>
      <w:r w:rsidR="00A67198">
        <w:rPr>
          <w:sz w:val="26"/>
          <w:szCs w:val="26"/>
        </w:rPr>
        <w:t xml:space="preserve">Complainant’s </w:t>
      </w:r>
      <w:r>
        <w:rPr>
          <w:sz w:val="26"/>
          <w:szCs w:val="26"/>
        </w:rPr>
        <w:t>Exceptions</w:t>
      </w:r>
      <w:r w:rsidR="000178E1">
        <w:rPr>
          <w:sz w:val="26"/>
          <w:szCs w:val="26"/>
        </w:rPr>
        <w:t>, PGW states that his</w:t>
      </w:r>
      <w:r>
        <w:rPr>
          <w:sz w:val="26"/>
          <w:szCs w:val="26"/>
        </w:rPr>
        <w:t xml:space="preserve"> </w:t>
      </w:r>
      <w:r w:rsidR="00A67198">
        <w:rPr>
          <w:sz w:val="26"/>
          <w:szCs w:val="26"/>
        </w:rPr>
        <w:t xml:space="preserve">the Complainant’s </w:t>
      </w:r>
      <w:r>
        <w:rPr>
          <w:sz w:val="26"/>
          <w:szCs w:val="26"/>
        </w:rPr>
        <w:t xml:space="preserve">Exceptions fail to address any error in fact or law contained in the Initial Decision </w:t>
      </w:r>
      <w:r w:rsidR="006E1FCC">
        <w:rPr>
          <w:sz w:val="26"/>
          <w:szCs w:val="26"/>
        </w:rPr>
        <w:t>refuting</w:t>
      </w:r>
      <w:r>
        <w:rPr>
          <w:sz w:val="26"/>
          <w:szCs w:val="26"/>
        </w:rPr>
        <w:t xml:space="preserve"> the conclusion that </w:t>
      </w:r>
      <w:r w:rsidR="000178E1">
        <w:rPr>
          <w:sz w:val="26"/>
          <w:szCs w:val="26"/>
        </w:rPr>
        <w:t>the Complainant failed to meet his burden of proof with regard to demonstrating that the charges on his bills are incorrect, that there is a safety problem, that he is eligible for medical certificates</w:t>
      </w:r>
      <w:r w:rsidR="00A67198">
        <w:rPr>
          <w:sz w:val="26"/>
          <w:szCs w:val="26"/>
        </w:rPr>
        <w:t>,</w:t>
      </w:r>
      <w:r w:rsidR="000178E1">
        <w:rPr>
          <w:sz w:val="26"/>
          <w:szCs w:val="26"/>
        </w:rPr>
        <w:t xml:space="preserve"> or that he is entitled to a payment arrangement to restore his service</w:t>
      </w:r>
      <w:r>
        <w:rPr>
          <w:sz w:val="26"/>
          <w:szCs w:val="26"/>
        </w:rPr>
        <w:t>.</w:t>
      </w:r>
      <w:r w:rsidR="00AC3655">
        <w:rPr>
          <w:sz w:val="26"/>
          <w:szCs w:val="26"/>
        </w:rPr>
        <w:t xml:space="preserve">  PGW notes that the Complainant’s Exceptions </w:t>
      </w:r>
      <w:r w:rsidR="000178E1">
        <w:rPr>
          <w:sz w:val="26"/>
          <w:szCs w:val="26"/>
        </w:rPr>
        <w:t xml:space="preserve">are a recitation of the same arguments that were made by the Complainant and his mother at the evidentiary hearing of November 13, 2015.  </w:t>
      </w:r>
      <w:r w:rsidR="00AC3655">
        <w:rPr>
          <w:sz w:val="26"/>
          <w:szCs w:val="26"/>
        </w:rPr>
        <w:t xml:space="preserve">PGW opines that these Exceptions fail to demonstrate that the Initial Decision is unsupported by substantial evidence.  PGW further opines that the record </w:t>
      </w:r>
      <w:r w:rsidR="000178E1">
        <w:rPr>
          <w:sz w:val="26"/>
          <w:szCs w:val="26"/>
        </w:rPr>
        <w:t xml:space="preserve">clearly </w:t>
      </w:r>
      <w:r w:rsidR="00AC3655">
        <w:rPr>
          <w:sz w:val="26"/>
          <w:szCs w:val="26"/>
        </w:rPr>
        <w:t xml:space="preserve">shows that the Complainant </w:t>
      </w:r>
      <w:r w:rsidR="000178E1">
        <w:rPr>
          <w:sz w:val="26"/>
          <w:szCs w:val="26"/>
        </w:rPr>
        <w:t xml:space="preserve">has demonstrated a poor payment history and has defaulted on several payment arrangements.  PGW also </w:t>
      </w:r>
      <w:r w:rsidR="00DA14AD">
        <w:rPr>
          <w:sz w:val="26"/>
          <w:szCs w:val="26"/>
        </w:rPr>
        <w:t xml:space="preserve">submits </w:t>
      </w:r>
      <w:r w:rsidR="000178E1">
        <w:rPr>
          <w:sz w:val="26"/>
          <w:szCs w:val="26"/>
        </w:rPr>
        <w:t>that the record shows that the Company is not required to honor a third medical certificate, that the Complainant failed to show that PGW failed to provide him with reasonable or safe service</w:t>
      </w:r>
      <w:r w:rsidR="00DA14AD">
        <w:rPr>
          <w:sz w:val="26"/>
          <w:szCs w:val="26"/>
        </w:rPr>
        <w:t>,</w:t>
      </w:r>
      <w:r w:rsidR="000178E1">
        <w:rPr>
          <w:sz w:val="26"/>
          <w:szCs w:val="26"/>
        </w:rPr>
        <w:t xml:space="preserve"> and that the Complainant conceded that his bills are not the Company’s fault.  As such, PGW requests that the Commission deny the Complainant’s Exceptions and adopt the ALJ’s Initial Decision dismissing the Complaint.</w:t>
      </w:r>
      <w:r w:rsidR="00AC3655">
        <w:rPr>
          <w:sz w:val="26"/>
          <w:szCs w:val="26"/>
        </w:rPr>
        <w:t xml:space="preserve">  PGW R. Exc. at 2</w:t>
      </w:r>
      <w:r w:rsidR="005E30F0">
        <w:rPr>
          <w:sz w:val="26"/>
          <w:szCs w:val="26"/>
        </w:rPr>
        <w:t>-3</w:t>
      </w:r>
      <w:r w:rsidR="00AC3655">
        <w:rPr>
          <w:sz w:val="26"/>
          <w:szCs w:val="26"/>
        </w:rPr>
        <w:t>.</w:t>
      </w:r>
    </w:p>
    <w:p w:rsidR="00494E10" w:rsidRDefault="00494E10" w:rsidP="00BC413C">
      <w:pPr>
        <w:widowControl/>
        <w:spacing w:line="360" w:lineRule="auto"/>
        <w:ind w:firstLine="1440"/>
        <w:rPr>
          <w:sz w:val="26"/>
          <w:szCs w:val="26"/>
        </w:rPr>
      </w:pPr>
    </w:p>
    <w:p w:rsidR="00494E10" w:rsidRDefault="00494E10" w:rsidP="00BC413C">
      <w:pPr>
        <w:widowControl/>
        <w:spacing w:line="360" w:lineRule="auto"/>
        <w:rPr>
          <w:b/>
          <w:sz w:val="26"/>
          <w:szCs w:val="26"/>
        </w:rPr>
      </w:pPr>
      <w:r>
        <w:rPr>
          <w:b/>
          <w:sz w:val="26"/>
          <w:szCs w:val="26"/>
        </w:rPr>
        <w:t>Disposition</w:t>
      </w:r>
    </w:p>
    <w:p w:rsidR="00494E10" w:rsidRDefault="00494E10" w:rsidP="00BC413C">
      <w:pPr>
        <w:widowControl/>
        <w:spacing w:line="360" w:lineRule="auto"/>
        <w:rPr>
          <w:b/>
          <w:sz w:val="26"/>
          <w:szCs w:val="26"/>
        </w:rPr>
      </w:pPr>
    </w:p>
    <w:p w:rsidR="00B25E68" w:rsidRDefault="00494E10" w:rsidP="00BC413C">
      <w:pPr>
        <w:widowControl/>
        <w:spacing w:line="360" w:lineRule="auto"/>
        <w:rPr>
          <w:sz w:val="26"/>
          <w:szCs w:val="26"/>
        </w:rPr>
      </w:pPr>
      <w:r>
        <w:rPr>
          <w:sz w:val="26"/>
          <w:szCs w:val="26"/>
        </w:rPr>
        <w:tab/>
      </w:r>
      <w:r>
        <w:rPr>
          <w:sz w:val="26"/>
          <w:szCs w:val="26"/>
        </w:rPr>
        <w:tab/>
        <w:t xml:space="preserve">Based upon our review of the evidence of record, the Initial Decision and the Exceptions and Replies thereto, </w:t>
      </w:r>
      <w:r w:rsidR="007A5F8C">
        <w:rPr>
          <w:sz w:val="26"/>
          <w:szCs w:val="26"/>
        </w:rPr>
        <w:t xml:space="preserve">we conclude that the Complainant’s Exceptions lack merit.  </w:t>
      </w:r>
      <w:r w:rsidR="00F604DF">
        <w:rPr>
          <w:sz w:val="26"/>
          <w:szCs w:val="26"/>
        </w:rPr>
        <w:t xml:space="preserve">As noted by the Company, the Complainant has </w:t>
      </w:r>
      <w:r w:rsidR="006C735E">
        <w:rPr>
          <w:sz w:val="26"/>
          <w:szCs w:val="26"/>
        </w:rPr>
        <w:t xml:space="preserve">a poor payment history </w:t>
      </w:r>
      <w:r w:rsidR="00073E1B">
        <w:rPr>
          <w:sz w:val="26"/>
          <w:szCs w:val="26"/>
        </w:rPr>
        <w:t xml:space="preserve">with PGW </w:t>
      </w:r>
      <w:r w:rsidR="006C735E">
        <w:rPr>
          <w:sz w:val="26"/>
          <w:szCs w:val="26"/>
        </w:rPr>
        <w:t>and has defaulted on several payment arrangements</w:t>
      </w:r>
      <w:r w:rsidR="00073E1B">
        <w:rPr>
          <w:sz w:val="26"/>
          <w:szCs w:val="26"/>
        </w:rPr>
        <w:t>,</w:t>
      </w:r>
      <w:r w:rsidR="00F604DF">
        <w:rPr>
          <w:sz w:val="26"/>
          <w:szCs w:val="26"/>
        </w:rPr>
        <w:t xml:space="preserve"> including </w:t>
      </w:r>
      <w:r w:rsidR="00073E1B">
        <w:rPr>
          <w:sz w:val="26"/>
          <w:szCs w:val="26"/>
        </w:rPr>
        <w:t>one Commission</w:t>
      </w:r>
      <w:r w:rsidR="00DA14AD">
        <w:rPr>
          <w:sz w:val="26"/>
          <w:szCs w:val="26"/>
        </w:rPr>
        <w:t>-</w:t>
      </w:r>
      <w:r w:rsidR="00073E1B">
        <w:rPr>
          <w:sz w:val="26"/>
          <w:szCs w:val="26"/>
        </w:rPr>
        <w:t xml:space="preserve">issued </w:t>
      </w:r>
      <w:r w:rsidR="00F604DF">
        <w:rPr>
          <w:sz w:val="26"/>
          <w:szCs w:val="26"/>
        </w:rPr>
        <w:t>payment agreement</w:t>
      </w:r>
      <w:r w:rsidR="00073E1B">
        <w:rPr>
          <w:sz w:val="26"/>
          <w:szCs w:val="26"/>
        </w:rPr>
        <w:t xml:space="preserve">. </w:t>
      </w:r>
      <w:r w:rsidR="00F604DF">
        <w:rPr>
          <w:sz w:val="26"/>
          <w:szCs w:val="26"/>
        </w:rPr>
        <w:t xml:space="preserve"> </w:t>
      </w:r>
      <w:r w:rsidR="00EA5E04">
        <w:rPr>
          <w:sz w:val="26"/>
          <w:szCs w:val="26"/>
        </w:rPr>
        <w:t>PGW has stated that the Complainant’s gas serv</w:t>
      </w:r>
      <w:r w:rsidR="00073E1B">
        <w:rPr>
          <w:sz w:val="26"/>
          <w:szCs w:val="26"/>
        </w:rPr>
        <w:t>ice w</w:t>
      </w:r>
      <w:r w:rsidR="003625A7">
        <w:rPr>
          <w:sz w:val="26"/>
          <w:szCs w:val="26"/>
        </w:rPr>
        <w:t xml:space="preserve">as </w:t>
      </w:r>
      <w:r w:rsidR="00073E1B">
        <w:rPr>
          <w:sz w:val="26"/>
          <w:szCs w:val="26"/>
        </w:rPr>
        <w:lastRenderedPageBreak/>
        <w:t>te</w:t>
      </w:r>
      <w:r w:rsidR="003625A7">
        <w:rPr>
          <w:sz w:val="26"/>
          <w:szCs w:val="26"/>
        </w:rPr>
        <w:t xml:space="preserve">rminated </w:t>
      </w:r>
      <w:r w:rsidR="00073E1B">
        <w:rPr>
          <w:sz w:val="26"/>
          <w:szCs w:val="26"/>
        </w:rPr>
        <w:t>for non-payment on August 12</w:t>
      </w:r>
      <w:r w:rsidR="003625A7">
        <w:rPr>
          <w:sz w:val="26"/>
          <w:szCs w:val="26"/>
        </w:rPr>
        <w:t xml:space="preserve">, </w:t>
      </w:r>
      <w:r w:rsidR="00DB5B3A">
        <w:rPr>
          <w:sz w:val="26"/>
          <w:szCs w:val="26"/>
        </w:rPr>
        <w:t>2015</w:t>
      </w:r>
      <w:r w:rsidR="00EA5E04">
        <w:rPr>
          <w:sz w:val="26"/>
          <w:szCs w:val="26"/>
        </w:rPr>
        <w:t xml:space="preserve">, </w:t>
      </w:r>
      <w:r w:rsidR="00073E1B">
        <w:rPr>
          <w:sz w:val="26"/>
          <w:szCs w:val="26"/>
        </w:rPr>
        <w:t>and that he</w:t>
      </w:r>
      <w:r w:rsidR="00EA5E04">
        <w:rPr>
          <w:sz w:val="26"/>
          <w:szCs w:val="26"/>
        </w:rPr>
        <w:t xml:space="preserve"> has a</w:t>
      </w:r>
      <w:r w:rsidR="00A937F5">
        <w:rPr>
          <w:sz w:val="26"/>
          <w:szCs w:val="26"/>
        </w:rPr>
        <w:t xml:space="preserve"> total unpaid</w:t>
      </w:r>
      <w:r w:rsidR="00EA5E04">
        <w:rPr>
          <w:sz w:val="26"/>
          <w:szCs w:val="26"/>
        </w:rPr>
        <w:t xml:space="preserve"> balanc</w:t>
      </w:r>
      <w:r w:rsidR="006510A1">
        <w:rPr>
          <w:sz w:val="26"/>
          <w:szCs w:val="26"/>
        </w:rPr>
        <w:t>e on h</w:t>
      </w:r>
      <w:r w:rsidR="00DB5B3A">
        <w:rPr>
          <w:sz w:val="26"/>
          <w:szCs w:val="26"/>
        </w:rPr>
        <w:t>is</w:t>
      </w:r>
      <w:r w:rsidR="006510A1">
        <w:rPr>
          <w:sz w:val="26"/>
          <w:szCs w:val="26"/>
        </w:rPr>
        <w:t xml:space="preserve"> gas account of </w:t>
      </w:r>
      <w:r w:rsidR="001B1B16">
        <w:rPr>
          <w:sz w:val="26"/>
          <w:szCs w:val="26"/>
        </w:rPr>
        <w:t>$</w:t>
      </w:r>
      <w:r w:rsidR="00DB5B3A">
        <w:rPr>
          <w:sz w:val="26"/>
          <w:szCs w:val="26"/>
        </w:rPr>
        <w:t>6</w:t>
      </w:r>
      <w:r w:rsidR="001B1B16">
        <w:rPr>
          <w:sz w:val="26"/>
          <w:szCs w:val="26"/>
        </w:rPr>
        <w:t>,</w:t>
      </w:r>
      <w:r w:rsidR="00073E1B">
        <w:rPr>
          <w:sz w:val="26"/>
          <w:szCs w:val="26"/>
        </w:rPr>
        <w:t>285.76.</w:t>
      </w:r>
      <w:r w:rsidR="001B1B16">
        <w:rPr>
          <w:sz w:val="26"/>
          <w:szCs w:val="26"/>
        </w:rPr>
        <w:t xml:space="preserve">  </w:t>
      </w:r>
      <w:r w:rsidR="001B1B16">
        <w:rPr>
          <w:i/>
          <w:sz w:val="26"/>
          <w:szCs w:val="26"/>
        </w:rPr>
        <w:t>See</w:t>
      </w:r>
      <w:r w:rsidR="00FE4969">
        <w:rPr>
          <w:sz w:val="26"/>
          <w:szCs w:val="26"/>
        </w:rPr>
        <w:t xml:space="preserve"> Finding of Fact No. 42</w:t>
      </w:r>
      <w:r w:rsidR="001B1B16">
        <w:rPr>
          <w:sz w:val="26"/>
          <w:szCs w:val="26"/>
        </w:rPr>
        <w:t>.</w:t>
      </w:r>
      <w:r w:rsidR="002764AC">
        <w:rPr>
          <w:sz w:val="26"/>
          <w:szCs w:val="26"/>
        </w:rPr>
        <w:t xml:space="preserve">  Considering these facts, </w:t>
      </w:r>
      <w:r w:rsidR="00A937F5">
        <w:rPr>
          <w:sz w:val="26"/>
          <w:szCs w:val="26"/>
        </w:rPr>
        <w:t>and consistent with 66 Pa. C.S. § 1405(d)</w:t>
      </w:r>
      <w:r w:rsidR="007A5F8C">
        <w:rPr>
          <w:sz w:val="26"/>
          <w:szCs w:val="26"/>
        </w:rPr>
        <w:t xml:space="preserve"> and Commission precedent</w:t>
      </w:r>
      <w:r w:rsidR="00A937F5">
        <w:rPr>
          <w:sz w:val="26"/>
          <w:szCs w:val="26"/>
        </w:rPr>
        <w:t>,</w:t>
      </w:r>
      <w:r w:rsidR="007A5F8C">
        <w:rPr>
          <w:rStyle w:val="FootnoteReference"/>
          <w:sz w:val="26"/>
          <w:szCs w:val="26"/>
        </w:rPr>
        <w:footnoteReference w:id="8"/>
      </w:r>
      <w:r w:rsidR="00A937F5">
        <w:rPr>
          <w:sz w:val="26"/>
          <w:szCs w:val="26"/>
        </w:rPr>
        <w:t xml:space="preserve"> </w:t>
      </w:r>
      <w:r w:rsidR="002764AC">
        <w:rPr>
          <w:sz w:val="26"/>
          <w:szCs w:val="26"/>
        </w:rPr>
        <w:t xml:space="preserve">we </w:t>
      </w:r>
      <w:r w:rsidR="00DA14AD">
        <w:rPr>
          <w:sz w:val="26"/>
          <w:szCs w:val="26"/>
        </w:rPr>
        <w:t>agree</w:t>
      </w:r>
      <w:r w:rsidR="002764AC">
        <w:rPr>
          <w:sz w:val="26"/>
          <w:szCs w:val="26"/>
        </w:rPr>
        <w:t xml:space="preserve"> with the </w:t>
      </w:r>
      <w:r w:rsidR="00DA14AD">
        <w:rPr>
          <w:sz w:val="26"/>
          <w:szCs w:val="26"/>
        </w:rPr>
        <w:t xml:space="preserve">ALJ’s </w:t>
      </w:r>
      <w:r w:rsidR="002764AC">
        <w:rPr>
          <w:sz w:val="26"/>
          <w:szCs w:val="26"/>
        </w:rPr>
        <w:t>conclusion that it is not appropriat</w:t>
      </w:r>
      <w:r w:rsidR="001B1B16">
        <w:rPr>
          <w:sz w:val="26"/>
          <w:szCs w:val="26"/>
        </w:rPr>
        <w:t>e or reasonable to provide the C</w:t>
      </w:r>
      <w:r w:rsidR="002764AC">
        <w:rPr>
          <w:sz w:val="26"/>
          <w:szCs w:val="26"/>
        </w:rPr>
        <w:t>omplainant with a</w:t>
      </w:r>
      <w:r w:rsidR="00A85FE0">
        <w:rPr>
          <w:sz w:val="26"/>
          <w:szCs w:val="26"/>
        </w:rPr>
        <w:t>nother</w:t>
      </w:r>
      <w:r w:rsidR="002764AC">
        <w:rPr>
          <w:sz w:val="26"/>
          <w:szCs w:val="26"/>
        </w:rPr>
        <w:t xml:space="preserve"> payment arrangement </w:t>
      </w:r>
      <w:r w:rsidR="00E44DC8">
        <w:rPr>
          <w:sz w:val="26"/>
          <w:szCs w:val="26"/>
        </w:rPr>
        <w:t>or to require PGW to restore his</w:t>
      </w:r>
      <w:r w:rsidR="002764AC">
        <w:rPr>
          <w:sz w:val="26"/>
          <w:szCs w:val="26"/>
        </w:rPr>
        <w:t xml:space="preserve"> natural gas service.  </w:t>
      </w:r>
      <w:r w:rsidR="00871CFB">
        <w:rPr>
          <w:sz w:val="26"/>
          <w:szCs w:val="26"/>
        </w:rPr>
        <w:t>Accordingly, we shall deny the Exceptions of the Complainant</w:t>
      </w:r>
      <w:r w:rsidR="007A5F8C">
        <w:rPr>
          <w:sz w:val="26"/>
          <w:szCs w:val="26"/>
        </w:rPr>
        <w:t xml:space="preserve"> and conclude that th</w:t>
      </w:r>
      <w:r w:rsidR="00E44DC8">
        <w:rPr>
          <w:sz w:val="26"/>
          <w:szCs w:val="26"/>
        </w:rPr>
        <w:t>e Complainant failed to meet his</w:t>
      </w:r>
      <w:r w:rsidR="007A5F8C">
        <w:rPr>
          <w:sz w:val="26"/>
          <w:szCs w:val="26"/>
        </w:rPr>
        <w:t xml:space="preserve"> burden of proof that th</w:t>
      </w:r>
      <w:r w:rsidR="00E44DC8">
        <w:rPr>
          <w:sz w:val="26"/>
          <w:szCs w:val="26"/>
        </w:rPr>
        <w:t>ere are incorrect charges on his bill</w:t>
      </w:r>
      <w:r w:rsidR="00EB71EB">
        <w:rPr>
          <w:sz w:val="26"/>
          <w:szCs w:val="26"/>
        </w:rPr>
        <w:t>, that there is a safety problem, that he is eligible for a medical certificate</w:t>
      </w:r>
      <w:r w:rsidR="00A85FE0">
        <w:rPr>
          <w:sz w:val="26"/>
          <w:szCs w:val="26"/>
        </w:rPr>
        <w:t>,</w:t>
      </w:r>
      <w:r w:rsidR="00E44DC8">
        <w:rPr>
          <w:sz w:val="26"/>
          <w:szCs w:val="26"/>
        </w:rPr>
        <w:t xml:space="preserve"> or that </w:t>
      </w:r>
      <w:r w:rsidR="007A5F8C">
        <w:rPr>
          <w:sz w:val="26"/>
          <w:szCs w:val="26"/>
        </w:rPr>
        <w:t>he should be provided a payment arrangement</w:t>
      </w:r>
      <w:r w:rsidR="00EB71EB">
        <w:rPr>
          <w:sz w:val="26"/>
          <w:szCs w:val="26"/>
        </w:rPr>
        <w:t xml:space="preserve"> to restore his service</w:t>
      </w:r>
      <w:r w:rsidR="00871CFB">
        <w:rPr>
          <w:sz w:val="26"/>
          <w:szCs w:val="26"/>
        </w:rPr>
        <w:t>.</w:t>
      </w:r>
      <w:r w:rsidR="002764AC">
        <w:rPr>
          <w:sz w:val="26"/>
          <w:szCs w:val="26"/>
        </w:rPr>
        <w:t xml:space="preserve"> </w:t>
      </w:r>
    </w:p>
    <w:p w:rsidR="00040B8A" w:rsidRDefault="00040B8A" w:rsidP="00BC413C">
      <w:pPr>
        <w:widowControl/>
        <w:spacing w:line="360" w:lineRule="auto"/>
        <w:ind w:firstLine="1440"/>
        <w:rPr>
          <w:sz w:val="26"/>
          <w:szCs w:val="26"/>
        </w:rPr>
      </w:pPr>
    </w:p>
    <w:p w:rsidR="004D6FFB" w:rsidRPr="00836D64" w:rsidRDefault="004D6FFB" w:rsidP="00BC413C">
      <w:pPr>
        <w:widowControl/>
        <w:spacing w:line="360" w:lineRule="auto"/>
        <w:jc w:val="center"/>
        <w:rPr>
          <w:sz w:val="26"/>
          <w:szCs w:val="26"/>
        </w:rPr>
      </w:pPr>
      <w:r w:rsidRPr="00836D64">
        <w:rPr>
          <w:b/>
          <w:sz w:val="26"/>
          <w:szCs w:val="26"/>
        </w:rPr>
        <w:t>Conclusion</w:t>
      </w:r>
    </w:p>
    <w:p w:rsidR="004D6FFB" w:rsidRPr="00836D64" w:rsidRDefault="004D6FFB" w:rsidP="00BC413C">
      <w:pPr>
        <w:widowControl/>
        <w:spacing w:line="360" w:lineRule="auto"/>
        <w:ind w:firstLine="1440"/>
        <w:rPr>
          <w:spacing w:val="-3"/>
          <w:sz w:val="26"/>
          <w:szCs w:val="26"/>
        </w:rPr>
      </w:pPr>
    </w:p>
    <w:p w:rsidR="004D6FFB" w:rsidRPr="001F35D1" w:rsidRDefault="004D6FFB" w:rsidP="00BC413C">
      <w:pPr>
        <w:widowControl/>
        <w:spacing w:line="360" w:lineRule="auto"/>
        <w:ind w:firstLine="1440"/>
        <w:rPr>
          <w:spacing w:val="-3"/>
          <w:sz w:val="26"/>
          <w:szCs w:val="26"/>
        </w:rPr>
      </w:pPr>
      <w:r w:rsidRPr="00836D64">
        <w:rPr>
          <w:spacing w:val="-3"/>
          <w:sz w:val="26"/>
          <w:szCs w:val="26"/>
        </w:rPr>
        <w:t>Based on the</w:t>
      </w:r>
      <w:r>
        <w:rPr>
          <w:spacing w:val="-3"/>
          <w:sz w:val="26"/>
          <w:szCs w:val="26"/>
        </w:rPr>
        <w:t xml:space="preserve"> above discussion, we shall deny the Complainant’s Exceptions</w:t>
      </w:r>
      <w:r w:rsidR="00E44DC8">
        <w:rPr>
          <w:spacing w:val="-3"/>
          <w:sz w:val="26"/>
          <w:szCs w:val="26"/>
        </w:rPr>
        <w:t xml:space="preserve"> </w:t>
      </w:r>
      <w:r w:rsidR="001927AD">
        <w:rPr>
          <w:spacing w:val="-3"/>
          <w:sz w:val="26"/>
          <w:szCs w:val="26"/>
        </w:rPr>
        <w:t xml:space="preserve">and </w:t>
      </w:r>
      <w:r w:rsidR="00E44DC8">
        <w:rPr>
          <w:spacing w:val="-3"/>
          <w:sz w:val="26"/>
          <w:szCs w:val="26"/>
        </w:rPr>
        <w:t>adopt</w:t>
      </w:r>
      <w:r>
        <w:rPr>
          <w:spacing w:val="-3"/>
          <w:sz w:val="26"/>
          <w:szCs w:val="26"/>
        </w:rPr>
        <w:t xml:space="preserve"> the ALJ’</w:t>
      </w:r>
      <w:r w:rsidR="00B00E17">
        <w:rPr>
          <w:spacing w:val="-3"/>
          <w:sz w:val="26"/>
          <w:szCs w:val="26"/>
        </w:rPr>
        <w:t xml:space="preserve">s Initial Decision, which </w:t>
      </w:r>
      <w:r w:rsidR="00E44DC8">
        <w:rPr>
          <w:spacing w:val="-3"/>
          <w:sz w:val="26"/>
          <w:szCs w:val="26"/>
        </w:rPr>
        <w:t>dismissed</w:t>
      </w:r>
      <w:r>
        <w:rPr>
          <w:spacing w:val="-3"/>
          <w:sz w:val="26"/>
          <w:szCs w:val="26"/>
        </w:rPr>
        <w:t xml:space="preserve"> the Complaint</w:t>
      </w:r>
      <w:r w:rsidR="00A85FE0">
        <w:rPr>
          <w:spacing w:val="-3"/>
          <w:sz w:val="26"/>
          <w:szCs w:val="26"/>
        </w:rPr>
        <w:t xml:space="preserve"> for failure by the Complainant to meet his burden of proof</w:t>
      </w:r>
      <w:r>
        <w:rPr>
          <w:spacing w:val="-3"/>
          <w:sz w:val="26"/>
          <w:szCs w:val="26"/>
        </w:rPr>
        <w:t xml:space="preserve">; </w:t>
      </w:r>
      <w:r w:rsidRPr="001C7049">
        <w:rPr>
          <w:b/>
          <w:sz w:val="26"/>
          <w:szCs w:val="26"/>
        </w:rPr>
        <w:t>THEREFORE</w:t>
      </w:r>
      <w:r w:rsidRPr="001C7049">
        <w:rPr>
          <w:sz w:val="26"/>
          <w:szCs w:val="26"/>
        </w:rPr>
        <w:t>,</w:t>
      </w:r>
    </w:p>
    <w:p w:rsidR="004D6FFB" w:rsidRDefault="004D6FFB" w:rsidP="00BC413C">
      <w:pPr>
        <w:widowControl/>
        <w:spacing w:line="360" w:lineRule="auto"/>
        <w:rPr>
          <w:sz w:val="26"/>
          <w:szCs w:val="26"/>
        </w:rPr>
      </w:pPr>
    </w:p>
    <w:p w:rsidR="004D6FFB" w:rsidRDefault="004D6FFB" w:rsidP="00BC413C">
      <w:pPr>
        <w:widowControl/>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4D6FFB" w:rsidRDefault="004D6FFB" w:rsidP="00BC413C">
      <w:pPr>
        <w:widowControl/>
        <w:spacing w:line="360" w:lineRule="auto"/>
        <w:rPr>
          <w:b/>
          <w:sz w:val="26"/>
          <w:szCs w:val="26"/>
        </w:rPr>
      </w:pPr>
    </w:p>
    <w:p w:rsidR="004D6FFB" w:rsidRDefault="004D6FFB" w:rsidP="00BC413C">
      <w:pPr>
        <w:widowControl/>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w:t>
      </w:r>
      <w:r w:rsidR="00E44DC8">
        <w:rPr>
          <w:sz w:val="26"/>
          <w:szCs w:val="26"/>
        </w:rPr>
        <w:t>the Exceptions of Joseph Rago filed on January 11, 2016</w:t>
      </w:r>
      <w:r>
        <w:rPr>
          <w:sz w:val="26"/>
          <w:szCs w:val="26"/>
        </w:rPr>
        <w:t>, to the Initial Decision o</w:t>
      </w:r>
      <w:r w:rsidR="00E44DC8">
        <w:rPr>
          <w:sz w:val="26"/>
          <w:szCs w:val="26"/>
        </w:rPr>
        <w:t>f Administrative Law Judge Cynthia Williams Fordham, which was issued on December 16</w:t>
      </w:r>
      <w:r>
        <w:rPr>
          <w:sz w:val="26"/>
          <w:szCs w:val="26"/>
        </w:rPr>
        <w:t>, 2015, are denied, consistent with this Opinion and Order.</w:t>
      </w:r>
    </w:p>
    <w:p w:rsidR="00FD7B5A" w:rsidRPr="00FD7B5A" w:rsidRDefault="00FD7B5A" w:rsidP="00BC413C">
      <w:pPr>
        <w:widowControl/>
        <w:spacing w:line="360" w:lineRule="auto"/>
        <w:rPr>
          <w:sz w:val="26"/>
          <w:szCs w:val="26"/>
        </w:rPr>
      </w:pPr>
    </w:p>
    <w:p w:rsidR="004D6FFB" w:rsidRDefault="00E44DC8" w:rsidP="00BC413C">
      <w:pPr>
        <w:widowControl/>
        <w:spacing w:line="360" w:lineRule="auto"/>
        <w:ind w:firstLine="1440"/>
        <w:rPr>
          <w:sz w:val="26"/>
          <w:szCs w:val="26"/>
        </w:rPr>
      </w:pPr>
      <w:r>
        <w:rPr>
          <w:sz w:val="26"/>
          <w:szCs w:val="26"/>
        </w:rPr>
        <w:t>2</w:t>
      </w:r>
      <w:r w:rsidR="004D6FFB">
        <w:rPr>
          <w:sz w:val="26"/>
          <w:szCs w:val="26"/>
        </w:rPr>
        <w:t>.</w:t>
      </w:r>
      <w:r w:rsidR="004D6FFB">
        <w:rPr>
          <w:sz w:val="26"/>
          <w:szCs w:val="26"/>
        </w:rPr>
        <w:tab/>
        <w:t>That the Initial Decision of Administ</w:t>
      </w:r>
      <w:r w:rsidR="00FD7B5A">
        <w:rPr>
          <w:sz w:val="26"/>
          <w:szCs w:val="26"/>
        </w:rPr>
        <w:t>rative Law Judge</w:t>
      </w:r>
      <w:r>
        <w:rPr>
          <w:sz w:val="26"/>
          <w:szCs w:val="26"/>
        </w:rPr>
        <w:t xml:space="preserve"> Cynthia Williams Fordham</w:t>
      </w:r>
      <w:r w:rsidR="00FD7B5A">
        <w:rPr>
          <w:sz w:val="26"/>
          <w:szCs w:val="26"/>
        </w:rPr>
        <w:t xml:space="preserve"> </w:t>
      </w:r>
      <w:r>
        <w:rPr>
          <w:sz w:val="26"/>
          <w:szCs w:val="26"/>
        </w:rPr>
        <w:t>issued on December 16</w:t>
      </w:r>
      <w:r w:rsidR="003B34F4">
        <w:rPr>
          <w:sz w:val="26"/>
          <w:szCs w:val="26"/>
        </w:rPr>
        <w:t xml:space="preserve">, 2015, </w:t>
      </w:r>
      <w:r w:rsidR="00FD7B5A">
        <w:rPr>
          <w:sz w:val="26"/>
          <w:szCs w:val="26"/>
        </w:rPr>
        <w:t xml:space="preserve">is </w:t>
      </w:r>
      <w:r>
        <w:rPr>
          <w:sz w:val="26"/>
          <w:szCs w:val="26"/>
        </w:rPr>
        <w:t>adopted</w:t>
      </w:r>
      <w:r w:rsidR="004D6FFB">
        <w:rPr>
          <w:sz w:val="26"/>
          <w:szCs w:val="26"/>
        </w:rPr>
        <w:t>, consistent with this Opinion and Order.</w:t>
      </w:r>
    </w:p>
    <w:p w:rsidR="004D6FFB" w:rsidRDefault="004D6FFB" w:rsidP="00BC413C">
      <w:pPr>
        <w:widowControl/>
        <w:spacing w:line="360" w:lineRule="auto"/>
        <w:rPr>
          <w:sz w:val="26"/>
          <w:szCs w:val="26"/>
        </w:rPr>
      </w:pPr>
    </w:p>
    <w:p w:rsidR="004D6FFB" w:rsidRDefault="004D6FFB" w:rsidP="00BC413C">
      <w:pPr>
        <w:widowControl/>
        <w:spacing w:line="360" w:lineRule="auto"/>
        <w:rPr>
          <w:sz w:val="26"/>
          <w:szCs w:val="26"/>
        </w:rPr>
      </w:pPr>
      <w:r>
        <w:rPr>
          <w:sz w:val="26"/>
          <w:szCs w:val="26"/>
        </w:rPr>
        <w:lastRenderedPageBreak/>
        <w:tab/>
      </w:r>
      <w:r>
        <w:rPr>
          <w:sz w:val="26"/>
          <w:szCs w:val="26"/>
        </w:rPr>
        <w:tab/>
      </w:r>
      <w:r w:rsidR="00E44DC8">
        <w:rPr>
          <w:sz w:val="26"/>
          <w:szCs w:val="26"/>
        </w:rPr>
        <w:t>3</w:t>
      </w:r>
      <w:r>
        <w:rPr>
          <w:sz w:val="26"/>
          <w:szCs w:val="26"/>
        </w:rPr>
        <w:t>.</w:t>
      </w:r>
      <w:r>
        <w:rPr>
          <w:sz w:val="26"/>
          <w:szCs w:val="26"/>
        </w:rPr>
        <w:tab/>
        <w:t xml:space="preserve">That the Formal </w:t>
      </w:r>
      <w:r w:rsidR="00E44DC8">
        <w:rPr>
          <w:sz w:val="26"/>
          <w:szCs w:val="26"/>
        </w:rPr>
        <w:t>Complaint filed by Joseph Rago</w:t>
      </w:r>
      <w:r w:rsidR="003B34F4">
        <w:rPr>
          <w:sz w:val="26"/>
          <w:szCs w:val="26"/>
        </w:rPr>
        <w:t xml:space="preserve"> at Docket Number F</w:t>
      </w:r>
      <w:r w:rsidR="003B34F4">
        <w:rPr>
          <w:sz w:val="26"/>
          <w:szCs w:val="26"/>
        </w:rPr>
        <w:noBreakHyphen/>
        <w:t>201</w:t>
      </w:r>
      <w:r w:rsidR="00E44DC8">
        <w:rPr>
          <w:sz w:val="26"/>
          <w:szCs w:val="26"/>
        </w:rPr>
        <w:t>5</w:t>
      </w:r>
      <w:r w:rsidR="003B34F4">
        <w:rPr>
          <w:sz w:val="26"/>
          <w:szCs w:val="26"/>
        </w:rPr>
        <w:noBreakHyphen/>
        <w:t>2</w:t>
      </w:r>
      <w:r w:rsidR="00E44DC8">
        <w:rPr>
          <w:sz w:val="26"/>
          <w:szCs w:val="26"/>
        </w:rPr>
        <w:t>503606</w:t>
      </w:r>
      <w:r>
        <w:rPr>
          <w:sz w:val="26"/>
          <w:szCs w:val="26"/>
        </w:rPr>
        <w:t xml:space="preserve"> against the Philadelphia Gas Works is dismissed.</w:t>
      </w:r>
    </w:p>
    <w:p w:rsidR="008105DD" w:rsidRDefault="008105DD" w:rsidP="00BC413C">
      <w:pPr>
        <w:widowControl/>
        <w:spacing w:line="360" w:lineRule="auto"/>
        <w:rPr>
          <w:sz w:val="26"/>
          <w:szCs w:val="26"/>
        </w:rPr>
      </w:pPr>
    </w:p>
    <w:p w:rsidR="004D6FFB" w:rsidRPr="00F466B0" w:rsidRDefault="00E44DC8" w:rsidP="00BC413C">
      <w:pPr>
        <w:widowControl/>
        <w:spacing w:line="360" w:lineRule="auto"/>
        <w:ind w:firstLine="1440"/>
        <w:rPr>
          <w:sz w:val="26"/>
          <w:szCs w:val="26"/>
        </w:rPr>
      </w:pPr>
      <w:r>
        <w:rPr>
          <w:sz w:val="26"/>
          <w:szCs w:val="26"/>
        </w:rPr>
        <w:t>4</w:t>
      </w:r>
      <w:r w:rsidR="004D6FFB">
        <w:rPr>
          <w:sz w:val="26"/>
          <w:szCs w:val="26"/>
        </w:rPr>
        <w:t>.</w:t>
      </w:r>
      <w:r w:rsidR="004D6FFB">
        <w:rPr>
          <w:sz w:val="26"/>
          <w:szCs w:val="26"/>
        </w:rPr>
        <w:tab/>
        <w:t xml:space="preserve">That this proceeding </w:t>
      </w:r>
      <w:r w:rsidR="009F3B7A">
        <w:rPr>
          <w:sz w:val="26"/>
          <w:szCs w:val="26"/>
        </w:rPr>
        <w:t xml:space="preserve">shall </w:t>
      </w:r>
      <w:r w:rsidR="004D6FFB">
        <w:rPr>
          <w:sz w:val="26"/>
          <w:szCs w:val="26"/>
        </w:rPr>
        <w:t>be marked closed.</w:t>
      </w:r>
    </w:p>
    <w:p w:rsidR="004D6FFB" w:rsidRDefault="00DE3EFF" w:rsidP="00BC413C">
      <w:pPr>
        <w:widowControl/>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1FD5AB14" wp14:editId="6310EA2B">
            <wp:simplePos x="0" y="0"/>
            <wp:positionH relativeFrom="column">
              <wp:posOffset>3042285</wp:posOffset>
            </wp:positionH>
            <wp:positionV relativeFrom="paragraph">
              <wp:posOffset>248285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D6FFB" w:rsidRPr="000D6043" w:rsidRDefault="004D6FFB" w:rsidP="00BC413C">
      <w:pPr>
        <w:widowControl/>
        <w:spacing w:line="360" w:lineRule="auto"/>
        <w:rPr>
          <w:b/>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b/>
          <w:sz w:val="26"/>
          <w:szCs w:val="26"/>
        </w:rPr>
        <w:t>BY THE COMMISSION,</w:t>
      </w:r>
    </w:p>
    <w:p w:rsidR="004D6FFB" w:rsidRDefault="004D6FFB" w:rsidP="00BC413C">
      <w:pPr>
        <w:widowControl/>
        <w:rPr>
          <w:sz w:val="26"/>
          <w:szCs w:val="26"/>
        </w:rPr>
      </w:pPr>
    </w:p>
    <w:p w:rsidR="009F3B7A" w:rsidRDefault="009F3B7A" w:rsidP="00BC413C">
      <w:pPr>
        <w:widowControl/>
        <w:rPr>
          <w:sz w:val="26"/>
          <w:szCs w:val="26"/>
        </w:rPr>
      </w:pPr>
    </w:p>
    <w:p w:rsidR="004D6FFB" w:rsidRPr="000D6043" w:rsidRDefault="004D6FFB" w:rsidP="00BC413C">
      <w:pPr>
        <w:widowControl/>
        <w:rPr>
          <w:sz w:val="26"/>
          <w:szCs w:val="26"/>
        </w:rPr>
      </w:pPr>
    </w:p>
    <w:p w:rsidR="004D6FFB" w:rsidRPr="000D6043" w:rsidRDefault="004D6FFB" w:rsidP="00BC413C">
      <w:pPr>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4D6FFB" w:rsidRPr="001B2BFB" w:rsidRDefault="004D6FFB" w:rsidP="00BC413C">
      <w:pPr>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4D6FFB" w:rsidRDefault="004D6FFB" w:rsidP="00BC413C">
      <w:pPr>
        <w:widowControl/>
        <w:tabs>
          <w:tab w:val="left" w:pos="-720"/>
        </w:tabs>
        <w:suppressAutoHyphens/>
        <w:rPr>
          <w:sz w:val="26"/>
          <w:szCs w:val="26"/>
        </w:rPr>
      </w:pPr>
    </w:p>
    <w:p w:rsidR="004D6FFB" w:rsidRDefault="004D6FFB" w:rsidP="00BC413C">
      <w:pPr>
        <w:widowControl/>
        <w:tabs>
          <w:tab w:val="left" w:pos="-720"/>
        </w:tabs>
        <w:suppressAutoHyphens/>
        <w:rPr>
          <w:sz w:val="26"/>
          <w:szCs w:val="26"/>
        </w:rPr>
      </w:pPr>
    </w:p>
    <w:p w:rsidR="004D6FFB" w:rsidRPr="00AD292A" w:rsidRDefault="004D6FFB" w:rsidP="00BC413C">
      <w:pPr>
        <w:widowControl/>
        <w:tabs>
          <w:tab w:val="left" w:pos="-720"/>
        </w:tabs>
        <w:suppressAutoHyphens/>
        <w:rPr>
          <w:sz w:val="26"/>
          <w:szCs w:val="26"/>
        </w:rPr>
      </w:pPr>
      <w:r w:rsidRPr="00AD292A">
        <w:rPr>
          <w:sz w:val="26"/>
          <w:szCs w:val="26"/>
        </w:rPr>
        <w:t>(SEAL)</w:t>
      </w:r>
    </w:p>
    <w:p w:rsidR="004D6FFB" w:rsidRPr="001B2BFB" w:rsidRDefault="004D6FFB" w:rsidP="00BC413C">
      <w:pPr>
        <w:widowControl/>
        <w:tabs>
          <w:tab w:val="left" w:pos="-720"/>
        </w:tabs>
        <w:suppressAutoHyphens/>
        <w:rPr>
          <w:sz w:val="26"/>
          <w:szCs w:val="26"/>
        </w:rPr>
      </w:pPr>
    </w:p>
    <w:p w:rsidR="004D6FFB" w:rsidRDefault="004D6FFB" w:rsidP="00BC413C">
      <w:pPr>
        <w:widowControl/>
        <w:tabs>
          <w:tab w:val="left" w:pos="-720"/>
        </w:tabs>
        <w:suppressAutoHyphens/>
        <w:rPr>
          <w:sz w:val="26"/>
          <w:szCs w:val="26"/>
        </w:rPr>
      </w:pPr>
      <w:r w:rsidRPr="00AD292A">
        <w:rPr>
          <w:sz w:val="26"/>
          <w:szCs w:val="26"/>
        </w:rPr>
        <w:t>ORDER ADOPTED:</w:t>
      </w:r>
      <w:r w:rsidRPr="001B2BFB">
        <w:rPr>
          <w:sz w:val="26"/>
          <w:szCs w:val="26"/>
        </w:rPr>
        <w:t xml:space="preserve"> </w:t>
      </w:r>
      <w:r w:rsidR="00E44DC8">
        <w:rPr>
          <w:sz w:val="26"/>
          <w:szCs w:val="26"/>
        </w:rPr>
        <w:t>October 27</w:t>
      </w:r>
      <w:r>
        <w:rPr>
          <w:sz w:val="26"/>
          <w:szCs w:val="26"/>
        </w:rPr>
        <w:t>, 2016</w:t>
      </w:r>
    </w:p>
    <w:p w:rsidR="004D6FFB" w:rsidRPr="001B2BFB" w:rsidRDefault="004D6FFB" w:rsidP="00BC413C">
      <w:pPr>
        <w:widowControl/>
        <w:tabs>
          <w:tab w:val="left" w:pos="-720"/>
        </w:tabs>
        <w:suppressAutoHyphens/>
        <w:rPr>
          <w:sz w:val="26"/>
          <w:szCs w:val="26"/>
        </w:rPr>
      </w:pPr>
    </w:p>
    <w:p w:rsidR="00D45D36" w:rsidRPr="00314E5E" w:rsidRDefault="004D6FFB" w:rsidP="00A85FE0">
      <w:pPr>
        <w:pStyle w:val="BodyText"/>
        <w:spacing w:line="240" w:lineRule="auto"/>
        <w:rPr>
          <w:szCs w:val="26"/>
        </w:rPr>
      </w:pPr>
      <w:r w:rsidRPr="00AD292A">
        <w:t>ORDER ENTERED</w:t>
      </w:r>
      <w:r>
        <w:t xml:space="preserve">: </w:t>
      </w:r>
      <w:r w:rsidR="00DE3EFF">
        <w:t>October 27, 2016</w:t>
      </w:r>
    </w:p>
    <w:sectPr w:rsidR="00D45D36" w:rsidRPr="00314E5E" w:rsidSect="00BE65C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1F" w:rsidRDefault="00B33F1F" w:rsidP="00314E5E">
      <w:r>
        <w:separator/>
      </w:r>
    </w:p>
  </w:endnote>
  <w:endnote w:type="continuationSeparator" w:id="0">
    <w:p w:rsidR="00B33F1F" w:rsidRDefault="00B33F1F" w:rsidP="003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92809"/>
      <w:docPartObj>
        <w:docPartGallery w:val="Page Numbers (Bottom of Page)"/>
        <w:docPartUnique/>
      </w:docPartObj>
    </w:sdtPr>
    <w:sdtEndPr>
      <w:rPr>
        <w:noProof/>
      </w:rPr>
    </w:sdtEndPr>
    <w:sdtContent>
      <w:p w:rsidR="00BE65C5" w:rsidRDefault="00BE65C5">
        <w:pPr>
          <w:pStyle w:val="Footer"/>
          <w:jc w:val="center"/>
        </w:pPr>
        <w:r>
          <w:fldChar w:fldCharType="begin"/>
        </w:r>
        <w:r>
          <w:instrText xml:space="preserve"> PAGE   \* MERGEFORMAT </w:instrText>
        </w:r>
        <w:r>
          <w:fldChar w:fldCharType="separate"/>
        </w:r>
        <w:r w:rsidR="00DE3EFF">
          <w:rPr>
            <w:noProof/>
          </w:rPr>
          <w:t>9</w:t>
        </w:r>
        <w:r>
          <w:rPr>
            <w:noProof/>
          </w:rPr>
          <w:fldChar w:fldCharType="end"/>
        </w:r>
      </w:p>
    </w:sdtContent>
  </w:sdt>
  <w:p w:rsidR="00BE65C5" w:rsidRDefault="00BE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1F" w:rsidRDefault="00B33F1F" w:rsidP="00314E5E">
      <w:r>
        <w:separator/>
      </w:r>
    </w:p>
  </w:footnote>
  <w:footnote w:type="continuationSeparator" w:id="0">
    <w:p w:rsidR="00B33F1F" w:rsidRDefault="00B33F1F" w:rsidP="00314E5E">
      <w:r>
        <w:continuationSeparator/>
      </w:r>
    </w:p>
  </w:footnote>
  <w:footnote w:id="1">
    <w:p w:rsidR="009B2A7C" w:rsidRPr="000B2B02" w:rsidRDefault="009B2A7C" w:rsidP="00D45AFC">
      <w:pPr>
        <w:pStyle w:val="FootnoteText"/>
        <w:keepNext/>
        <w:keepLines/>
        <w:widowControl/>
        <w:spacing w:after="120"/>
        <w:ind w:firstLine="720"/>
        <w:rPr>
          <w:sz w:val="26"/>
          <w:szCs w:val="26"/>
        </w:rPr>
      </w:pPr>
      <w:r w:rsidRPr="000B2B02">
        <w:rPr>
          <w:rStyle w:val="FootnoteReference"/>
          <w:sz w:val="26"/>
          <w:szCs w:val="26"/>
        </w:rPr>
        <w:footnoteRef/>
      </w:r>
      <w:r>
        <w:rPr>
          <w:sz w:val="26"/>
          <w:szCs w:val="26"/>
        </w:rPr>
        <w:tab/>
        <w:t>The Exceptions that were filed with the Se</w:t>
      </w:r>
      <w:r w:rsidR="00B977EF">
        <w:rPr>
          <w:sz w:val="26"/>
          <w:szCs w:val="26"/>
        </w:rPr>
        <w:t>cretary’s Bureau on January 11, 2016</w:t>
      </w:r>
      <w:r>
        <w:rPr>
          <w:sz w:val="26"/>
          <w:szCs w:val="26"/>
        </w:rPr>
        <w:t>, did not in</w:t>
      </w:r>
      <w:r w:rsidR="00B977EF">
        <w:rPr>
          <w:sz w:val="26"/>
          <w:szCs w:val="26"/>
        </w:rPr>
        <w:t xml:space="preserve">clude </w:t>
      </w:r>
      <w:r>
        <w:rPr>
          <w:sz w:val="26"/>
          <w:szCs w:val="26"/>
        </w:rPr>
        <w:t>a Certificate of Service.  As</w:t>
      </w:r>
      <w:r w:rsidR="00B977EF">
        <w:rPr>
          <w:sz w:val="26"/>
          <w:szCs w:val="26"/>
        </w:rPr>
        <w:t xml:space="preserve"> such, by letter dated January 11, 2016</w:t>
      </w:r>
      <w:r>
        <w:rPr>
          <w:sz w:val="26"/>
          <w:szCs w:val="26"/>
        </w:rPr>
        <w:t xml:space="preserve">, the Secretary’s Bureau </w:t>
      </w:r>
      <w:r w:rsidR="00B977EF">
        <w:rPr>
          <w:sz w:val="26"/>
          <w:szCs w:val="26"/>
        </w:rPr>
        <w:t xml:space="preserve">provided a copy of the Exceptions to the </w:t>
      </w:r>
      <w:r w:rsidR="001E649A">
        <w:rPr>
          <w:sz w:val="26"/>
          <w:szCs w:val="26"/>
        </w:rPr>
        <w:t>Respondent and</w:t>
      </w:r>
      <w:r w:rsidR="00B977EF">
        <w:rPr>
          <w:sz w:val="26"/>
          <w:szCs w:val="26"/>
        </w:rPr>
        <w:t xml:space="preserve"> set the deadline for the receipt of Replies to Exceptions as January 21, 2016</w:t>
      </w:r>
      <w:r>
        <w:rPr>
          <w:sz w:val="26"/>
          <w:szCs w:val="26"/>
        </w:rPr>
        <w:t>.</w:t>
      </w:r>
    </w:p>
  </w:footnote>
  <w:footnote w:id="2">
    <w:p w:rsidR="00D90BFD" w:rsidRPr="00D90BFD" w:rsidRDefault="00D90BFD" w:rsidP="00D45AFC">
      <w:pPr>
        <w:pStyle w:val="FootnoteText"/>
        <w:keepNext/>
        <w:keepLines/>
        <w:widowControl/>
        <w:spacing w:after="120"/>
        <w:ind w:firstLine="720"/>
        <w:rPr>
          <w:sz w:val="26"/>
          <w:szCs w:val="26"/>
        </w:rPr>
      </w:pPr>
      <w:r w:rsidRPr="00D90BFD">
        <w:rPr>
          <w:rStyle w:val="FootnoteReference"/>
          <w:sz w:val="26"/>
          <w:szCs w:val="26"/>
        </w:rPr>
        <w:footnoteRef/>
      </w:r>
      <w:r w:rsidR="0091280D">
        <w:rPr>
          <w:sz w:val="26"/>
          <w:szCs w:val="26"/>
        </w:rPr>
        <w:tab/>
        <w:t>Per PGW Exhibit No. 3</w:t>
      </w:r>
      <w:r>
        <w:rPr>
          <w:sz w:val="26"/>
          <w:szCs w:val="26"/>
        </w:rPr>
        <w:t xml:space="preserve">, this amount was corrected to be $6,594.08, which includes a $6,285.76 account balance plus $185.00, which is half of the security deposit, and a $123.23 reconnection fee. </w:t>
      </w:r>
      <w:r w:rsidR="00F371B0">
        <w:rPr>
          <w:sz w:val="26"/>
          <w:szCs w:val="26"/>
        </w:rPr>
        <w:t xml:space="preserve"> We note that </w:t>
      </w:r>
      <w:r w:rsidR="00AC6101">
        <w:rPr>
          <w:sz w:val="26"/>
          <w:szCs w:val="26"/>
        </w:rPr>
        <w:t>the total amount owed by the Complainant is listed as $6,594.08 in PGW Exhibit No. 3</w:t>
      </w:r>
      <w:r w:rsidR="00673B40">
        <w:rPr>
          <w:sz w:val="26"/>
          <w:szCs w:val="26"/>
        </w:rPr>
        <w:t xml:space="preserve">.  However, the total actually </w:t>
      </w:r>
      <w:r w:rsidR="00AC6101">
        <w:rPr>
          <w:sz w:val="26"/>
          <w:szCs w:val="26"/>
        </w:rPr>
        <w:t xml:space="preserve">should </w:t>
      </w:r>
      <w:r w:rsidR="00673B40">
        <w:rPr>
          <w:sz w:val="26"/>
          <w:szCs w:val="26"/>
        </w:rPr>
        <w:t>be</w:t>
      </w:r>
      <w:r w:rsidR="00AC6101">
        <w:rPr>
          <w:sz w:val="26"/>
          <w:szCs w:val="26"/>
        </w:rPr>
        <w:t xml:space="preserve"> $6,593.99 (i.e., $6,594.08 + $185.00 + $123.23 = $6,593.99).</w:t>
      </w:r>
    </w:p>
  </w:footnote>
  <w:footnote w:id="3">
    <w:p w:rsidR="00045AF0" w:rsidRPr="00C52DA9" w:rsidRDefault="00045AF0" w:rsidP="00D45AFC">
      <w:pPr>
        <w:pStyle w:val="FootnoteText"/>
        <w:keepNext/>
        <w:keepLines/>
        <w:widowControl/>
        <w:spacing w:after="120"/>
        <w:ind w:firstLine="720"/>
        <w:rPr>
          <w:sz w:val="26"/>
          <w:szCs w:val="26"/>
        </w:rPr>
      </w:pPr>
      <w:r w:rsidRPr="00C52DA9">
        <w:rPr>
          <w:rStyle w:val="FootnoteReference"/>
          <w:sz w:val="26"/>
          <w:szCs w:val="26"/>
        </w:rPr>
        <w:footnoteRef/>
      </w:r>
      <w:r>
        <w:rPr>
          <w:sz w:val="26"/>
          <w:szCs w:val="26"/>
        </w:rPr>
        <w:tab/>
        <w:t xml:space="preserve">The Complainant defaulted on </w:t>
      </w:r>
      <w:r w:rsidR="00BF2850">
        <w:rPr>
          <w:sz w:val="26"/>
          <w:szCs w:val="26"/>
        </w:rPr>
        <w:t xml:space="preserve">the </w:t>
      </w:r>
      <w:r>
        <w:rPr>
          <w:sz w:val="26"/>
          <w:szCs w:val="26"/>
        </w:rPr>
        <w:t>Company</w:t>
      </w:r>
      <w:r w:rsidR="00BF2850">
        <w:rPr>
          <w:sz w:val="26"/>
          <w:szCs w:val="26"/>
        </w:rPr>
        <w:t>-</w:t>
      </w:r>
      <w:r>
        <w:rPr>
          <w:sz w:val="26"/>
          <w:szCs w:val="26"/>
        </w:rPr>
        <w:t xml:space="preserve">issued payment agreements </w:t>
      </w:r>
      <w:r w:rsidR="00BF2850">
        <w:rPr>
          <w:sz w:val="26"/>
          <w:szCs w:val="26"/>
        </w:rPr>
        <w:t xml:space="preserve">that were </w:t>
      </w:r>
      <w:r>
        <w:rPr>
          <w:sz w:val="26"/>
          <w:szCs w:val="26"/>
        </w:rPr>
        <w:t xml:space="preserve">issued on June 3, 2010, February 2, 2011 and April 19, 2012.  </w:t>
      </w:r>
      <w:r>
        <w:rPr>
          <w:i/>
          <w:sz w:val="26"/>
          <w:szCs w:val="26"/>
        </w:rPr>
        <w:t xml:space="preserve">See </w:t>
      </w:r>
      <w:r>
        <w:rPr>
          <w:sz w:val="26"/>
          <w:szCs w:val="26"/>
        </w:rPr>
        <w:t>Finding of Fact Nos. 7-13 and PGW Exhibit No. 2.</w:t>
      </w:r>
    </w:p>
  </w:footnote>
  <w:footnote w:id="4">
    <w:p w:rsidR="00C17210" w:rsidRPr="00C17210" w:rsidRDefault="00C17210" w:rsidP="00D45AFC">
      <w:pPr>
        <w:pStyle w:val="FootnoteText"/>
        <w:keepNext/>
        <w:keepLines/>
        <w:widowControl/>
        <w:spacing w:after="120"/>
        <w:ind w:firstLine="720"/>
        <w:rPr>
          <w:sz w:val="26"/>
          <w:szCs w:val="26"/>
        </w:rPr>
      </w:pPr>
      <w:r w:rsidRPr="00C17210">
        <w:rPr>
          <w:rStyle w:val="FootnoteReference"/>
          <w:sz w:val="26"/>
          <w:szCs w:val="26"/>
        </w:rPr>
        <w:footnoteRef/>
      </w:r>
      <w:r>
        <w:rPr>
          <w:sz w:val="26"/>
          <w:szCs w:val="26"/>
        </w:rPr>
        <w:tab/>
      </w:r>
      <w:r w:rsidR="0044522E">
        <w:rPr>
          <w:sz w:val="26"/>
          <w:szCs w:val="26"/>
        </w:rPr>
        <w:t xml:space="preserve">Section 56.116 of our Regulations, </w:t>
      </w:r>
      <w:r>
        <w:rPr>
          <w:sz w:val="26"/>
          <w:szCs w:val="26"/>
        </w:rPr>
        <w:t>52 Pa. Code § 56.116</w:t>
      </w:r>
      <w:r w:rsidR="0044522E">
        <w:rPr>
          <w:sz w:val="26"/>
          <w:szCs w:val="26"/>
        </w:rPr>
        <w:t>, is entitled “</w:t>
      </w:r>
      <w:r>
        <w:rPr>
          <w:sz w:val="26"/>
          <w:szCs w:val="26"/>
        </w:rPr>
        <w:t>Duty of customer to pay bills</w:t>
      </w:r>
      <w:r w:rsidR="0044522E">
        <w:rPr>
          <w:sz w:val="26"/>
          <w:szCs w:val="26"/>
        </w:rPr>
        <w:t xml:space="preserve">” and requires </w:t>
      </w:r>
      <w:r>
        <w:rPr>
          <w:sz w:val="26"/>
          <w:szCs w:val="26"/>
        </w:rPr>
        <w:t>that “</w:t>
      </w:r>
      <w:r w:rsidR="0044522E">
        <w:rPr>
          <w:sz w:val="26"/>
          <w:szCs w:val="26"/>
        </w:rPr>
        <w:t>[w]</w:t>
      </w:r>
      <w:r>
        <w:rPr>
          <w:sz w:val="26"/>
          <w:szCs w:val="26"/>
        </w:rPr>
        <w:t>henever service is restored or termination postponed under the medical emergency procedures, the customer shall retain a duty to make payment on all current undisputed bills</w:t>
      </w:r>
      <w:r w:rsidR="0044522E">
        <w:rPr>
          <w:sz w:val="26"/>
          <w:szCs w:val="26"/>
        </w:rPr>
        <w:t xml:space="preserve"> . . . .</w:t>
      </w:r>
      <w:r>
        <w:rPr>
          <w:sz w:val="26"/>
          <w:szCs w:val="26"/>
        </w:rPr>
        <w:t>”</w:t>
      </w:r>
    </w:p>
  </w:footnote>
  <w:footnote w:id="5">
    <w:p w:rsidR="00C52DA9" w:rsidRPr="00C52DA9" w:rsidRDefault="00C52DA9" w:rsidP="00E60D22">
      <w:pPr>
        <w:pStyle w:val="FootnoteText"/>
        <w:keepNext/>
        <w:keepLines/>
        <w:widowControl/>
        <w:spacing w:after="120"/>
        <w:ind w:firstLine="720"/>
        <w:rPr>
          <w:sz w:val="26"/>
          <w:szCs w:val="26"/>
        </w:rPr>
      </w:pPr>
      <w:r w:rsidRPr="00C52DA9">
        <w:rPr>
          <w:rStyle w:val="FootnoteReference"/>
          <w:sz w:val="26"/>
          <w:szCs w:val="26"/>
        </w:rPr>
        <w:footnoteRef/>
      </w:r>
      <w:r>
        <w:rPr>
          <w:sz w:val="26"/>
          <w:szCs w:val="26"/>
        </w:rPr>
        <w:tab/>
        <w:t>The Complainant testified that he had a hot water leak</w:t>
      </w:r>
      <w:r w:rsidR="00D45AFC">
        <w:rPr>
          <w:sz w:val="26"/>
          <w:szCs w:val="26"/>
        </w:rPr>
        <w:t xml:space="preserve"> of which he was not aware that</w:t>
      </w:r>
      <w:r w:rsidR="00836CFA">
        <w:rPr>
          <w:sz w:val="26"/>
          <w:szCs w:val="26"/>
        </w:rPr>
        <w:t xml:space="preserve"> caused his water heater to run continuously.  The Complainant admitted that the high bills were not PGW’s fault.  Tr. at 9-10.</w:t>
      </w:r>
      <w:r w:rsidRPr="00C52DA9">
        <w:rPr>
          <w:sz w:val="26"/>
          <w:szCs w:val="26"/>
        </w:rPr>
        <w:t xml:space="preserve"> </w:t>
      </w:r>
    </w:p>
  </w:footnote>
  <w:footnote w:id="6">
    <w:p w:rsidR="00D45AFC" w:rsidRPr="00EB6B32" w:rsidRDefault="00D45AFC" w:rsidP="00E60D22">
      <w:pPr>
        <w:pStyle w:val="FootnoteText"/>
        <w:spacing w:after="120"/>
        <w:rPr>
          <w:sz w:val="26"/>
        </w:rPr>
      </w:pPr>
      <w:r w:rsidRPr="00EB6B32">
        <w:rPr>
          <w:sz w:val="26"/>
        </w:rPr>
        <w:tab/>
      </w:r>
      <w:r w:rsidRPr="00EB6B32">
        <w:rPr>
          <w:rStyle w:val="FootnoteReference"/>
          <w:sz w:val="26"/>
        </w:rPr>
        <w:footnoteRef/>
      </w:r>
      <w:r w:rsidRPr="00EB6B32">
        <w:rPr>
          <w:sz w:val="26"/>
        </w:rPr>
        <w:tab/>
        <w:t>See I.D.</w:t>
      </w:r>
      <w:r w:rsidR="00EB6B32" w:rsidRPr="00EB6B32">
        <w:rPr>
          <w:sz w:val="26"/>
        </w:rPr>
        <w:t xml:space="preserve"> at 10.</w:t>
      </w:r>
    </w:p>
  </w:footnote>
  <w:footnote w:id="7">
    <w:p w:rsidR="00FE4969" w:rsidRPr="00FE4969" w:rsidRDefault="00FE4969" w:rsidP="00E60D22">
      <w:pPr>
        <w:pStyle w:val="FootnoteText"/>
        <w:keepNext/>
        <w:keepLines/>
        <w:widowControl/>
        <w:spacing w:after="120"/>
        <w:ind w:firstLine="720"/>
        <w:rPr>
          <w:sz w:val="26"/>
          <w:szCs w:val="26"/>
        </w:rPr>
      </w:pPr>
      <w:r w:rsidRPr="00FE4969">
        <w:rPr>
          <w:rStyle w:val="FootnoteReference"/>
          <w:sz w:val="26"/>
          <w:szCs w:val="26"/>
        </w:rPr>
        <w:footnoteRef/>
      </w:r>
      <w:r>
        <w:rPr>
          <w:sz w:val="26"/>
          <w:szCs w:val="26"/>
        </w:rPr>
        <w:tab/>
      </w:r>
      <w:r w:rsidR="00475297">
        <w:rPr>
          <w:sz w:val="26"/>
          <w:szCs w:val="26"/>
        </w:rPr>
        <w:t>We note that current total household income is $6,321.66.  Finding of Fact No. 36, Tr. at 25.</w:t>
      </w:r>
    </w:p>
  </w:footnote>
  <w:footnote w:id="8">
    <w:p w:rsidR="007A5F8C" w:rsidRPr="005F30D5" w:rsidRDefault="007A5F8C" w:rsidP="00D45AFC">
      <w:pPr>
        <w:pStyle w:val="FootnoteText"/>
        <w:keepNext/>
        <w:keepLines/>
        <w:widowControl/>
        <w:spacing w:after="120"/>
        <w:ind w:firstLine="720"/>
        <w:rPr>
          <w:sz w:val="26"/>
          <w:szCs w:val="26"/>
        </w:rPr>
      </w:pPr>
      <w:r w:rsidRPr="005F30D5">
        <w:rPr>
          <w:rStyle w:val="FootnoteReference"/>
          <w:sz w:val="26"/>
          <w:szCs w:val="26"/>
        </w:rPr>
        <w:footnoteRef/>
      </w:r>
      <w:r>
        <w:rPr>
          <w:sz w:val="26"/>
          <w:szCs w:val="26"/>
        </w:rPr>
        <w:tab/>
      </w:r>
      <w:r w:rsidR="005F30D5">
        <w:rPr>
          <w:i/>
          <w:sz w:val="26"/>
          <w:szCs w:val="26"/>
        </w:rPr>
        <w:t>Crawford v. National Fuel Gas Distribution Corp.</w:t>
      </w:r>
      <w:r w:rsidR="005F30D5">
        <w:rPr>
          <w:sz w:val="26"/>
          <w:szCs w:val="26"/>
        </w:rPr>
        <w:t>, Docket No. C</w:t>
      </w:r>
      <w:r w:rsidR="00DA14AD">
        <w:rPr>
          <w:sz w:val="26"/>
          <w:szCs w:val="26"/>
        </w:rPr>
        <w:noBreakHyphen/>
      </w:r>
      <w:r w:rsidR="005F30D5">
        <w:rPr>
          <w:sz w:val="26"/>
          <w:szCs w:val="26"/>
        </w:rPr>
        <w:t>20066348 (Order entered December 6, 2007).</w:t>
      </w:r>
      <w:r w:rsidRPr="005F30D5">
        <w:rPr>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5E"/>
    <w:rsid w:val="00017251"/>
    <w:rsid w:val="000178E1"/>
    <w:rsid w:val="00024FEF"/>
    <w:rsid w:val="0003667A"/>
    <w:rsid w:val="00040B8A"/>
    <w:rsid w:val="00045AF0"/>
    <w:rsid w:val="00073E1B"/>
    <w:rsid w:val="00082D11"/>
    <w:rsid w:val="000A04D9"/>
    <w:rsid w:val="000B2D6F"/>
    <w:rsid w:val="000C72BD"/>
    <w:rsid w:val="001125BF"/>
    <w:rsid w:val="001138BE"/>
    <w:rsid w:val="001167A6"/>
    <w:rsid w:val="00127C2E"/>
    <w:rsid w:val="00186BD9"/>
    <w:rsid w:val="001927AD"/>
    <w:rsid w:val="00196582"/>
    <w:rsid w:val="001A4A31"/>
    <w:rsid w:val="001B1B16"/>
    <w:rsid w:val="001C20F7"/>
    <w:rsid w:val="001D02B7"/>
    <w:rsid w:val="001D22BF"/>
    <w:rsid w:val="001E649A"/>
    <w:rsid w:val="001E6500"/>
    <w:rsid w:val="001F09AF"/>
    <w:rsid w:val="001F11EC"/>
    <w:rsid w:val="00222530"/>
    <w:rsid w:val="00223557"/>
    <w:rsid w:val="002621A7"/>
    <w:rsid w:val="00267988"/>
    <w:rsid w:val="002764AC"/>
    <w:rsid w:val="002A0A07"/>
    <w:rsid w:val="002A3938"/>
    <w:rsid w:val="002A5664"/>
    <w:rsid w:val="002B5FDA"/>
    <w:rsid w:val="002D76C2"/>
    <w:rsid w:val="0031126B"/>
    <w:rsid w:val="00314E5E"/>
    <w:rsid w:val="00316D04"/>
    <w:rsid w:val="00330625"/>
    <w:rsid w:val="003358BF"/>
    <w:rsid w:val="003625A7"/>
    <w:rsid w:val="00367BB2"/>
    <w:rsid w:val="0037134D"/>
    <w:rsid w:val="003B34F4"/>
    <w:rsid w:val="003C6924"/>
    <w:rsid w:val="003F4616"/>
    <w:rsid w:val="00413650"/>
    <w:rsid w:val="004170C6"/>
    <w:rsid w:val="004333C6"/>
    <w:rsid w:val="0044522E"/>
    <w:rsid w:val="00470542"/>
    <w:rsid w:val="004723F0"/>
    <w:rsid w:val="00475297"/>
    <w:rsid w:val="004815EC"/>
    <w:rsid w:val="00494E10"/>
    <w:rsid w:val="004A6029"/>
    <w:rsid w:val="004D30E6"/>
    <w:rsid w:val="004D6FFB"/>
    <w:rsid w:val="004D767C"/>
    <w:rsid w:val="004E67A0"/>
    <w:rsid w:val="00504720"/>
    <w:rsid w:val="0054452C"/>
    <w:rsid w:val="00553560"/>
    <w:rsid w:val="005536F0"/>
    <w:rsid w:val="00573E06"/>
    <w:rsid w:val="005A65F1"/>
    <w:rsid w:val="005E30F0"/>
    <w:rsid w:val="005F30D5"/>
    <w:rsid w:val="00601F3F"/>
    <w:rsid w:val="00627E49"/>
    <w:rsid w:val="006510A1"/>
    <w:rsid w:val="00665441"/>
    <w:rsid w:val="00673B40"/>
    <w:rsid w:val="00695209"/>
    <w:rsid w:val="006B0414"/>
    <w:rsid w:val="006C735E"/>
    <w:rsid w:val="006C7825"/>
    <w:rsid w:val="006D1F71"/>
    <w:rsid w:val="006D5990"/>
    <w:rsid w:val="006E1FCC"/>
    <w:rsid w:val="006F085A"/>
    <w:rsid w:val="006F0DFA"/>
    <w:rsid w:val="0072553F"/>
    <w:rsid w:val="00727E9E"/>
    <w:rsid w:val="00727F12"/>
    <w:rsid w:val="00732C4F"/>
    <w:rsid w:val="0074547D"/>
    <w:rsid w:val="00752156"/>
    <w:rsid w:val="00753DFF"/>
    <w:rsid w:val="007679C3"/>
    <w:rsid w:val="007A462B"/>
    <w:rsid w:val="007A5A8D"/>
    <w:rsid w:val="007A5F8C"/>
    <w:rsid w:val="007B4529"/>
    <w:rsid w:val="007C5106"/>
    <w:rsid w:val="008105DD"/>
    <w:rsid w:val="008277C2"/>
    <w:rsid w:val="00836CFA"/>
    <w:rsid w:val="008432C8"/>
    <w:rsid w:val="00846C99"/>
    <w:rsid w:val="00871CFB"/>
    <w:rsid w:val="008947F6"/>
    <w:rsid w:val="008B3F81"/>
    <w:rsid w:val="008D5BC1"/>
    <w:rsid w:val="0091280D"/>
    <w:rsid w:val="0091438C"/>
    <w:rsid w:val="00917848"/>
    <w:rsid w:val="00966D12"/>
    <w:rsid w:val="00972AC2"/>
    <w:rsid w:val="009A66E0"/>
    <w:rsid w:val="009B2A7C"/>
    <w:rsid w:val="009E5CA2"/>
    <w:rsid w:val="009F3B7A"/>
    <w:rsid w:val="009F4668"/>
    <w:rsid w:val="009F4DD4"/>
    <w:rsid w:val="00A07CAD"/>
    <w:rsid w:val="00A1441E"/>
    <w:rsid w:val="00A339DF"/>
    <w:rsid w:val="00A531A7"/>
    <w:rsid w:val="00A67198"/>
    <w:rsid w:val="00A721C4"/>
    <w:rsid w:val="00A85FE0"/>
    <w:rsid w:val="00A909DD"/>
    <w:rsid w:val="00A937F5"/>
    <w:rsid w:val="00AA6AFD"/>
    <w:rsid w:val="00AB32DF"/>
    <w:rsid w:val="00AB73C2"/>
    <w:rsid w:val="00AC3655"/>
    <w:rsid w:val="00AC6101"/>
    <w:rsid w:val="00AE77CF"/>
    <w:rsid w:val="00AF1831"/>
    <w:rsid w:val="00AF45C7"/>
    <w:rsid w:val="00B00E17"/>
    <w:rsid w:val="00B07270"/>
    <w:rsid w:val="00B17A1A"/>
    <w:rsid w:val="00B22979"/>
    <w:rsid w:val="00B25E68"/>
    <w:rsid w:val="00B324A2"/>
    <w:rsid w:val="00B33F1F"/>
    <w:rsid w:val="00B47661"/>
    <w:rsid w:val="00B70EAE"/>
    <w:rsid w:val="00B73BE5"/>
    <w:rsid w:val="00B91293"/>
    <w:rsid w:val="00B977EF"/>
    <w:rsid w:val="00BA4894"/>
    <w:rsid w:val="00BC413C"/>
    <w:rsid w:val="00BC4493"/>
    <w:rsid w:val="00BC72E4"/>
    <w:rsid w:val="00BC7D28"/>
    <w:rsid w:val="00BE65C5"/>
    <w:rsid w:val="00BF2850"/>
    <w:rsid w:val="00C110F6"/>
    <w:rsid w:val="00C17210"/>
    <w:rsid w:val="00C36D13"/>
    <w:rsid w:val="00C41AB9"/>
    <w:rsid w:val="00C4290A"/>
    <w:rsid w:val="00C47B5E"/>
    <w:rsid w:val="00C52DA9"/>
    <w:rsid w:val="00C57CB4"/>
    <w:rsid w:val="00C9421A"/>
    <w:rsid w:val="00CB3B83"/>
    <w:rsid w:val="00D45AFC"/>
    <w:rsid w:val="00D45D36"/>
    <w:rsid w:val="00D90BFD"/>
    <w:rsid w:val="00DA077E"/>
    <w:rsid w:val="00DA14AD"/>
    <w:rsid w:val="00DA64A6"/>
    <w:rsid w:val="00DB0635"/>
    <w:rsid w:val="00DB5B3A"/>
    <w:rsid w:val="00DE3EFF"/>
    <w:rsid w:val="00E376C9"/>
    <w:rsid w:val="00E37DBA"/>
    <w:rsid w:val="00E44DC8"/>
    <w:rsid w:val="00E47725"/>
    <w:rsid w:val="00E538AE"/>
    <w:rsid w:val="00E5638B"/>
    <w:rsid w:val="00E60D22"/>
    <w:rsid w:val="00E80A6D"/>
    <w:rsid w:val="00E978C8"/>
    <w:rsid w:val="00E97FB4"/>
    <w:rsid w:val="00EA5E04"/>
    <w:rsid w:val="00EB6B32"/>
    <w:rsid w:val="00EB71EB"/>
    <w:rsid w:val="00F01567"/>
    <w:rsid w:val="00F06306"/>
    <w:rsid w:val="00F16EA6"/>
    <w:rsid w:val="00F177FB"/>
    <w:rsid w:val="00F27700"/>
    <w:rsid w:val="00F33F70"/>
    <w:rsid w:val="00F3439F"/>
    <w:rsid w:val="00F371B0"/>
    <w:rsid w:val="00F604DF"/>
    <w:rsid w:val="00F624ED"/>
    <w:rsid w:val="00F8582A"/>
    <w:rsid w:val="00F95754"/>
    <w:rsid w:val="00FA00EE"/>
    <w:rsid w:val="00FC4059"/>
    <w:rsid w:val="00FC4617"/>
    <w:rsid w:val="00FC787C"/>
    <w:rsid w:val="00FD7B5A"/>
    <w:rsid w:val="00FE4969"/>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5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314E5E"/>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14E5E"/>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14E5E"/>
    <w:rPr>
      <w:rFonts w:ascii="Times New Roman" w:eastAsia="Times New Roman" w:hAnsi="Times New Roman" w:cs="Times New Roman"/>
      <w:sz w:val="20"/>
      <w:szCs w:val="20"/>
    </w:rPr>
  </w:style>
  <w:style w:type="character" w:styleId="Hyperlink">
    <w:name w:val="Hyperlink"/>
    <w:basedOn w:val="DefaultParagraphFont"/>
    <w:rsid w:val="00D45D36"/>
    <w:rPr>
      <w:color w:val="0000FF"/>
      <w:u w:val="single"/>
    </w:rPr>
  </w:style>
  <w:style w:type="character" w:customStyle="1" w:styleId="term1">
    <w:name w:val="term1"/>
    <w:basedOn w:val="DefaultParagraphFont"/>
    <w:rsid w:val="00D45D36"/>
    <w:rPr>
      <w:b/>
      <w:bCs/>
    </w:rPr>
  </w:style>
  <w:style w:type="character" w:styleId="Emphasis">
    <w:name w:val="Emphasis"/>
    <w:basedOn w:val="DefaultParagraphFont"/>
    <w:qFormat/>
    <w:rsid w:val="00D45D36"/>
    <w:rPr>
      <w:i/>
      <w:iCs/>
    </w:rPr>
  </w:style>
  <w:style w:type="paragraph" w:styleId="BodyText">
    <w:name w:val="Body Text"/>
    <w:basedOn w:val="Normal"/>
    <w:link w:val="BodyTextChar"/>
    <w:rsid w:val="004D6FFB"/>
    <w:pPr>
      <w:widowControl/>
      <w:spacing w:line="360" w:lineRule="auto"/>
    </w:pPr>
    <w:rPr>
      <w:sz w:val="26"/>
    </w:rPr>
  </w:style>
  <w:style w:type="character" w:customStyle="1" w:styleId="BodyTextChar">
    <w:name w:val="Body Text Char"/>
    <w:basedOn w:val="DefaultParagraphFont"/>
    <w:link w:val="BodyText"/>
    <w:rsid w:val="004D6FFB"/>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BE65C5"/>
    <w:pPr>
      <w:tabs>
        <w:tab w:val="center" w:pos="4680"/>
        <w:tab w:val="right" w:pos="9360"/>
      </w:tabs>
    </w:pPr>
  </w:style>
  <w:style w:type="character" w:customStyle="1" w:styleId="HeaderChar">
    <w:name w:val="Header Char"/>
    <w:basedOn w:val="DefaultParagraphFont"/>
    <w:link w:val="Header"/>
    <w:uiPriority w:val="99"/>
    <w:rsid w:val="00BE65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65C5"/>
    <w:pPr>
      <w:tabs>
        <w:tab w:val="center" w:pos="4680"/>
        <w:tab w:val="right" w:pos="9360"/>
      </w:tabs>
    </w:pPr>
  </w:style>
  <w:style w:type="character" w:customStyle="1" w:styleId="FooterChar">
    <w:name w:val="Footer Char"/>
    <w:basedOn w:val="DefaultParagraphFont"/>
    <w:link w:val="Footer"/>
    <w:uiPriority w:val="99"/>
    <w:rsid w:val="00BE65C5"/>
    <w:rPr>
      <w:rFonts w:ascii="Times New Roman" w:eastAsia="Times New Roman" w:hAnsi="Times New Roman" w:cs="Times New Roman"/>
      <w:sz w:val="20"/>
      <w:szCs w:val="20"/>
    </w:rPr>
  </w:style>
  <w:style w:type="paragraph" w:styleId="ListParagraph">
    <w:name w:val="List Paragraph"/>
    <w:basedOn w:val="Normal"/>
    <w:uiPriority w:val="34"/>
    <w:qFormat/>
    <w:rsid w:val="00FD7B5A"/>
    <w:pPr>
      <w:ind w:left="720"/>
      <w:contextualSpacing/>
    </w:pPr>
  </w:style>
  <w:style w:type="character" w:styleId="CommentReference">
    <w:name w:val="annotation reference"/>
    <w:basedOn w:val="DefaultParagraphFont"/>
    <w:uiPriority w:val="99"/>
    <w:semiHidden/>
    <w:unhideWhenUsed/>
    <w:rsid w:val="001125BF"/>
    <w:rPr>
      <w:sz w:val="16"/>
      <w:szCs w:val="16"/>
    </w:rPr>
  </w:style>
  <w:style w:type="paragraph" w:styleId="CommentText">
    <w:name w:val="annotation text"/>
    <w:basedOn w:val="Normal"/>
    <w:link w:val="CommentTextChar"/>
    <w:uiPriority w:val="99"/>
    <w:semiHidden/>
    <w:unhideWhenUsed/>
    <w:rsid w:val="001125BF"/>
  </w:style>
  <w:style w:type="character" w:customStyle="1" w:styleId="CommentTextChar">
    <w:name w:val="Comment Text Char"/>
    <w:basedOn w:val="DefaultParagraphFont"/>
    <w:link w:val="CommentText"/>
    <w:uiPriority w:val="99"/>
    <w:semiHidden/>
    <w:rsid w:val="001125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5BF"/>
    <w:rPr>
      <w:b/>
      <w:bCs/>
    </w:rPr>
  </w:style>
  <w:style w:type="character" w:customStyle="1" w:styleId="CommentSubjectChar">
    <w:name w:val="Comment Subject Char"/>
    <w:basedOn w:val="CommentTextChar"/>
    <w:link w:val="CommentSubject"/>
    <w:uiPriority w:val="99"/>
    <w:semiHidden/>
    <w:rsid w:val="001125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5BF"/>
    <w:rPr>
      <w:rFonts w:ascii="Tahoma" w:hAnsi="Tahoma" w:cs="Tahoma"/>
      <w:sz w:val="16"/>
      <w:szCs w:val="16"/>
    </w:rPr>
  </w:style>
  <w:style w:type="character" w:customStyle="1" w:styleId="BalloonTextChar">
    <w:name w:val="Balloon Text Char"/>
    <w:basedOn w:val="DefaultParagraphFont"/>
    <w:link w:val="BalloonText"/>
    <w:uiPriority w:val="99"/>
    <w:semiHidden/>
    <w:rsid w:val="00112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07225-9D0A-4B70-881B-072CC468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5</cp:revision>
  <cp:lastPrinted>2016-10-27T11:41:00Z</cp:lastPrinted>
  <dcterms:created xsi:type="dcterms:W3CDTF">2016-10-14T21:11:00Z</dcterms:created>
  <dcterms:modified xsi:type="dcterms:W3CDTF">2016-10-27T11:41:00Z</dcterms:modified>
</cp:coreProperties>
</file>