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800"/>
        <w:gridCol w:w="8075"/>
        <w:gridCol w:w="1452"/>
      </w:tblGrid>
      <w:tr w:rsidR="00C35FB8" w:rsidTr="00337347">
        <w:trPr>
          <w:trHeight w:val="1170"/>
        </w:trPr>
        <w:tc>
          <w:tcPr>
            <w:tcW w:w="1800" w:type="dxa"/>
          </w:tcPr>
          <w:p w:rsidR="00C35FB8" w:rsidRDefault="00C35FB8" w:rsidP="0033734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1C8E305" wp14:editId="62B9E33F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35FB8" w:rsidRDefault="00C35FB8" w:rsidP="0033734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35FB8" w:rsidRDefault="00C35FB8" w:rsidP="0033734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35FB8" w:rsidRDefault="00C35FB8" w:rsidP="0033734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35FB8" w:rsidRDefault="00C35FB8" w:rsidP="0033734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35FB8" w:rsidRDefault="00C35FB8" w:rsidP="00337347">
            <w:pPr>
              <w:jc w:val="center"/>
              <w:rPr>
                <w:rFonts w:ascii="Arial" w:hAnsi="Arial"/>
                <w:sz w:val="12"/>
              </w:rPr>
            </w:pPr>
          </w:p>
          <w:p w:rsidR="00C35FB8" w:rsidRDefault="00C35FB8" w:rsidP="00337347">
            <w:pPr>
              <w:jc w:val="center"/>
              <w:rPr>
                <w:rFonts w:ascii="Arial" w:hAnsi="Arial"/>
                <w:sz w:val="12"/>
              </w:rPr>
            </w:pPr>
          </w:p>
          <w:p w:rsidR="00C35FB8" w:rsidRDefault="00C35FB8" w:rsidP="00337347">
            <w:pPr>
              <w:jc w:val="center"/>
              <w:rPr>
                <w:rFonts w:ascii="Arial" w:hAnsi="Arial"/>
                <w:sz w:val="12"/>
              </w:rPr>
            </w:pPr>
          </w:p>
          <w:p w:rsidR="00C35FB8" w:rsidRDefault="00C35FB8" w:rsidP="00337347">
            <w:pPr>
              <w:jc w:val="center"/>
              <w:rPr>
                <w:rFonts w:ascii="Arial" w:hAnsi="Arial"/>
                <w:sz w:val="12"/>
              </w:rPr>
            </w:pPr>
          </w:p>
          <w:p w:rsidR="00C35FB8" w:rsidRDefault="00C35FB8" w:rsidP="00337347">
            <w:pPr>
              <w:jc w:val="center"/>
              <w:rPr>
                <w:rFonts w:ascii="Arial" w:hAnsi="Arial"/>
                <w:sz w:val="12"/>
              </w:rPr>
            </w:pPr>
          </w:p>
          <w:p w:rsidR="00C35FB8" w:rsidRDefault="00C35FB8" w:rsidP="00337347">
            <w:pPr>
              <w:jc w:val="center"/>
              <w:rPr>
                <w:rFonts w:ascii="Arial" w:hAnsi="Arial"/>
                <w:sz w:val="12"/>
              </w:rPr>
            </w:pPr>
          </w:p>
          <w:p w:rsidR="00C35FB8" w:rsidRDefault="00C35FB8" w:rsidP="0033734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635B49" w:rsidRDefault="003D40BB" w:rsidP="00AD65F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1, 2016</w:t>
      </w:r>
    </w:p>
    <w:p w:rsidR="00795A49" w:rsidRDefault="00603494" w:rsidP="00795A4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</w:t>
      </w:r>
      <w:r w:rsidR="00B80A9F">
        <w:rPr>
          <w:rFonts w:ascii="Arial" w:hAnsi="Arial"/>
          <w:sz w:val="24"/>
        </w:rPr>
        <w:t>00117194</w:t>
      </w:r>
    </w:p>
    <w:p w:rsidR="00603494" w:rsidRDefault="00603494" w:rsidP="00795A49">
      <w:pPr>
        <w:jc w:val="right"/>
        <w:rPr>
          <w:rFonts w:ascii="Arial" w:hAnsi="Arial"/>
          <w:sz w:val="24"/>
        </w:rPr>
      </w:pPr>
    </w:p>
    <w:p w:rsidR="00AD65F2" w:rsidRDefault="00AD65F2" w:rsidP="00AD65F2">
      <w:pPr>
        <w:rPr>
          <w:rFonts w:ascii="Arial" w:hAnsi="Arial"/>
          <w:sz w:val="24"/>
        </w:rPr>
      </w:pPr>
    </w:p>
    <w:p w:rsidR="00603494" w:rsidRDefault="00B80A9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JEFFREY NARKIS</w:t>
      </w:r>
    </w:p>
    <w:p w:rsidR="00B80A9F" w:rsidRDefault="00B80A9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RECYCLING TECHNOLOGIES INTERNATIONAL</w:t>
      </w:r>
    </w:p>
    <w:p w:rsidR="00B80A9F" w:rsidRDefault="00B80A9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76 ACCO DRIVE</w:t>
      </w:r>
    </w:p>
    <w:p w:rsidR="00B80A9F" w:rsidRDefault="00B80A9F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YORK, PA  17402</w:t>
      </w:r>
    </w:p>
    <w:p w:rsidR="00AD65F2" w:rsidRDefault="00AD65F2" w:rsidP="00AD65F2">
      <w:pPr>
        <w:rPr>
          <w:rFonts w:ascii="Arial" w:hAnsi="Arial"/>
          <w:sz w:val="24"/>
        </w:rPr>
      </w:pPr>
    </w:p>
    <w:p w:rsidR="00AD65F2" w:rsidRDefault="00AD65F2" w:rsidP="00AD65F2">
      <w:pPr>
        <w:rPr>
          <w:rFonts w:ascii="Arial" w:hAnsi="Arial"/>
          <w:sz w:val="24"/>
        </w:rPr>
      </w:pPr>
    </w:p>
    <w:p w:rsidR="00603494" w:rsidRDefault="00603494" w:rsidP="00AD65F2">
      <w:pPr>
        <w:rPr>
          <w:rFonts w:ascii="Arial" w:hAnsi="Arial"/>
          <w:sz w:val="24"/>
        </w:rPr>
      </w:pPr>
    </w:p>
    <w:p w:rsidR="00635B49" w:rsidRPr="007700C1" w:rsidRDefault="00C37854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Mr. </w:t>
      </w:r>
      <w:proofErr w:type="spellStart"/>
      <w:r>
        <w:rPr>
          <w:rFonts w:ascii="Arial" w:hAnsi="Arial"/>
          <w:sz w:val="22"/>
          <w:szCs w:val="22"/>
        </w:rPr>
        <w:t>Narkis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B80A9F">
        <w:rPr>
          <w:rFonts w:ascii="Arial" w:hAnsi="Arial" w:cs="Arial"/>
          <w:sz w:val="22"/>
          <w:szCs w:val="22"/>
        </w:rPr>
        <w:t>n Ma</w:t>
      </w:r>
      <w:r w:rsidR="00C37854">
        <w:rPr>
          <w:rFonts w:ascii="Arial" w:hAnsi="Arial" w:cs="Arial"/>
          <w:sz w:val="22"/>
          <w:szCs w:val="22"/>
        </w:rPr>
        <w:t>rch</w:t>
      </w:r>
      <w:r w:rsidR="00B80A9F">
        <w:rPr>
          <w:rFonts w:ascii="Arial" w:hAnsi="Arial" w:cs="Arial"/>
          <w:sz w:val="22"/>
          <w:szCs w:val="22"/>
        </w:rPr>
        <w:t xml:space="preserve"> </w:t>
      </w:r>
      <w:r w:rsidR="00C37854">
        <w:rPr>
          <w:rFonts w:ascii="Arial" w:hAnsi="Arial" w:cs="Arial"/>
          <w:sz w:val="22"/>
          <w:szCs w:val="22"/>
        </w:rPr>
        <w:t>30</w:t>
      </w:r>
      <w:r w:rsidR="00603494">
        <w:rPr>
          <w:rFonts w:ascii="Arial" w:hAnsi="Arial" w:cs="Arial"/>
          <w:sz w:val="22"/>
          <w:szCs w:val="22"/>
        </w:rPr>
        <w:t>, 201</w:t>
      </w:r>
      <w:r w:rsidR="00C37854">
        <w:rPr>
          <w:rFonts w:ascii="Arial" w:hAnsi="Arial" w:cs="Arial"/>
          <w:sz w:val="22"/>
          <w:szCs w:val="22"/>
        </w:rPr>
        <w:t>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F955AE">
        <w:rPr>
          <w:rFonts w:ascii="Arial" w:hAnsi="Arial" w:cs="Arial"/>
          <w:sz w:val="22"/>
          <w:szCs w:val="22"/>
        </w:rPr>
        <w:t xml:space="preserve">Name </w:t>
      </w:r>
      <w:r w:rsidR="00AD65F2">
        <w:rPr>
          <w:rFonts w:ascii="Arial" w:hAnsi="Arial" w:cs="Arial"/>
          <w:sz w:val="22"/>
          <w:szCs w:val="22"/>
        </w:rPr>
        <w:t xml:space="preserve">Change request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B80A9F">
        <w:rPr>
          <w:rFonts w:ascii="Arial" w:hAnsi="Arial" w:cs="Arial"/>
          <w:sz w:val="22"/>
          <w:szCs w:val="22"/>
        </w:rPr>
        <w:t xml:space="preserve">Recycling Technologies International </w:t>
      </w:r>
      <w:r w:rsidR="00AD65F2">
        <w:rPr>
          <w:rFonts w:ascii="Arial" w:hAnsi="Arial" w:cs="Arial"/>
          <w:sz w:val="22"/>
          <w:szCs w:val="22"/>
        </w:rPr>
        <w:t xml:space="preserve">via your Assessment Form. In order to process your request we must have the </w:t>
      </w:r>
      <w:r w:rsidR="00842858">
        <w:rPr>
          <w:rFonts w:ascii="Arial" w:hAnsi="Arial" w:cs="Arial"/>
          <w:sz w:val="22"/>
          <w:szCs w:val="22"/>
        </w:rPr>
        <w:t>required information. Enclosed are the instructions for filing a Name/Entity change. Please submit the requested information to the above listed address and address to the attention of Secretary Chiavetta.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</w:t>
      </w:r>
      <w:r w:rsidR="00AD65F2">
        <w:rPr>
          <w:rFonts w:ascii="Arial" w:hAnsi="Arial" w:cs="Arial"/>
          <w:sz w:val="22"/>
          <w:szCs w:val="22"/>
        </w:rPr>
        <w:t>submit</w:t>
      </w:r>
      <w:r w:rsidR="00D56676">
        <w:rPr>
          <w:rFonts w:ascii="Arial" w:hAnsi="Arial" w:cs="Arial"/>
          <w:sz w:val="22"/>
          <w:szCs w:val="22"/>
        </w:rPr>
        <w:t xml:space="preserve">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</w:t>
      </w:r>
      <w:r w:rsidR="00842858">
        <w:rPr>
          <w:rFonts w:ascii="Arial" w:hAnsi="Arial" w:cs="Arial"/>
          <w:sz w:val="22"/>
          <w:szCs w:val="22"/>
        </w:rPr>
        <w:t>your request</w:t>
      </w:r>
      <w:r w:rsidRPr="007700C1">
        <w:rPr>
          <w:rFonts w:ascii="Arial" w:hAnsi="Arial" w:cs="Arial"/>
          <w:sz w:val="22"/>
          <w:szCs w:val="22"/>
        </w:rPr>
        <w:t xml:space="preserve"> being returned unfiled.</w:t>
      </w:r>
      <w:proofErr w:type="gramEnd"/>
      <w:r w:rsidR="00C37854">
        <w:rPr>
          <w:rFonts w:ascii="Arial" w:hAnsi="Arial" w:cs="Arial"/>
          <w:sz w:val="22"/>
          <w:szCs w:val="22"/>
        </w:rPr>
        <w:t xml:space="preserve">  Furthermore, a Complaint may be filed against you for failure to comply with the Commission’s regulations.  The Complaint could result in a $1,000 fine and revocation of your Certificate of Public Convenience.</w:t>
      </w:r>
      <w:r w:rsidRPr="007700C1">
        <w:rPr>
          <w:rFonts w:ascii="Arial" w:hAnsi="Arial" w:cs="Arial"/>
          <w:sz w:val="22"/>
          <w:szCs w:val="22"/>
        </w:rPr>
        <w:tab/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3D40BB" w:rsidP="00635B49">
      <w:pPr>
        <w:rPr>
          <w:rFonts w:ascii="Arial" w:hAnsi="Arial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6FE8047" wp14:editId="4C8C04F0">
            <wp:simplePos x="0" y="0"/>
            <wp:positionH relativeFrom="column">
              <wp:posOffset>3150235</wp:posOffset>
            </wp:positionH>
            <wp:positionV relativeFrom="paragraph">
              <wp:posOffset>165735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</w:p>
    <w:p w:rsidR="00C37854" w:rsidRDefault="00C37854" w:rsidP="00635B49">
      <w:pPr>
        <w:rPr>
          <w:rFonts w:ascii="Arial" w:hAnsi="Arial"/>
          <w:sz w:val="24"/>
        </w:rPr>
      </w:pPr>
    </w:p>
    <w:p w:rsidR="00C37854" w:rsidRDefault="00C37854" w:rsidP="00635B49">
      <w:pPr>
        <w:rPr>
          <w:rFonts w:ascii="Arial" w:hAnsi="Arial"/>
          <w:sz w:val="24"/>
        </w:rPr>
      </w:pPr>
    </w:p>
    <w:p w:rsidR="00C37854" w:rsidRDefault="00C37854" w:rsidP="00635B49">
      <w:pPr>
        <w:rPr>
          <w:rFonts w:ascii="Arial" w:hAnsi="Arial"/>
          <w:sz w:val="24"/>
        </w:rPr>
      </w:pPr>
    </w:p>
    <w:p w:rsidR="00C37854" w:rsidRDefault="00C37854" w:rsidP="00635B49">
      <w:pPr>
        <w:rPr>
          <w:rFonts w:ascii="Arial" w:hAnsi="Arial"/>
          <w:sz w:val="24"/>
        </w:rPr>
      </w:pPr>
    </w:p>
    <w:p w:rsidR="00C37854" w:rsidRDefault="00C37854" w:rsidP="00635B49">
      <w:pPr>
        <w:rPr>
          <w:rFonts w:ascii="Arial" w:hAnsi="Arial"/>
          <w:sz w:val="24"/>
        </w:rPr>
      </w:pPr>
    </w:p>
    <w:p w:rsidR="00C35FB8" w:rsidRDefault="00C35FB8" w:rsidP="00635B49">
      <w:pPr>
        <w:rPr>
          <w:rFonts w:ascii="Arial" w:hAnsi="Arial"/>
          <w:sz w:val="24"/>
        </w:rPr>
      </w:pPr>
    </w:p>
    <w:p w:rsidR="00C35FB8" w:rsidRDefault="00C35FB8" w:rsidP="00635B49">
      <w:pPr>
        <w:rPr>
          <w:rFonts w:ascii="Arial" w:hAnsi="Arial"/>
          <w:sz w:val="24"/>
        </w:rPr>
      </w:pPr>
    </w:p>
    <w:p w:rsidR="00C35FB8" w:rsidRDefault="00C35FB8" w:rsidP="00635B49">
      <w:pPr>
        <w:rPr>
          <w:rFonts w:ascii="Arial" w:hAnsi="Arial"/>
          <w:sz w:val="24"/>
        </w:rPr>
      </w:pPr>
    </w:p>
    <w:p w:rsidR="00C35FB8" w:rsidRDefault="00C35FB8" w:rsidP="00635B49">
      <w:pPr>
        <w:rPr>
          <w:rFonts w:ascii="Arial" w:hAnsi="Arial"/>
          <w:sz w:val="24"/>
        </w:rPr>
      </w:pPr>
    </w:p>
    <w:p w:rsidR="00C37854" w:rsidRDefault="00C37854" w:rsidP="00635B49">
      <w:pPr>
        <w:rPr>
          <w:rFonts w:ascii="Arial" w:hAnsi="Arial"/>
          <w:sz w:val="24"/>
        </w:rPr>
      </w:pPr>
    </w:p>
    <w:p w:rsidR="00C35FB8" w:rsidRDefault="00C35FB8" w:rsidP="00C35FB8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lastRenderedPageBreak/>
        <w:t>BUREAU OF TECHNICAL UTILITY SERVICES 2/16/12</w:t>
      </w:r>
    </w:p>
    <w:p w:rsidR="00C35FB8" w:rsidRP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sz w:val="16"/>
          <w:szCs w:val="16"/>
        </w:rPr>
      </w:pPr>
    </w:p>
    <w:p w:rsidR="00C35FB8" w:rsidRDefault="00C35FB8" w:rsidP="00C35FB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INSTRUCTIONS FOR CARRIER’S CHANGES IN NAME OR ENTITY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The regulations regarding the change in a carrier’s name, entity, and/or fictitious name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can</w:t>
      </w:r>
      <w:proofErr w:type="gramEnd"/>
      <w:r>
        <w:rPr>
          <w:rFonts w:eastAsiaTheme="minorHAnsi"/>
          <w:sz w:val="24"/>
          <w:szCs w:val="24"/>
        </w:rPr>
        <w:t xml:space="preserve"> be found at </w:t>
      </w:r>
      <w:r>
        <w:rPr>
          <w:rFonts w:eastAsiaTheme="minorHAnsi"/>
          <w:b/>
          <w:bCs/>
          <w:sz w:val="24"/>
          <w:szCs w:val="24"/>
        </w:rPr>
        <w:t>52 Pa. Code 3.381</w:t>
      </w:r>
      <w:r>
        <w:rPr>
          <w:rFonts w:eastAsiaTheme="minorHAnsi"/>
          <w:sz w:val="24"/>
          <w:szCs w:val="24"/>
        </w:rPr>
        <w:t>. These instructions have been prepared in order to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summarize</w:t>
      </w:r>
      <w:proofErr w:type="gramEnd"/>
      <w:r>
        <w:rPr>
          <w:rFonts w:eastAsiaTheme="minorHAnsi"/>
          <w:sz w:val="24"/>
          <w:szCs w:val="24"/>
        </w:rPr>
        <w:t xml:space="preserve"> the requirements.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ADDITION OR CHANGE OF FICTITIOUS NAME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 fictitious name is an assumed or fictitious name, style or designation other than the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proper</w:t>
      </w:r>
      <w:proofErr w:type="gramEnd"/>
      <w:r>
        <w:rPr>
          <w:rFonts w:eastAsiaTheme="minorHAnsi"/>
          <w:sz w:val="24"/>
          <w:szCs w:val="24"/>
        </w:rPr>
        <w:t xml:space="preserve"> name of the entity using the name. If a carrier desires to utilize a fictitious name or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change</w:t>
      </w:r>
      <w:proofErr w:type="gramEnd"/>
      <w:r>
        <w:rPr>
          <w:rFonts w:eastAsiaTheme="minorHAnsi"/>
          <w:sz w:val="24"/>
          <w:szCs w:val="24"/>
        </w:rPr>
        <w:t xml:space="preserve"> the fictitious name recognized by the Commission, the requirements are as follows: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 A letter notifying the Secretary of the Commission of the change or addition, identifying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the</w:t>
      </w:r>
      <w:proofErr w:type="gramEnd"/>
      <w:r>
        <w:rPr>
          <w:rFonts w:eastAsiaTheme="minorHAnsi"/>
          <w:sz w:val="24"/>
          <w:szCs w:val="24"/>
        </w:rPr>
        <w:t xml:space="preserve"> name and docket number of the motor carrier.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 The letter must be accompanied by a copy of the fictitious name registration form filed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with</w:t>
      </w:r>
      <w:proofErr w:type="gramEnd"/>
      <w:r>
        <w:rPr>
          <w:rFonts w:eastAsiaTheme="minorHAnsi"/>
          <w:sz w:val="24"/>
          <w:szCs w:val="24"/>
        </w:rPr>
        <w:t xml:space="preserve"> the Department of State.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 The letter must also be accompanied by a signed and dated Verified Statement which can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be</w:t>
      </w:r>
      <w:proofErr w:type="gramEnd"/>
      <w:r>
        <w:rPr>
          <w:rFonts w:eastAsiaTheme="minorHAnsi"/>
          <w:sz w:val="24"/>
          <w:szCs w:val="24"/>
        </w:rPr>
        <w:t xml:space="preserve"> found at the end of the instructions.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4. The letter and accompanying documents should be sent to </w:t>
      </w:r>
      <w:r>
        <w:rPr>
          <w:rFonts w:eastAsiaTheme="minorHAnsi"/>
          <w:b/>
          <w:bCs/>
          <w:sz w:val="24"/>
          <w:szCs w:val="24"/>
        </w:rPr>
        <w:t>SECRETARY, PA PUBLIC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UTILITY COMMISSION, PO BOX 3265, HARRISBURG, PA 17105-3265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Upon notification, the Commission will send a letter approving the change upon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compliance</w:t>
      </w:r>
      <w:proofErr w:type="gramEnd"/>
      <w:r>
        <w:rPr>
          <w:rFonts w:eastAsiaTheme="minorHAnsi"/>
          <w:sz w:val="24"/>
          <w:szCs w:val="24"/>
        </w:rPr>
        <w:t xml:space="preserve"> with new insurance and tariff filings upon which the change of name has been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effected</w:t>
      </w:r>
      <w:proofErr w:type="gramEnd"/>
      <w:r>
        <w:rPr>
          <w:rFonts w:eastAsiaTheme="minorHAnsi"/>
          <w:sz w:val="24"/>
          <w:szCs w:val="24"/>
        </w:rPr>
        <w:t>. When the carrier has complied the Commission will issue a letter of approval which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will</w:t>
      </w:r>
      <w:proofErr w:type="gramEnd"/>
      <w:r>
        <w:rPr>
          <w:rFonts w:eastAsiaTheme="minorHAnsi"/>
          <w:sz w:val="24"/>
          <w:szCs w:val="24"/>
        </w:rPr>
        <w:t xml:space="preserve"> advise the carrier that if a new Certificate of Public Convenience is desired, the old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Certificate will have to be returned to the Secretary of the Commission once the change has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become</w:t>
      </w:r>
      <w:proofErr w:type="gramEnd"/>
      <w:r>
        <w:rPr>
          <w:rFonts w:eastAsiaTheme="minorHAnsi"/>
          <w:sz w:val="24"/>
          <w:szCs w:val="24"/>
        </w:rPr>
        <w:t xml:space="preserve"> official.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CHANGE OF MOTOR CARRIER’S ENTITY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4"/>
          <w:szCs w:val="24"/>
        </w:rPr>
      </w:pPr>
      <w:r>
        <w:rPr>
          <w:rFonts w:eastAsiaTheme="minorHAnsi"/>
          <w:b/>
          <w:bCs/>
          <w:i/>
          <w:iCs/>
          <w:sz w:val="24"/>
          <w:szCs w:val="24"/>
        </w:rPr>
        <w:t>NOTE: A change in the entity of a motor carrier, which is accompanied by a change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4"/>
          <w:szCs w:val="24"/>
        </w:rPr>
      </w:pPr>
      <w:proofErr w:type="gramStart"/>
      <w:r>
        <w:rPr>
          <w:rFonts w:eastAsiaTheme="minorHAnsi"/>
          <w:b/>
          <w:bCs/>
          <w:i/>
          <w:iCs/>
          <w:sz w:val="24"/>
          <w:szCs w:val="24"/>
        </w:rPr>
        <w:t>in</w:t>
      </w:r>
      <w:proofErr w:type="gramEnd"/>
      <w:r>
        <w:rPr>
          <w:rFonts w:eastAsiaTheme="minorHAnsi"/>
          <w:b/>
          <w:bCs/>
          <w:i/>
          <w:iCs/>
          <w:sz w:val="24"/>
          <w:szCs w:val="24"/>
        </w:rPr>
        <w:t xml:space="preserve"> the ownership or control of the business—for example, through a transfer, merger or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b/>
          <w:bCs/>
          <w:i/>
          <w:iCs/>
          <w:sz w:val="24"/>
          <w:szCs w:val="24"/>
        </w:rPr>
        <w:t>addition/deletion</w:t>
      </w:r>
      <w:proofErr w:type="gramEnd"/>
      <w:r>
        <w:rPr>
          <w:rFonts w:eastAsiaTheme="minorHAnsi"/>
          <w:b/>
          <w:bCs/>
          <w:i/>
          <w:iCs/>
          <w:sz w:val="24"/>
          <w:szCs w:val="24"/>
        </w:rPr>
        <w:t xml:space="preserve"> of a partner—requires the filing of an application new authority. </w:t>
      </w:r>
      <w:r>
        <w:rPr>
          <w:rFonts w:eastAsiaTheme="minorHAnsi"/>
          <w:sz w:val="24"/>
          <w:szCs w:val="24"/>
        </w:rPr>
        <w:t>If the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Commission approves the application, a new certificate or permit will be issued under a new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docket</w:t>
      </w:r>
      <w:proofErr w:type="gramEnd"/>
      <w:r>
        <w:rPr>
          <w:rFonts w:eastAsiaTheme="minorHAnsi"/>
          <w:sz w:val="24"/>
          <w:szCs w:val="24"/>
        </w:rPr>
        <w:t xml:space="preserve"> number, upon receipt of insurance and tariff filings reflecting the change in the entity of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the</w:t>
      </w:r>
      <w:proofErr w:type="gramEnd"/>
      <w:r>
        <w:rPr>
          <w:rFonts w:eastAsiaTheme="minorHAnsi"/>
          <w:sz w:val="24"/>
          <w:szCs w:val="24"/>
        </w:rPr>
        <w:t xml:space="preserve"> motor carrier.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 change in the entity of a motor carrier, </w:t>
      </w:r>
      <w:r>
        <w:rPr>
          <w:rFonts w:eastAsiaTheme="minorHAnsi"/>
          <w:b/>
          <w:bCs/>
          <w:i/>
          <w:iCs/>
          <w:sz w:val="24"/>
          <w:szCs w:val="24"/>
        </w:rPr>
        <w:t>which is not accompanied by a change in the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b/>
          <w:bCs/>
          <w:i/>
          <w:iCs/>
          <w:sz w:val="24"/>
          <w:szCs w:val="24"/>
        </w:rPr>
        <w:t>ownership</w:t>
      </w:r>
      <w:proofErr w:type="gramEnd"/>
      <w:r>
        <w:rPr>
          <w:rFonts w:eastAsiaTheme="minorHAnsi"/>
          <w:b/>
          <w:bCs/>
          <w:i/>
          <w:iCs/>
          <w:sz w:val="24"/>
          <w:szCs w:val="24"/>
        </w:rPr>
        <w:t xml:space="preserve"> or control of the business</w:t>
      </w:r>
      <w:r>
        <w:rPr>
          <w:rFonts w:eastAsiaTheme="minorHAnsi"/>
          <w:sz w:val="24"/>
          <w:szCs w:val="24"/>
        </w:rPr>
        <w:t>—for example, through incorporation or formation of a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limited</w:t>
      </w:r>
      <w:proofErr w:type="gramEnd"/>
      <w:r>
        <w:rPr>
          <w:rFonts w:eastAsiaTheme="minorHAnsi"/>
          <w:sz w:val="24"/>
          <w:szCs w:val="24"/>
        </w:rPr>
        <w:t xml:space="preserve"> liability company of a sole proprietorship or partnership—requires the submission of a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letter</w:t>
      </w:r>
      <w:proofErr w:type="gramEnd"/>
      <w:r>
        <w:rPr>
          <w:rFonts w:eastAsiaTheme="minorHAnsi"/>
          <w:sz w:val="24"/>
          <w:szCs w:val="24"/>
        </w:rPr>
        <w:t xml:space="preserve"> of notification to the Secretary containing the following information: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BUREAU OF TECHNICAL UTILITY SERVICES 2/16/12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 The docket number of the motor carrier and the name of the motor carrier as presently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shown</w:t>
      </w:r>
      <w:proofErr w:type="gramEnd"/>
      <w:r>
        <w:rPr>
          <w:rFonts w:eastAsiaTheme="minorHAnsi"/>
          <w:sz w:val="24"/>
          <w:szCs w:val="24"/>
        </w:rPr>
        <w:t xml:space="preserve"> in Commission records.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 A copy of the articles of incorporation or certificate of organization, if applicable.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 The names of the owners of the stock (even if only one) and distribution of shares, if a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corporation</w:t>
      </w:r>
      <w:proofErr w:type="gramEnd"/>
      <w:r>
        <w:rPr>
          <w:rFonts w:eastAsiaTheme="minorHAnsi"/>
          <w:sz w:val="24"/>
          <w:szCs w:val="24"/>
        </w:rPr>
        <w:t>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 The names of the members (even if only one) for limited liability companies.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 A statement that there has been no change in the ownership or control of the business.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6. The letter must also be accompanied by a signed and dated Verified Statement which can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be</w:t>
      </w:r>
      <w:proofErr w:type="gramEnd"/>
      <w:r>
        <w:rPr>
          <w:rFonts w:eastAsiaTheme="minorHAnsi"/>
          <w:sz w:val="24"/>
          <w:szCs w:val="24"/>
        </w:rPr>
        <w:t xml:space="preserve"> found at the end of the instructions.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7. The letter and accompanying documents should be sent to </w:t>
      </w:r>
      <w:r>
        <w:rPr>
          <w:rFonts w:eastAsiaTheme="minorHAnsi"/>
          <w:b/>
          <w:bCs/>
          <w:sz w:val="24"/>
          <w:szCs w:val="24"/>
        </w:rPr>
        <w:t>SECRETARY, PA PUBLIC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UTILITY COMMISSION, PO BOX 3265, HARRISBURG, PA 17105-3265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Upon notification, the Commission will send a letter approving the change upon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compliance</w:t>
      </w:r>
      <w:proofErr w:type="gramEnd"/>
      <w:r>
        <w:rPr>
          <w:rFonts w:eastAsiaTheme="minorHAnsi"/>
          <w:sz w:val="24"/>
          <w:szCs w:val="24"/>
        </w:rPr>
        <w:t xml:space="preserve"> with new insurance and tariff filings upon which the change has been effected.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When the carrier has complied the Commission will issue a letter of approval which will advise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the</w:t>
      </w:r>
      <w:proofErr w:type="gramEnd"/>
      <w:r>
        <w:rPr>
          <w:rFonts w:eastAsiaTheme="minorHAnsi"/>
          <w:sz w:val="24"/>
          <w:szCs w:val="24"/>
        </w:rPr>
        <w:t xml:space="preserve"> carrier that if a new Certificate of Public Convenience is desired, the old Certificate will have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to</w:t>
      </w:r>
      <w:proofErr w:type="gramEnd"/>
      <w:r>
        <w:rPr>
          <w:rFonts w:eastAsiaTheme="minorHAnsi"/>
          <w:sz w:val="24"/>
          <w:szCs w:val="24"/>
        </w:rPr>
        <w:t xml:space="preserve"> be returned to the Secretary of the Commission once the change has become official.</w:t>
      </w:r>
    </w:p>
    <w:p w:rsidR="00C35FB8" w:rsidRDefault="00C35FB8" w:rsidP="00C35FB8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lastRenderedPageBreak/>
        <w:t>BUREAU OF TECHNICAL UTILITY SERVICES 2/16/12</w:t>
      </w:r>
    </w:p>
    <w:p w:rsidR="00C35FB8" w:rsidRDefault="00C35FB8" w:rsidP="00C35FB8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</w:p>
    <w:p w:rsidR="00C35FB8" w:rsidRDefault="00C35FB8" w:rsidP="00C35FB8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</w:p>
    <w:p w:rsidR="00C35FB8" w:rsidRDefault="00C35FB8" w:rsidP="00C35FB8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</w:p>
    <w:p w:rsidR="00C35FB8" w:rsidRDefault="00C35FB8" w:rsidP="00C35FB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VERIFICATION</w:t>
      </w:r>
    </w:p>
    <w:p w:rsidR="00C35FB8" w:rsidRDefault="00C35FB8" w:rsidP="00C35FB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C35FB8" w:rsidRDefault="00C35FB8" w:rsidP="00C35FB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I</w:t>
      </w:r>
      <w:proofErr w:type="gramStart"/>
      <w:r>
        <w:rPr>
          <w:rFonts w:eastAsiaTheme="minorHAnsi"/>
          <w:sz w:val="24"/>
          <w:szCs w:val="24"/>
        </w:rPr>
        <w:t>,_</w:t>
      </w:r>
      <w:proofErr w:type="gramEnd"/>
      <w:r>
        <w:rPr>
          <w:rFonts w:eastAsiaTheme="minorHAnsi"/>
          <w:sz w:val="24"/>
          <w:szCs w:val="24"/>
        </w:rPr>
        <w:t>___________________________, hereby state that the facts above set forth are true and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correct</w:t>
      </w:r>
      <w:proofErr w:type="gramEnd"/>
      <w:r>
        <w:rPr>
          <w:rFonts w:eastAsiaTheme="minorHAnsi"/>
          <w:sz w:val="24"/>
          <w:szCs w:val="24"/>
        </w:rPr>
        <w:t xml:space="preserve"> (or are true and correct to the best of my knowledge, information and belief) and that I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expect</w:t>
      </w:r>
      <w:proofErr w:type="gramEnd"/>
      <w:r>
        <w:rPr>
          <w:rFonts w:eastAsiaTheme="minorHAnsi"/>
          <w:sz w:val="24"/>
          <w:szCs w:val="24"/>
        </w:rPr>
        <w:t xml:space="preserve"> to be able to prove the same at a hearing held in this matter. I understand that the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statements</w:t>
      </w:r>
      <w:proofErr w:type="gramEnd"/>
      <w:r>
        <w:rPr>
          <w:rFonts w:eastAsiaTheme="minorHAnsi"/>
          <w:sz w:val="24"/>
          <w:szCs w:val="24"/>
        </w:rPr>
        <w:t xml:space="preserve"> herein are made subject to the penalties of 18 </w:t>
      </w:r>
      <w:proofErr w:type="spellStart"/>
      <w:r>
        <w:rPr>
          <w:rFonts w:eastAsiaTheme="minorHAnsi"/>
          <w:sz w:val="24"/>
          <w:szCs w:val="24"/>
        </w:rPr>
        <w:t>Pa.C.S</w:t>
      </w:r>
      <w:proofErr w:type="spellEnd"/>
      <w:r>
        <w:rPr>
          <w:rFonts w:eastAsiaTheme="minorHAnsi"/>
          <w:sz w:val="24"/>
          <w:szCs w:val="24"/>
        </w:rPr>
        <w:t>. §4904 (relating to unsworn</w:t>
      </w:r>
    </w:p>
    <w:p w:rsidR="00C35FB8" w:rsidRDefault="00C35FB8" w:rsidP="00C35FB8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proofErr w:type="gramStart"/>
      <w:r>
        <w:rPr>
          <w:rFonts w:eastAsiaTheme="minorHAnsi"/>
          <w:sz w:val="24"/>
          <w:szCs w:val="24"/>
        </w:rPr>
        <w:t>falsification</w:t>
      </w:r>
      <w:proofErr w:type="gramEnd"/>
      <w:r>
        <w:rPr>
          <w:rFonts w:eastAsiaTheme="minorHAnsi"/>
          <w:sz w:val="24"/>
          <w:szCs w:val="24"/>
        </w:rPr>
        <w:t xml:space="preserve"> to authorities).</w:t>
      </w:r>
    </w:p>
    <w:p w:rsidR="00C35FB8" w:rsidRDefault="00C35FB8" w:rsidP="00C35FB8">
      <w:pPr>
        <w:rPr>
          <w:rFonts w:eastAsiaTheme="minorHAnsi"/>
          <w:b/>
          <w:bCs/>
          <w:i/>
          <w:iCs/>
        </w:rPr>
      </w:pPr>
    </w:p>
    <w:p w:rsidR="00C35FB8" w:rsidRDefault="00C35FB8" w:rsidP="00C35FB8">
      <w:pPr>
        <w:rPr>
          <w:rFonts w:eastAsiaTheme="minorHAnsi"/>
          <w:b/>
          <w:bCs/>
          <w:i/>
          <w:iCs/>
        </w:rPr>
      </w:pPr>
    </w:p>
    <w:p w:rsidR="00C35FB8" w:rsidRDefault="00C35FB8" w:rsidP="00C35FB8">
      <w:pPr>
        <w:rPr>
          <w:rFonts w:eastAsiaTheme="minorHAnsi"/>
          <w:b/>
          <w:bCs/>
          <w:i/>
          <w:iCs/>
        </w:rPr>
      </w:pPr>
    </w:p>
    <w:p w:rsidR="00C35FB8" w:rsidRDefault="00C35FB8" w:rsidP="00C35FB8">
      <w:pPr>
        <w:rPr>
          <w:rFonts w:eastAsiaTheme="minorHAnsi"/>
          <w:b/>
          <w:bCs/>
          <w:i/>
          <w:iCs/>
        </w:rPr>
      </w:pPr>
    </w:p>
    <w:p w:rsidR="00C35FB8" w:rsidRDefault="00C35FB8" w:rsidP="00C35FB8">
      <w:pPr>
        <w:rPr>
          <w:rFonts w:eastAsiaTheme="minorHAnsi"/>
          <w:b/>
          <w:bCs/>
          <w:i/>
          <w:iCs/>
        </w:rPr>
      </w:pPr>
    </w:p>
    <w:p w:rsidR="00C35FB8" w:rsidRDefault="00C35FB8" w:rsidP="00C35FB8">
      <w:pPr>
        <w:rPr>
          <w:rFonts w:eastAsiaTheme="minorHAnsi"/>
          <w:b/>
          <w:bCs/>
          <w:i/>
          <w:iCs/>
        </w:rPr>
      </w:pPr>
      <w:r>
        <w:rPr>
          <w:rFonts w:eastAsiaTheme="minorHAnsi"/>
          <w:b/>
          <w:bCs/>
          <w:i/>
          <w:iCs/>
        </w:rPr>
        <w:t>_______________________________________________</w:t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  <w:t>_____________________</w:t>
      </w:r>
    </w:p>
    <w:p w:rsidR="00C35FB8" w:rsidRDefault="00C35FB8" w:rsidP="00C35FB8">
      <w:pPr>
        <w:ind w:left="1440" w:firstLine="720"/>
        <w:rPr>
          <w:rFonts w:ascii="Arial" w:hAnsi="Arial"/>
          <w:sz w:val="24"/>
        </w:rPr>
      </w:pPr>
      <w:r>
        <w:rPr>
          <w:rFonts w:eastAsiaTheme="minorHAnsi"/>
          <w:b/>
          <w:bCs/>
          <w:i/>
          <w:iCs/>
        </w:rPr>
        <w:t xml:space="preserve">Signature </w:t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</w:r>
      <w:r>
        <w:rPr>
          <w:rFonts w:eastAsiaTheme="minorHAnsi"/>
          <w:b/>
          <w:bCs/>
          <w:i/>
          <w:iCs/>
        </w:rPr>
        <w:tab/>
        <w:t>Date</w:t>
      </w:r>
    </w:p>
    <w:sectPr w:rsidR="00C35FB8" w:rsidSect="00C35FB8">
      <w:pgSz w:w="12240" w:h="15840"/>
      <w:pgMar w:top="720" w:right="108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B9" w:rsidRDefault="00562BB9" w:rsidP="00635B49">
      <w:r>
        <w:separator/>
      </w:r>
    </w:p>
  </w:endnote>
  <w:endnote w:type="continuationSeparator" w:id="0">
    <w:p w:rsidR="00562BB9" w:rsidRDefault="00562BB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B9" w:rsidRDefault="00562BB9" w:rsidP="00635B49">
      <w:r>
        <w:separator/>
      </w:r>
    </w:p>
  </w:footnote>
  <w:footnote w:type="continuationSeparator" w:id="0">
    <w:p w:rsidR="00562BB9" w:rsidRDefault="00562BB9" w:rsidP="0063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1CE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0BB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292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2BB9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3494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120A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A49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2858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D27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9F7FF6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5F2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A9F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8F0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5FB8"/>
    <w:rsid w:val="00C37854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CF7D12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55AE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D5B45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7628-E7D3-4E4A-BE14-81BBEFD9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Farner, Joyce</cp:lastModifiedBy>
  <cp:revision>3</cp:revision>
  <cp:lastPrinted>2016-11-01T11:43:00Z</cp:lastPrinted>
  <dcterms:created xsi:type="dcterms:W3CDTF">2016-10-31T19:10:00Z</dcterms:created>
  <dcterms:modified xsi:type="dcterms:W3CDTF">2016-11-01T11:43:00Z</dcterms:modified>
</cp:coreProperties>
</file>