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0F5F51">
            <w:pPr>
              <w:rPr>
                <w:sz w:val="24"/>
              </w:rPr>
            </w:pPr>
            <w:r>
              <w:rPr>
                <w:noProof/>
                <w:spacing w:val="-2"/>
              </w:rPr>
              <w:drawing>
                <wp:inline distT="0" distB="0" distL="0" distR="0" wp14:anchorId="03496F98" wp14:editId="334AC4EE">
                  <wp:extent cx="729615" cy="72961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729615" cy="729615"/>
                          </a:xfrm>
                          <a:prstGeom prst="rect">
                            <a:avLst/>
                          </a:prstGeom>
                          <a:noFill/>
                          <a:ln w="9525">
                            <a:noFill/>
                            <a:miter lim="800000"/>
                            <a:headEnd/>
                            <a:tailEnd/>
                          </a:ln>
                        </pic:spPr>
                      </pic:pic>
                    </a:graphicData>
                  </a:graphic>
                </wp:inline>
              </w:drawing>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C74A51" w:rsidRDefault="00C74A51">
      <w:pPr>
        <w:rPr>
          <w:sz w:val="24"/>
        </w:rPr>
        <w:sectPr w:rsidR="00C74A51" w:rsidSect="00613E53">
          <w:footerReference w:type="default" r:id="rId10"/>
          <w:pgSz w:w="12240" w:h="15840"/>
          <w:pgMar w:top="504" w:right="1440" w:bottom="1440" w:left="1440" w:header="720" w:footer="720" w:gutter="0"/>
          <w:cols w:space="720"/>
          <w:titlePg/>
          <w:docGrid w:linePitch="272"/>
        </w:sectPr>
      </w:pPr>
    </w:p>
    <w:p w:rsidR="005502CA" w:rsidRDefault="007D08D4" w:rsidP="005502CA">
      <w:pPr>
        <w:ind w:right="-630"/>
        <w:jc w:val="center"/>
      </w:pPr>
      <w:r>
        <w:lastRenderedPageBreak/>
        <w:t>November 4, 2016</w:t>
      </w:r>
    </w:p>
    <w:p w:rsidR="00D63B56" w:rsidRDefault="00CF7EE4" w:rsidP="00391CEB">
      <w:pPr>
        <w:ind w:right="-630"/>
        <w:jc w:val="right"/>
      </w:pPr>
      <w:r>
        <w:t>M-20</w:t>
      </w:r>
      <w:r w:rsidR="00E068EE">
        <w:t>15</w:t>
      </w:r>
      <w:r>
        <w:t>-</w:t>
      </w:r>
      <w:r w:rsidR="00E068EE">
        <w:t>2515642</w:t>
      </w:r>
    </w:p>
    <w:p w:rsidR="00C74A51" w:rsidRPr="000B1BA6" w:rsidRDefault="00BE5119" w:rsidP="001209F1">
      <w:pPr>
        <w:rPr>
          <w:sz w:val="26"/>
          <w:szCs w:val="26"/>
        </w:rPr>
      </w:pPr>
      <w:r w:rsidRPr="000B1BA6">
        <w:rPr>
          <w:sz w:val="26"/>
          <w:szCs w:val="26"/>
        </w:rPr>
        <w:tab/>
      </w:r>
      <w:r w:rsidRPr="000B1BA6">
        <w:rPr>
          <w:sz w:val="26"/>
          <w:szCs w:val="26"/>
        </w:rPr>
        <w:tab/>
      </w:r>
      <w:r w:rsidRPr="000B1BA6">
        <w:rPr>
          <w:sz w:val="26"/>
          <w:szCs w:val="26"/>
        </w:rPr>
        <w:tab/>
      </w:r>
      <w:r w:rsidRPr="000B1BA6">
        <w:rPr>
          <w:sz w:val="26"/>
          <w:szCs w:val="26"/>
        </w:rPr>
        <w:tab/>
      </w:r>
    </w:p>
    <w:p w:rsidR="00712208" w:rsidRPr="000B1BA6" w:rsidRDefault="00712208" w:rsidP="001209F1">
      <w:pPr>
        <w:rPr>
          <w:sz w:val="26"/>
          <w:szCs w:val="26"/>
        </w:rPr>
      </w:pPr>
    </w:p>
    <w:p w:rsidR="00712208" w:rsidRDefault="000B1BA6" w:rsidP="001209F1">
      <w:pPr>
        <w:rPr>
          <w:sz w:val="26"/>
          <w:szCs w:val="26"/>
        </w:rPr>
      </w:pPr>
      <w:r>
        <w:rPr>
          <w:sz w:val="26"/>
          <w:szCs w:val="26"/>
        </w:rPr>
        <w:t>M</w:t>
      </w:r>
      <w:r w:rsidR="00330A4A">
        <w:rPr>
          <w:sz w:val="26"/>
          <w:szCs w:val="26"/>
        </w:rPr>
        <w:t>s</w:t>
      </w:r>
      <w:r>
        <w:rPr>
          <w:sz w:val="26"/>
          <w:szCs w:val="26"/>
        </w:rPr>
        <w:t xml:space="preserve">. </w:t>
      </w:r>
      <w:r w:rsidR="00330A4A">
        <w:rPr>
          <w:sz w:val="26"/>
          <w:szCs w:val="26"/>
        </w:rPr>
        <w:t>K</w:t>
      </w:r>
      <w:r w:rsidR="00E068EE">
        <w:rPr>
          <w:sz w:val="26"/>
          <w:szCs w:val="26"/>
        </w:rPr>
        <w:t xml:space="preserve">imberly A. </w:t>
      </w:r>
      <w:proofErr w:type="spellStart"/>
      <w:r w:rsidR="00E068EE">
        <w:rPr>
          <w:sz w:val="26"/>
          <w:szCs w:val="26"/>
        </w:rPr>
        <w:t>Klock</w:t>
      </w:r>
      <w:proofErr w:type="spellEnd"/>
      <w:r>
        <w:rPr>
          <w:sz w:val="26"/>
          <w:szCs w:val="26"/>
        </w:rPr>
        <w:t>, Esquire</w:t>
      </w:r>
    </w:p>
    <w:p w:rsidR="000B1BA6" w:rsidRDefault="00E068EE" w:rsidP="001209F1">
      <w:pPr>
        <w:rPr>
          <w:sz w:val="26"/>
          <w:szCs w:val="26"/>
        </w:rPr>
      </w:pPr>
      <w:r>
        <w:rPr>
          <w:sz w:val="26"/>
          <w:szCs w:val="26"/>
        </w:rPr>
        <w:t>PPL Services Corporation</w:t>
      </w:r>
    </w:p>
    <w:p w:rsidR="000B1BA6" w:rsidRDefault="00E068EE" w:rsidP="001209F1">
      <w:pPr>
        <w:rPr>
          <w:sz w:val="26"/>
          <w:szCs w:val="26"/>
        </w:rPr>
      </w:pPr>
      <w:r>
        <w:rPr>
          <w:sz w:val="26"/>
          <w:szCs w:val="26"/>
        </w:rPr>
        <w:t>Two North Ninth Street</w:t>
      </w:r>
    </w:p>
    <w:p w:rsidR="000B1BA6" w:rsidRDefault="00E068EE" w:rsidP="001209F1">
      <w:pPr>
        <w:rPr>
          <w:sz w:val="26"/>
          <w:szCs w:val="26"/>
        </w:rPr>
      </w:pPr>
      <w:r>
        <w:rPr>
          <w:sz w:val="26"/>
          <w:szCs w:val="26"/>
        </w:rPr>
        <w:t>Allentown, PA  18106</w:t>
      </w:r>
    </w:p>
    <w:p w:rsidR="009505A7" w:rsidRDefault="009505A7" w:rsidP="001209F1">
      <w:pPr>
        <w:rPr>
          <w:sz w:val="26"/>
          <w:szCs w:val="26"/>
        </w:rPr>
      </w:pPr>
    </w:p>
    <w:p w:rsidR="00330A4A" w:rsidRDefault="009505A7" w:rsidP="00820608">
      <w:pPr>
        <w:ind w:left="720" w:hanging="720"/>
        <w:rPr>
          <w:b/>
          <w:sz w:val="26"/>
          <w:szCs w:val="26"/>
        </w:rPr>
      </w:pPr>
      <w:r w:rsidRPr="00820608">
        <w:rPr>
          <w:b/>
          <w:sz w:val="26"/>
          <w:szCs w:val="26"/>
        </w:rPr>
        <w:t>Re:</w:t>
      </w:r>
      <w:r>
        <w:rPr>
          <w:sz w:val="26"/>
          <w:szCs w:val="26"/>
        </w:rPr>
        <w:tab/>
      </w:r>
      <w:r w:rsidRPr="00820608">
        <w:rPr>
          <w:b/>
          <w:sz w:val="26"/>
          <w:szCs w:val="26"/>
        </w:rPr>
        <w:t xml:space="preserve">Petition of </w:t>
      </w:r>
      <w:r w:rsidR="00A23B28">
        <w:rPr>
          <w:b/>
          <w:sz w:val="26"/>
          <w:szCs w:val="26"/>
        </w:rPr>
        <w:t>P</w:t>
      </w:r>
      <w:r w:rsidR="00E068EE">
        <w:rPr>
          <w:b/>
          <w:sz w:val="26"/>
          <w:szCs w:val="26"/>
        </w:rPr>
        <w:t>PL Electric Utilities Corporation</w:t>
      </w:r>
      <w:r w:rsidRPr="00820608">
        <w:rPr>
          <w:b/>
          <w:sz w:val="26"/>
          <w:szCs w:val="26"/>
        </w:rPr>
        <w:t xml:space="preserve"> </w:t>
      </w:r>
      <w:r w:rsidR="00FD09A5" w:rsidRPr="00820608">
        <w:rPr>
          <w:b/>
          <w:sz w:val="26"/>
          <w:szCs w:val="26"/>
        </w:rPr>
        <w:t>for Expedited Approval of Proposed Minor EE&amp;C Plan Changes Pursuant To the</w:t>
      </w:r>
      <w:r w:rsidRPr="00820608">
        <w:rPr>
          <w:b/>
          <w:sz w:val="26"/>
          <w:szCs w:val="26"/>
        </w:rPr>
        <w:t xml:space="preserve"> Commission’s Expedited Review Process </w:t>
      </w:r>
    </w:p>
    <w:p w:rsidR="009505A7" w:rsidRPr="00820608" w:rsidRDefault="009505A7" w:rsidP="00330A4A">
      <w:pPr>
        <w:ind w:left="720"/>
        <w:rPr>
          <w:sz w:val="26"/>
          <w:szCs w:val="26"/>
        </w:rPr>
      </w:pPr>
      <w:r w:rsidRPr="00820608">
        <w:rPr>
          <w:b/>
          <w:sz w:val="26"/>
          <w:szCs w:val="26"/>
        </w:rPr>
        <w:t>Docket No. M-</w:t>
      </w:r>
      <w:r w:rsidR="00E068EE">
        <w:rPr>
          <w:b/>
          <w:sz w:val="26"/>
          <w:szCs w:val="26"/>
        </w:rPr>
        <w:t>2015-2515642</w:t>
      </w:r>
    </w:p>
    <w:p w:rsidR="009505A7" w:rsidRDefault="009505A7" w:rsidP="009505A7"/>
    <w:p w:rsidR="00820608" w:rsidRDefault="00820608" w:rsidP="00820608">
      <w:pPr>
        <w:rPr>
          <w:sz w:val="26"/>
          <w:szCs w:val="26"/>
        </w:rPr>
      </w:pPr>
      <w:r>
        <w:rPr>
          <w:sz w:val="26"/>
          <w:szCs w:val="26"/>
        </w:rPr>
        <w:t>Dear M</w:t>
      </w:r>
      <w:r w:rsidR="00330A4A">
        <w:rPr>
          <w:sz w:val="26"/>
          <w:szCs w:val="26"/>
        </w:rPr>
        <w:t>s</w:t>
      </w:r>
      <w:r>
        <w:rPr>
          <w:sz w:val="26"/>
          <w:szCs w:val="26"/>
        </w:rPr>
        <w:t xml:space="preserve">. </w:t>
      </w:r>
      <w:proofErr w:type="spellStart"/>
      <w:r w:rsidR="00330A4A">
        <w:rPr>
          <w:sz w:val="26"/>
          <w:szCs w:val="26"/>
        </w:rPr>
        <w:t>K</w:t>
      </w:r>
      <w:r w:rsidR="00E068EE">
        <w:rPr>
          <w:sz w:val="26"/>
          <w:szCs w:val="26"/>
        </w:rPr>
        <w:t>lock</w:t>
      </w:r>
      <w:proofErr w:type="spellEnd"/>
      <w:r>
        <w:rPr>
          <w:sz w:val="26"/>
          <w:szCs w:val="26"/>
        </w:rPr>
        <w:t>:</w:t>
      </w:r>
      <w:r w:rsidR="009505A7" w:rsidRPr="00C92CCB">
        <w:rPr>
          <w:sz w:val="26"/>
          <w:szCs w:val="26"/>
        </w:rPr>
        <w:tab/>
      </w:r>
    </w:p>
    <w:p w:rsidR="00820608" w:rsidRDefault="00820608" w:rsidP="00820608">
      <w:pPr>
        <w:rPr>
          <w:sz w:val="26"/>
          <w:szCs w:val="26"/>
        </w:rPr>
      </w:pPr>
    </w:p>
    <w:p w:rsidR="009505A7" w:rsidRDefault="00820608" w:rsidP="00613E53">
      <w:pPr>
        <w:rPr>
          <w:sz w:val="26"/>
          <w:szCs w:val="26"/>
        </w:rPr>
      </w:pPr>
      <w:r>
        <w:rPr>
          <w:sz w:val="26"/>
          <w:szCs w:val="26"/>
        </w:rPr>
        <w:tab/>
      </w:r>
      <w:r w:rsidR="009505A7" w:rsidRPr="00C92CCB">
        <w:rPr>
          <w:sz w:val="26"/>
          <w:szCs w:val="26"/>
        </w:rPr>
        <w:t xml:space="preserve">On </w:t>
      </w:r>
      <w:r w:rsidR="00E068EE">
        <w:rPr>
          <w:sz w:val="26"/>
          <w:szCs w:val="26"/>
        </w:rPr>
        <w:t>September 21, 2016</w:t>
      </w:r>
      <w:r w:rsidR="009505A7" w:rsidRPr="00C92CCB">
        <w:rPr>
          <w:sz w:val="26"/>
          <w:szCs w:val="26"/>
        </w:rPr>
        <w:t xml:space="preserve">, </w:t>
      </w:r>
      <w:r w:rsidR="00E068EE">
        <w:rPr>
          <w:sz w:val="26"/>
          <w:szCs w:val="26"/>
        </w:rPr>
        <w:t>PPL Electric Utilities Corporation</w:t>
      </w:r>
      <w:r w:rsidR="009505A7" w:rsidRPr="00C92CCB">
        <w:rPr>
          <w:sz w:val="26"/>
          <w:szCs w:val="26"/>
        </w:rPr>
        <w:t xml:space="preserve"> (</w:t>
      </w:r>
      <w:r w:rsidR="00E068EE">
        <w:rPr>
          <w:sz w:val="26"/>
          <w:szCs w:val="26"/>
        </w:rPr>
        <w:t>PPL</w:t>
      </w:r>
      <w:r w:rsidR="009505A7" w:rsidRPr="00C92CCB">
        <w:rPr>
          <w:sz w:val="26"/>
          <w:szCs w:val="26"/>
        </w:rPr>
        <w:t xml:space="preserve">) filed a </w:t>
      </w:r>
      <w:r w:rsidR="009505A7" w:rsidRPr="00C92CCB">
        <w:rPr>
          <w:i/>
          <w:sz w:val="26"/>
          <w:szCs w:val="26"/>
        </w:rPr>
        <w:t xml:space="preserve">Petition of </w:t>
      </w:r>
      <w:r w:rsidR="00E068EE">
        <w:rPr>
          <w:i/>
          <w:sz w:val="26"/>
          <w:szCs w:val="26"/>
        </w:rPr>
        <w:t>PPL Electric Utilities Corporation for Approval of its Act 129 Phase III Energy Efficiency and Conservation Plan – Docket No. M-2015-2515642</w:t>
      </w:r>
      <w:r w:rsidR="009505A7" w:rsidRPr="00C92CCB">
        <w:rPr>
          <w:sz w:val="26"/>
          <w:szCs w:val="26"/>
        </w:rPr>
        <w:t xml:space="preserve"> (Petition</w:t>
      </w:r>
      <w:r w:rsidR="00056910">
        <w:rPr>
          <w:sz w:val="26"/>
          <w:szCs w:val="26"/>
        </w:rPr>
        <w:t xml:space="preserve">).  The Petition seeks approval of minor changes to the programs contained in its amended Act 129 </w:t>
      </w:r>
      <w:r w:rsidR="00E068EE">
        <w:rPr>
          <w:sz w:val="26"/>
          <w:szCs w:val="26"/>
        </w:rPr>
        <w:t xml:space="preserve">Phase III </w:t>
      </w:r>
      <w:r w:rsidR="00056910">
        <w:rPr>
          <w:sz w:val="26"/>
          <w:szCs w:val="26"/>
        </w:rPr>
        <w:t xml:space="preserve">Energy Efficiency and Conservation Plan (EE&amp;C Plan) through the </w:t>
      </w:r>
      <w:r w:rsidR="009505A7" w:rsidRPr="00C92CCB">
        <w:rPr>
          <w:sz w:val="26"/>
          <w:szCs w:val="26"/>
        </w:rPr>
        <w:t xml:space="preserve">Commission’s expedited process set forth in its June 10, 2011 Final Order at Docket No. </w:t>
      </w:r>
      <w:proofErr w:type="gramStart"/>
      <w:r w:rsidR="009505A7" w:rsidRPr="00C92CCB">
        <w:rPr>
          <w:sz w:val="26"/>
          <w:szCs w:val="26"/>
        </w:rPr>
        <w:t>M-2008-2069887</w:t>
      </w:r>
      <w:r w:rsidR="009505A7">
        <w:rPr>
          <w:sz w:val="26"/>
          <w:szCs w:val="26"/>
        </w:rPr>
        <w:t xml:space="preserve"> (Expedited Process Order)</w:t>
      </w:r>
      <w:r w:rsidR="009505A7" w:rsidRPr="00C92CCB">
        <w:rPr>
          <w:sz w:val="26"/>
          <w:szCs w:val="26"/>
        </w:rPr>
        <w:t>.</w:t>
      </w:r>
      <w:proofErr w:type="gramEnd"/>
      <w:r w:rsidR="00876AA5">
        <w:rPr>
          <w:sz w:val="26"/>
          <w:szCs w:val="26"/>
        </w:rPr>
        <w:t xml:space="preserve"> </w:t>
      </w:r>
      <w:r w:rsidR="00555C9E">
        <w:rPr>
          <w:sz w:val="26"/>
          <w:szCs w:val="26"/>
        </w:rPr>
        <w:t xml:space="preserve"> </w:t>
      </w:r>
      <w:r w:rsidR="00E068EE">
        <w:rPr>
          <w:sz w:val="26"/>
          <w:szCs w:val="26"/>
        </w:rPr>
        <w:t xml:space="preserve">PPL </w:t>
      </w:r>
      <w:r w:rsidR="00876AA5">
        <w:rPr>
          <w:sz w:val="26"/>
          <w:szCs w:val="26"/>
        </w:rPr>
        <w:t>served the Petition on all parties of record.</w:t>
      </w:r>
      <w:r w:rsidR="001F204F">
        <w:rPr>
          <w:sz w:val="26"/>
          <w:szCs w:val="26"/>
        </w:rPr>
        <w:t xml:space="preserve">  For the reasons discussed below, Staff will grant </w:t>
      </w:r>
      <w:r w:rsidR="007A336D">
        <w:rPr>
          <w:sz w:val="26"/>
          <w:szCs w:val="26"/>
        </w:rPr>
        <w:t>PPL</w:t>
      </w:r>
      <w:r w:rsidR="00E53D95">
        <w:rPr>
          <w:sz w:val="26"/>
          <w:szCs w:val="26"/>
        </w:rPr>
        <w:t>’s</w:t>
      </w:r>
      <w:r w:rsidR="001F204F">
        <w:rPr>
          <w:sz w:val="26"/>
          <w:szCs w:val="26"/>
        </w:rPr>
        <w:t xml:space="preserve"> Petition</w:t>
      </w:r>
      <w:r w:rsidR="00C253A2">
        <w:rPr>
          <w:sz w:val="26"/>
          <w:szCs w:val="26"/>
        </w:rPr>
        <w:t xml:space="preserve"> as modified by PPL in its reply comments</w:t>
      </w:r>
      <w:r w:rsidR="00BC50FE">
        <w:rPr>
          <w:sz w:val="26"/>
          <w:szCs w:val="26"/>
        </w:rPr>
        <w:t>.</w:t>
      </w:r>
    </w:p>
    <w:p w:rsidR="009505A7" w:rsidRDefault="009505A7" w:rsidP="00613E53">
      <w:pPr>
        <w:rPr>
          <w:sz w:val="26"/>
          <w:szCs w:val="26"/>
        </w:rPr>
      </w:pPr>
    </w:p>
    <w:p w:rsidR="009505A7" w:rsidRDefault="009505A7" w:rsidP="00613E53">
      <w:pPr>
        <w:rPr>
          <w:sz w:val="26"/>
          <w:szCs w:val="26"/>
        </w:rPr>
      </w:pPr>
      <w:r>
        <w:rPr>
          <w:sz w:val="26"/>
          <w:szCs w:val="26"/>
        </w:rPr>
        <w:tab/>
      </w:r>
      <w:r w:rsidR="00E53D95">
        <w:rPr>
          <w:sz w:val="26"/>
          <w:szCs w:val="26"/>
        </w:rPr>
        <w:t xml:space="preserve">Comments </w:t>
      </w:r>
      <w:r w:rsidR="00C253A2">
        <w:rPr>
          <w:sz w:val="26"/>
          <w:szCs w:val="26"/>
        </w:rPr>
        <w:t xml:space="preserve">on the PPL Petition </w:t>
      </w:r>
      <w:r w:rsidR="00E53D95">
        <w:rPr>
          <w:sz w:val="26"/>
          <w:szCs w:val="26"/>
        </w:rPr>
        <w:t>were filed by PP&amp;L Industrial Customers Alliance (PPLICA), the Office of Small Business Advocate</w:t>
      </w:r>
      <w:r w:rsidR="00303460">
        <w:rPr>
          <w:sz w:val="26"/>
          <w:szCs w:val="26"/>
        </w:rPr>
        <w:t xml:space="preserve"> (OSBA)</w:t>
      </w:r>
      <w:r w:rsidR="00E53D95">
        <w:rPr>
          <w:sz w:val="26"/>
          <w:szCs w:val="26"/>
        </w:rPr>
        <w:t xml:space="preserve"> and the Sustainable Energy Fund of Central Eastern Pennsylvania</w:t>
      </w:r>
      <w:r w:rsidR="00303460">
        <w:rPr>
          <w:sz w:val="26"/>
          <w:szCs w:val="26"/>
        </w:rPr>
        <w:t xml:space="preserve"> (SEF)</w:t>
      </w:r>
      <w:r w:rsidR="00E53D95">
        <w:rPr>
          <w:sz w:val="26"/>
          <w:szCs w:val="26"/>
        </w:rPr>
        <w:t xml:space="preserve">.  </w:t>
      </w:r>
      <w:r w:rsidR="00C253A2">
        <w:rPr>
          <w:sz w:val="26"/>
          <w:szCs w:val="26"/>
        </w:rPr>
        <w:t>PPL filed timely r</w:t>
      </w:r>
      <w:r w:rsidR="00E53D95">
        <w:rPr>
          <w:sz w:val="26"/>
          <w:szCs w:val="26"/>
        </w:rPr>
        <w:t>eply comments.</w:t>
      </w:r>
      <w:r w:rsidR="00A97861">
        <w:rPr>
          <w:sz w:val="26"/>
          <w:szCs w:val="26"/>
        </w:rPr>
        <w:t xml:space="preserve">  </w:t>
      </w:r>
    </w:p>
    <w:p w:rsidR="009505A7" w:rsidRDefault="009505A7" w:rsidP="00613E53">
      <w:pPr>
        <w:rPr>
          <w:sz w:val="26"/>
          <w:szCs w:val="26"/>
        </w:rPr>
      </w:pPr>
    </w:p>
    <w:p w:rsidR="009505A7" w:rsidRPr="001A08DC" w:rsidRDefault="009505A7" w:rsidP="00652B60">
      <w:pPr>
        <w:rPr>
          <w:sz w:val="26"/>
          <w:szCs w:val="26"/>
        </w:rPr>
      </w:pPr>
      <w:r>
        <w:rPr>
          <w:sz w:val="26"/>
          <w:szCs w:val="26"/>
        </w:rPr>
        <w:tab/>
        <w:t>In its Expedited Process Order, t</w:t>
      </w:r>
      <w:r>
        <w:rPr>
          <w:rFonts w:eastAsia="Calibri"/>
          <w:sz w:val="26"/>
          <w:szCs w:val="26"/>
        </w:rPr>
        <w:t xml:space="preserve">he Commission </w:t>
      </w:r>
      <w:r>
        <w:rPr>
          <w:sz w:val="26"/>
          <w:szCs w:val="26"/>
        </w:rPr>
        <w:t>delegated</w:t>
      </w:r>
      <w:r>
        <w:rPr>
          <w:rFonts w:eastAsia="Calibri"/>
          <w:sz w:val="26"/>
          <w:szCs w:val="26"/>
        </w:rPr>
        <w:t xml:space="preserve"> its authority to review and approve minor EE&amp;C Plan changes</w:t>
      </w:r>
      <w:r>
        <w:rPr>
          <w:sz w:val="26"/>
          <w:szCs w:val="26"/>
        </w:rPr>
        <w:t xml:space="preserve"> </w:t>
      </w:r>
      <w:r>
        <w:rPr>
          <w:rFonts w:eastAsia="Calibri"/>
          <w:sz w:val="26"/>
          <w:szCs w:val="26"/>
        </w:rPr>
        <w:t xml:space="preserve">to staff of the Bureau of </w:t>
      </w:r>
      <w:r w:rsidR="001F204F">
        <w:rPr>
          <w:rFonts w:eastAsia="Calibri"/>
          <w:sz w:val="26"/>
          <w:szCs w:val="26"/>
        </w:rPr>
        <w:t>Technical Utility Services</w:t>
      </w:r>
      <w:r w:rsidR="003F7AC6">
        <w:rPr>
          <w:rFonts w:eastAsia="Calibri"/>
          <w:sz w:val="26"/>
          <w:szCs w:val="26"/>
        </w:rPr>
        <w:t xml:space="preserve"> (Staff)</w:t>
      </w:r>
      <w:r>
        <w:rPr>
          <w:rFonts w:eastAsia="Calibri"/>
          <w:sz w:val="26"/>
          <w:szCs w:val="26"/>
        </w:rPr>
        <w:t>, with assistance from staff of the Law Bureau</w:t>
      </w:r>
      <w:r w:rsidR="001F204F">
        <w:rPr>
          <w:rFonts w:eastAsia="Calibri"/>
          <w:sz w:val="26"/>
          <w:szCs w:val="26"/>
        </w:rPr>
        <w:t>.</w:t>
      </w:r>
      <w:r w:rsidR="00FB7CDB">
        <w:rPr>
          <w:rStyle w:val="FootnoteReference"/>
          <w:rFonts w:eastAsia="Calibri"/>
          <w:sz w:val="26"/>
          <w:szCs w:val="26"/>
        </w:rPr>
        <w:footnoteReference w:id="1"/>
      </w:r>
      <w:r>
        <w:rPr>
          <w:sz w:val="26"/>
          <w:szCs w:val="26"/>
        </w:rPr>
        <w:t xml:space="preserve">  </w:t>
      </w:r>
      <w:r w:rsidR="002A67FE">
        <w:rPr>
          <w:sz w:val="26"/>
          <w:szCs w:val="26"/>
        </w:rPr>
        <w:t xml:space="preserve">The Commission directed </w:t>
      </w:r>
      <w:r w:rsidR="00C253A2">
        <w:rPr>
          <w:rFonts w:eastAsia="Calibri"/>
          <w:sz w:val="26"/>
          <w:szCs w:val="26"/>
        </w:rPr>
        <w:t xml:space="preserve">Staff to issue a Secretarial Letter approving, denying, or transferring to the Office </w:t>
      </w:r>
      <w:r w:rsidR="002A67FE">
        <w:rPr>
          <w:rFonts w:eastAsia="Calibri"/>
          <w:sz w:val="26"/>
          <w:szCs w:val="26"/>
        </w:rPr>
        <w:t>of Administrative Law Judge for hearings, some or all of the proposed minor plan changes.  With this Secretarial Letter, Staff is approving PPL’s Petition, as modified by PPL’s reply comments, for the reasons expressed below.</w:t>
      </w:r>
    </w:p>
    <w:p w:rsidR="009505A7" w:rsidRDefault="009505A7" w:rsidP="00613E53">
      <w:pPr>
        <w:rPr>
          <w:sz w:val="26"/>
          <w:szCs w:val="26"/>
        </w:rPr>
      </w:pPr>
    </w:p>
    <w:p w:rsidR="00646AD2" w:rsidRDefault="009505A7" w:rsidP="00613E53">
      <w:pPr>
        <w:rPr>
          <w:sz w:val="26"/>
          <w:szCs w:val="26"/>
        </w:rPr>
      </w:pPr>
      <w:r>
        <w:rPr>
          <w:sz w:val="26"/>
          <w:szCs w:val="26"/>
        </w:rPr>
        <w:tab/>
        <w:t xml:space="preserve">In its Petition, </w:t>
      </w:r>
      <w:r w:rsidR="00E53D95">
        <w:rPr>
          <w:sz w:val="26"/>
          <w:szCs w:val="26"/>
        </w:rPr>
        <w:t>PPL</w:t>
      </w:r>
      <w:r w:rsidR="001F204F">
        <w:rPr>
          <w:sz w:val="26"/>
          <w:szCs w:val="26"/>
        </w:rPr>
        <w:t xml:space="preserve"> </w:t>
      </w:r>
      <w:r>
        <w:rPr>
          <w:sz w:val="26"/>
          <w:szCs w:val="26"/>
        </w:rPr>
        <w:t>propose</w:t>
      </w:r>
      <w:r w:rsidR="003F7AC6">
        <w:rPr>
          <w:sz w:val="26"/>
          <w:szCs w:val="26"/>
        </w:rPr>
        <w:t>s</w:t>
      </w:r>
      <w:r w:rsidR="00876AA5">
        <w:rPr>
          <w:sz w:val="26"/>
          <w:szCs w:val="26"/>
        </w:rPr>
        <w:t xml:space="preserve"> </w:t>
      </w:r>
      <w:r w:rsidR="002706F2">
        <w:rPr>
          <w:sz w:val="26"/>
          <w:szCs w:val="26"/>
        </w:rPr>
        <w:t xml:space="preserve">a </w:t>
      </w:r>
      <w:r w:rsidR="00876AA5">
        <w:rPr>
          <w:sz w:val="26"/>
          <w:szCs w:val="26"/>
        </w:rPr>
        <w:t xml:space="preserve">change to </w:t>
      </w:r>
      <w:r w:rsidR="00555C9E">
        <w:rPr>
          <w:sz w:val="26"/>
          <w:szCs w:val="26"/>
        </w:rPr>
        <w:t xml:space="preserve">its </w:t>
      </w:r>
      <w:r w:rsidR="00E53D95">
        <w:rPr>
          <w:sz w:val="26"/>
          <w:szCs w:val="26"/>
        </w:rPr>
        <w:t xml:space="preserve">Custom </w:t>
      </w:r>
      <w:r w:rsidR="000F704B">
        <w:rPr>
          <w:sz w:val="26"/>
          <w:szCs w:val="26"/>
        </w:rPr>
        <w:t xml:space="preserve">Program </w:t>
      </w:r>
      <w:r w:rsidR="00E53D95">
        <w:rPr>
          <w:sz w:val="26"/>
          <w:szCs w:val="26"/>
        </w:rPr>
        <w:t>eligibility requirements</w:t>
      </w:r>
      <w:r w:rsidR="000F704B">
        <w:rPr>
          <w:sz w:val="26"/>
          <w:szCs w:val="26"/>
        </w:rPr>
        <w:t xml:space="preserve">.  </w:t>
      </w:r>
      <w:r w:rsidR="00C31F7E">
        <w:rPr>
          <w:sz w:val="26"/>
          <w:szCs w:val="26"/>
        </w:rPr>
        <w:t xml:space="preserve">Specifically, </w:t>
      </w:r>
      <w:r w:rsidR="00E53D95">
        <w:rPr>
          <w:sz w:val="26"/>
          <w:szCs w:val="26"/>
        </w:rPr>
        <w:t xml:space="preserve">PPL </w:t>
      </w:r>
      <w:r w:rsidR="00C31F7E">
        <w:rPr>
          <w:sz w:val="26"/>
          <w:szCs w:val="26"/>
        </w:rPr>
        <w:t xml:space="preserve">proposes </w:t>
      </w:r>
      <w:r w:rsidR="00E53D95">
        <w:rPr>
          <w:sz w:val="26"/>
          <w:szCs w:val="26"/>
        </w:rPr>
        <w:t xml:space="preserve">to </w:t>
      </w:r>
      <w:r w:rsidR="00376894">
        <w:rPr>
          <w:sz w:val="26"/>
          <w:szCs w:val="26"/>
        </w:rPr>
        <w:t xml:space="preserve">change </w:t>
      </w:r>
      <w:r w:rsidR="00F704E8">
        <w:rPr>
          <w:sz w:val="26"/>
          <w:szCs w:val="26"/>
        </w:rPr>
        <w:t xml:space="preserve">the requirement that all Custom Program projects undergo a pre-screening to determine that these projects meet a minimum </w:t>
      </w:r>
      <w:r w:rsidR="002A67FE">
        <w:rPr>
          <w:sz w:val="26"/>
          <w:szCs w:val="26"/>
        </w:rPr>
        <w:t>total resource cost test (TRC) threshold</w:t>
      </w:r>
      <w:r w:rsidR="00F704E8">
        <w:rPr>
          <w:sz w:val="26"/>
          <w:szCs w:val="26"/>
        </w:rPr>
        <w:t xml:space="preserve">.  For combined heat and power (CHP) projects, the </w:t>
      </w:r>
      <w:r w:rsidR="00376894">
        <w:rPr>
          <w:sz w:val="26"/>
          <w:szCs w:val="26"/>
        </w:rPr>
        <w:t xml:space="preserve">current </w:t>
      </w:r>
      <w:r w:rsidR="002A67FE">
        <w:rPr>
          <w:sz w:val="26"/>
          <w:szCs w:val="26"/>
        </w:rPr>
        <w:t xml:space="preserve">plan </w:t>
      </w:r>
      <w:r w:rsidR="00F704E8">
        <w:rPr>
          <w:sz w:val="26"/>
          <w:szCs w:val="26"/>
        </w:rPr>
        <w:t xml:space="preserve">minimum TRC </w:t>
      </w:r>
      <w:r w:rsidR="002A67FE">
        <w:rPr>
          <w:sz w:val="26"/>
          <w:szCs w:val="26"/>
        </w:rPr>
        <w:t>threshold is</w:t>
      </w:r>
      <w:r w:rsidR="00F704E8">
        <w:rPr>
          <w:sz w:val="26"/>
          <w:szCs w:val="26"/>
        </w:rPr>
        <w:t xml:space="preserve"> 1.25.  For all other Custom Program projects the </w:t>
      </w:r>
      <w:r w:rsidR="00376894">
        <w:rPr>
          <w:sz w:val="26"/>
          <w:szCs w:val="26"/>
        </w:rPr>
        <w:t xml:space="preserve">current </w:t>
      </w:r>
      <w:r w:rsidR="002A67FE">
        <w:rPr>
          <w:sz w:val="26"/>
          <w:szCs w:val="26"/>
        </w:rPr>
        <w:t xml:space="preserve">plan </w:t>
      </w:r>
      <w:r w:rsidR="00F704E8">
        <w:rPr>
          <w:sz w:val="26"/>
          <w:szCs w:val="26"/>
        </w:rPr>
        <w:t xml:space="preserve">minimum TRC </w:t>
      </w:r>
      <w:r w:rsidR="002A67FE">
        <w:rPr>
          <w:sz w:val="26"/>
          <w:szCs w:val="26"/>
        </w:rPr>
        <w:t>threshold is</w:t>
      </w:r>
      <w:r w:rsidR="00F704E8">
        <w:rPr>
          <w:sz w:val="26"/>
          <w:szCs w:val="26"/>
        </w:rPr>
        <w:t xml:space="preserve"> 1.10.  </w:t>
      </w:r>
      <w:r w:rsidR="00376894">
        <w:rPr>
          <w:sz w:val="26"/>
          <w:szCs w:val="26"/>
        </w:rPr>
        <w:t xml:space="preserve">PPL proposes </w:t>
      </w:r>
      <w:r w:rsidR="002A67FE">
        <w:rPr>
          <w:sz w:val="26"/>
          <w:szCs w:val="26"/>
        </w:rPr>
        <w:t xml:space="preserve">to remove these minimum TRC thresholds for the Custom Program with the flexibility to establish new minimum TRC thresholds on 30 </w:t>
      </w:r>
      <w:proofErr w:type="spellStart"/>
      <w:r w:rsidR="002A67FE">
        <w:rPr>
          <w:sz w:val="26"/>
          <w:szCs w:val="26"/>
        </w:rPr>
        <w:t>days notice</w:t>
      </w:r>
      <w:proofErr w:type="spellEnd"/>
      <w:r w:rsidR="002A67FE">
        <w:rPr>
          <w:sz w:val="26"/>
          <w:szCs w:val="26"/>
        </w:rPr>
        <w:t xml:space="preserve"> should </w:t>
      </w:r>
      <w:r w:rsidR="006355B9">
        <w:rPr>
          <w:sz w:val="26"/>
          <w:szCs w:val="26"/>
        </w:rPr>
        <w:t xml:space="preserve">such </w:t>
      </w:r>
      <w:r w:rsidR="00376894">
        <w:rPr>
          <w:sz w:val="26"/>
          <w:szCs w:val="26"/>
        </w:rPr>
        <w:t xml:space="preserve">a minimum TRC cost-effectiveness value be necessary to ensure that </w:t>
      </w:r>
      <w:r w:rsidR="006355B9">
        <w:rPr>
          <w:sz w:val="26"/>
          <w:szCs w:val="26"/>
        </w:rPr>
        <w:t xml:space="preserve">its EE&amp;C Plan portfolio TRC </w:t>
      </w:r>
      <w:r w:rsidR="00376894">
        <w:rPr>
          <w:sz w:val="26"/>
          <w:szCs w:val="26"/>
        </w:rPr>
        <w:t>remain</w:t>
      </w:r>
      <w:r w:rsidR="00652B60">
        <w:rPr>
          <w:sz w:val="26"/>
          <w:szCs w:val="26"/>
        </w:rPr>
        <w:t>s</w:t>
      </w:r>
      <w:r w:rsidR="00376894">
        <w:rPr>
          <w:sz w:val="26"/>
          <w:szCs w:val="26"/>
        </w:rPr>
        <w:t xml:space="preserve"> at a value greater than 1.0.  </w:t>
      </w:r>
    </w:p>
    <w:p w:rsidR="00646AD2" w:rsidRDefault="00646AD2" w:rsidP="00613E53">
      <w:pPr>
        <w:rPr>
          <w:sz w:val="26"/>
          <w:szCs w:val="26"/>
        </w:rPr>
      </w:pPr>
    </w:p>
    <w:p w:rsidR="00646AD2" w:rsidRDefault="00646AD2" w:rsidP="00613E53">
      <w:pPr>
        <w:rPr>
          <w:sz w:val="26"/>
          <w:szCs w:val="26"/>
        </w:rPr>
      </w:pPr>
      <w:r>
        <w:rPr>
          <w:sz w:val="26"/>
          <w:szCs w:val="26"/>
        </w:rPr>
        <w:tab/>
        <w:t>PPL asserts that the</w:t>
      </w:r>
      <w:r w:rsidR="00376894">
        <w:rPr>
          <w:sz w:val="26"/>
          <w:szCs w:val="26"/>
        </w:rPr>
        <w:t xml:space="preserve"> proposed change will neither </w:t>
      </w:r>
      <w:r w:rsidR="00C028AF">
        <w:rPr>
          <w:sz w:val="26"/>
          <w:szCs w:val="26"/>
        </w:rPr>
        <w:t xml:space="preserve">increase the overall costs to any customer class, nor change any budget, savings, or TRC values set forth in its Phase III EE&amp;C plan.  </w:t>
      </w:r>
      <w:r w:rsidR="00555C9E">
        <w:rPr>
          <w:sz w:val="26"/>
          <w:szCs w:val="26"/>
        </w:rPr>
        <w:tab/>
      </w:r>
      <w:r>
        <w:rPr>
          <w:sz w:val="26"/>
          <w:szCs w:val="26"/>
        </w:rPr>
        <w:t>PPL also asserts that the proposed change</w:t>
      </w:r>
      <w:r w:rsidR="000B5058">
        <w:rPr>
          <w:sz w:val="26"/>
          <w:szCs w:val="26"/>
        </w:rPr>
        <w:t xml:space="preserve"> meet</w:t>
      </w:r>
      <w:r>
        <w:rPr>
          <w:sz w:val="26"/>
          <w:szCs w:val="26"/>
        </w:rPr>
        <w:t>s</w:t>
      </w:r>
      <w:r w:rsidR="000B5058">
        <w:rPr>
          <w:sz w:val="26"/>
          <w:szCs w:val="26"/>
        </w:rPr>
        <w:t xml:space="preserve"> the definition of minor plan changes as delineated in the Expedited Process Order.  </w:t>
      </w:r>
    </w:p>
    <w:p w:rsidR="00303460" w:rsidRDefault="00303460" w:rsidP="00613E53">
      <w:pPr>
        <w:rPr>
          <w:sz w:val="26"/>
          <w:szCs w:val="26"/>
        </w:rPr>
      </w:pPr>
    </w:p>
    <w:p w:rsidR="0051505A" w:rsidRPr="0051505A" w:rsidRDefault="0051505A" w:rsidP="00613E53">
      <w:pPr>
        <w:rPr>
          <w:b/>
          <w:sz w:val="26"/>
          <w:szCs w:val="26"/>
        </w:rPr>
      </w:pPr>
      <w:r w:rsidRPr="0051505A">
        <w:rPr>
          <w:b/>
          <w:sz w:val="26"/>
          <w:szCs w:val="26"/>
        </w:rPr>
        <w:t>TRC and Cost Effectiveness</w:t>
      </w:r>
    </w:p>
    <w:p w:rsidR="00F921D5" w:rsidRDefault="00303460" w:rsidP="00613E53">
      <w:pPr>
        <w:rPr>
          <w:sz w:val="26"/>
          <w:szCs w:val="26"/>
        </w:rPr>
      </w:pPr>
      <w:r>
        <w:rPr>
          <w:sz w:val="26"/>
          <w:szCs w:val="26"/>
        </w:rPr>
        <w:tab/>
        <w:t xml:space="preserve">In its comments PPLICA and SEF recommend that PPL establish minimum TRC values for all custom projects </w:t>
      </w:r>
      <w:r w:rsidR="00523683">
        <w:rPr>
          <w:sz w:val="26"/>
          <w:szCs w:val="26"/>
        </w:rPr>
        <w:t>of not less than 1.0</w:t>
      </w:r>
      <w:r w:rsidR="002706F2">
        <w:rPr>
          <w:sz w:val="26"/>
          <w:szCs w:val="26"/>
        </w:rPr>
        <w:t>.</w:t>
      </w:r>
      <w:r w:rsidR="002706F2">
        <w:rPr>
          <w:rStyle w:val="FootnoteReference"/>
          <w:sz w:val="26"/>
          <w:szCs w:val="26"/>
        </w:rPr>
        <w:footnoteReference w:id="2"/>
      </w:r>
      <w:r w:rsidR="00523683">
        <w:rPr>
          <w:sz w:val="26"/>
          <w:szCs w:val="26"/>
        </w:rPr>
        <w:t xml:space="preserve">  </w:t>
      </w:r>
      <w:r w:rsidR="000B1BBF">
        <w:rPr>
          <w:sz w:val="26"/>
          <w:szCs w:val="26"/>
        </w:rPr>
        <w:t>PPLICA also commented that custom projects with a TRC value of less than 1 are not cost effective and should not be subsidized by other ratepayers.</w:t>
      </w:r>
      <w:r w:rsidR="000B1BBF">
        <w:rPr>
          <w:rStyle w:val="FootnoteReference"/>
          <w:sz w:val="26"/>
          <w:szCs w:val="26"/>
        </w:rPr>
        <w:footnoteReference w:id="3"/>
      </w:r>
      <w:r w:rsidR="000B1BBF">
        <w:rPr>
          <w:sz w:val="26"/>
          <w:szCs w:val="26"/>
        </w:rPr>
        <w:t xml:space="preserve">  PPL replies that the Commission only requires that the overall EE&amp;C Plan be cost-effective, not individual programs or measures.</w:t>
      </w:r>
      <w:r w:rsidR="000B1BBF">
        <w:rPr>
          <w:rStyle w:val="FootnoteReference"/>
          <w:sz w:val="26"/>
          <w:szCs w:val="26"/>
        </w:rPr>
        <w:footnoteReference w:id="4"/>
      </w:r>
      <w:r w:rsidR="000B1BBF">
        <w:rPr>
          <w:sz w:val="26"/>
          <w:szCs w:val="26"/>
        </w:rPr>
        <w:t xml:space="preserve">  Staff agrees with PPL.</w:t>
      </w:r>
      <w:r w:rsidR="00E83FD1" w:rsidRPr="00E83FD1">
        <w:rPr>
          <w:sz w:val="26"/>
          <w:szCs w:val="26"/>
        </w:rPr>
        <w:t xml:space="preserve"> </w:t>
      </w:r>
      <w:r w:rsidR="000B1BBF">
        <w:rPr>
          <w:sz w:val="26"/>
          <w:szCs w:val="26"/>
        </w:rPr>
        <w:t xml:space="preserve"> A</w:t>
      </w:r>
      <w:r w:rsidR="00E83FD1" w:rsidRPr="00E83FD1">
        <w:rPr>
          <w:sz w:val="26"/>
          <w:szCs w:val="26"/>
        </w:rPr>
        <w:t xml:space="preserve">s noted </w:t>
      </w:r>
      <w:r w:rsidR="00E83FD1">
        <w:rPr>
          <w:sz w:val="26"/>
          <w:szCs w:val="26"/>
        </w:rPr>
        <w:t xml:space="preserve">in </w:t>
      </w:r>
      <w:r w:rsidR="00E83FD1" w:rsidRPr="00E83FD1">
        <w:rPr>
          <w:sz w:val="26"/>
          <w:szCs w:val="26"/>
        </w:rPr>
        <w:t>the Phase III Energy Efficiency and Conservation Program Implementation Order (Implementation Order), Act 129 requires only that the EE&amp;C plan</w:t>
      </w:r>
      <w:r w:rsidR="00E83FD1">
        <w:rPr>
          <w:sz w:val="26"/>
          <w:szCs w:val="26"/>
        </w:rPr>
        <w:t xml:space="preserve">, in its entirety, </w:t>
      </w:r>
      <w:r w:rsidR="00E83FD1" w:rsidRPr="00E83FD1">
        <w:rPr>
          <w:sz w:val="26"/>
          <w:szCs w:val="26"/>
        </w:rPr>
        <w:t>meet a minimum TRC value of greater than 1.0.</w:t>
      </w:r>
      <w:r w:rsidR="00E83FD1">
        <w:rPr>
          <w:rStyle w:val="FootnoteReference"/>
          <w:sz w:val="26"/>
          <w:szCs w:val="26"/>
        </w:rPr>
        <w:footnoteReference w:id="5"/>
      </w:r>
      <w:r w:rsidR="00E83FD1" w:rsidRPr="00E83FD1">
        <w:rPr>
          <w:sz w:val="26"/>
          <w:szCs w:val="26"/>
        </w:rPr>
        <w:t xml:space="preserve">  </w:t>
      </w:r>
      <w:r w:rsidR="00E83FD1">
        <w:rPr>
          <w:sz w:val="26"/>
          <w:szCs w:val="26"/>
        </w:rPr>
        <w:t>Further confirmation of this is found</w:t>
      </w:r>
      <w:r w:rsidR="00E83FD1" w:rsidRPr="00E83FD1">
        <w:rPr>
          <w:sz w:val="26"/>
          <w:szCs w:val="26"/>
        </w:rPr>
        <w:t xml:space="preserve"> in </w:t>
      </w:r>
      <w:r w:rsidR="00A90198">
        <w:rPr>
          <w:sz w:val="26"/>
          <w:szCs w:val="26"/>
        </w:rPr>
        <w:t>the Act 129 Phase III TRC Order</w:t>
      </w:r>
      <w:r w:rsidR="00E83FD1" w:rsidRPr="00E83FD1">
        <w:rPr>
          <w:sz w:val="26"/>
          <w:szCs w:val="26"/>
        </w:rPr>
        <w:t xml:space="preserve"> that</w:t>
      </w:r>
      <w:r w:rsidR="00A90198">
        <w:rPr>
          <w:sz w:val="26"/>
          <w:szCs w:val="26"/>
        </w:rPr>
        <w:t xml:space="preserve"> states,</w:t>
      </w:r>
      <w:r w:rsidR="00E83FD1" w:rsidRPr="00E83FD1">
        <w:rPr>
          <w:sz w:val="26"/>
          <w:szCs w:val="26"/>
        </w:rPr>
        <w:t xml:space="preserve"> “</w:t>
      </w:r>
      <w:r w:rsidR="00A90198">
        <w:rPr>
          <w:sz w:val="26"/>
          <w:szCs w:val="26"/>
        </w:rPr>
        <w:t>…</w:t>
      </w:r>
      <w:r w:rsidR="00E83FD1" w:rsidRPr="00E83FD1">
        <w:rPr>
          <w:sz w:val="26"/>
          <w:szCs w:val="26"/>
        </w:rPr>
        <w:t xml:space="preserve">consistent with our determination in the </w:t>
      </w:r>
      <w:r w:rsidR="00E83FD1" w:rsidRPr="00E83FD1">
        <w:rPr>
          <w:i/>
          <w:sz w:val="26"/>
          <w:szCs w:val="26"/>
        </w:rPr>
        <w:t>2013 TRC Test Order</w:t>
      </w:r>
      <w:r w:rsidR="00E83FD1" w:rsidRPr="00E83FD1">
        <w:rPr>
          <w:sz w:val="26"/>
          <w:szCs w:val="26"/>
        </w:rPr>
        <w:t>, the Commission proposed to continue applying the TRC Test at the plan level and will continue to reserve the right to reject any program with a low TRC test ratio.”</w:t>
      </w:r>
      <w:r w:rsidR="00E83FD1">
        <w:rPr>
          <w:rStyle w:val="FootnoteReference"/>
          <w:sz w:val="26"/>
          <w:szCs w:val="26"/>
        </w:rPr>
        <w:footnoteReference w:id="6"/>
      </w:r>
      <w:r w:rsidR="00E83FD1" w:rsidRPr="00E83FD1">
        <w:rPr>
          <w:sz w:val="26"/>
          <w:szCs w:val="26"/>
        </w:rPr>
        <w:t xml:space="preserve">  </w:t>
      </w:r>
      <w:r w:rsidR="00592ADE">
        <w:rPr>
          <w:sz w:val="26"/>
          <w:szCs w:val="26"/>
        </w:rPr>
        <w:t>Furthermore, Staff finds it significant that no other program in PPL’s EE&amp;C Plan has a cost</w:t>
      </w:r>
      <w:r w:rsidR="00592ADE">
        <w:rPr>
          <w:sz w:val="26"/>
          <w:szCs w:val="26"/>
        </w:rPr>
        <w:noBreakHyphen/>
        <w:t>effectiveness threshold for any of its measures.</w:t>
      </w:r>
      <w:r w:rsidR="00592ADE">
        <w:rPr>
          <w:rStyle w:val="FootnoteReference"/>
          <w:sz w:val="26"/>
          <w:szCs w:val="26"/>
        </w:rPr>
        <w:footnoteReference w:id="7"/>
      </w:r>
      <w:r w:rsidR="00592ADE">
        <w:rPr>
          <w:sz w:val="26"/>
          <w:szCs w:val="26"/>
        </w:rPr>
        <w:t xml:space="preserve">  Finally, staff is persuaded by PPL’s position that eliminating the minimum TRC threshold </w:t>
      </w:r>
      <w:r w:rsidR="00A8066E">
        <w:rPr>
          <w:sz w:val="26"/>
          <w:szCs w:val="26"/>
        </w:rPr>
        <w:t>is likely to lower the program acquisition costs per kilowatt</w:t>
      </w:r>
      <w:r w:rsidR="00A8066E">
        <w:rPr>
          <w:sz w:val="26"/>
          <w:szCs w:val="26"/>
        </w:rPr>
        <w:noBreakHyphen/>
        <w:t>hours of annual energy savings.</w:t>
      </w:r>
      <w:r w:rsidR="00A8066E">
        <w:rPr>
          <w:rStyle w:val="FootnoteReference"/>
          <w:sz w:val="26"/>
          <w:szCs w:val="26"/>
        </w:rPr>
        <w:footnoteReference w:id="8"/>
      </w:r>
      <w:r w:rsidR="00A8066E">
        <w:rPr>
          <w:sz w:val="26"/>
          <w:szCs w:val="26"/>
        </w:rPr>
        <w:t xml:space="preserve">  </w:t>
      </w:r>
      <w:r w:rsidR="004A7D41">
        <w:rPr>
          <w:sz w:val="26"/>
          <w:szCs w:val="26"/>
        </w:rPr>
        <w:t xml:space="preserve">  </w:t>
      </w:r>
    </w:p>
    <w:p w:rsidR="00F921D5" w:rsidRDefault="00F921D5" w:rsidP="00613E53">
      <w:pPr>
        <w:rPr>
          <w:sz w:val="26"/>
          <w:szCs w:val="26"/>
        </w:rPr>
      </w:pPr>
    </w:p>
    <w:p w:rsidR="0051505A" w:rsidRPr="0051505A" w:rsidRDefault="0051505A" w:rsidP="00613E53">
      <w:pPr>
        <w:rPr>
          <w:b/>
          <w:sz w:val="26"/>
          <w:szCs w:val="26"/>
        </w:rPr>
      </w:pPr>
      <w:r w:rsidRPr="0051505A">
        <w:rPr>
          <w:b/>
          <w:sz w:val="26"/>
          <w:szCs w:val="26"/>
        </w:rPr>
        <w:t>Risk</w:t>
      </w:r>
      <w:r>
        <w:rPr>
          <w:b/>
          <w:sz w:val="26"/>
          <w:szCs w:val="26"/>
        </w:rPr>
        <w:t xml:space="preserve"> vs Flexibility</w:t>
      </w:r>
      <w:r w:rsidR="00F921D5" w:rsidRPr="0051505A">
        <w:rPr>
          <w:b/>
          <w:sz w:val="26"/>
          <w:szCs w:val="26"/>
        </w:rPr>
        <w:tab/>
      </w:r>
    </w:p>
    <w:p w:rsidR="00303460" w:rsidRDefault="0051505A" w:rsidP="00613E53">
      <w:pPr>
        <w:rPr>
          <w:sz w:val="26"/>
          <w:szCs w:val="26"/>
        </w:rPr>
      </w:pPr>
      <w:r>
        <w:rPr>
          <w:sz w:val="26"/>
          <w:szCs w:val="26"/>
        </w:rPr>
        <w:tab/>
      </w:r>
      <w:r w:rsidR="00F921D5">
        <w:rPr>
          <w:sz w:val="26"/>
          <w:szCs w:val="26"/>
        </w:rPr>
        <w:t>As noted by PPL in their petition, no other EDCs include minimum TRC values for custom projects.</w:t>
      </w:r>
      <w:r>
        <w:rPr>
          <w:rStyle w:val="FootnoteReference"/>
          <w:sz w:val="26"/>
          <w:szCs w:val="26"/>
        </w:rPr>
        <w:footnoteReference w:id="9"/>
      </w:r>
      <w:r w:rsidR="00F921D5">
        <w:rPr>
          <w:sz w:val="26"/>
          <w:szCs w:val="26"/>
        </w:rPr>
        <w:t xml:space="preserve">  </w:t>
      </w:r>
      <w:r>
        <w:rPr>
          <w:sz w:val="26"/>
          <w:szCs w:val="26"/>
        </w:rPr>
        <w:t>OSBA suggests that all EDCs should have minimum TRC thresholds.</w:t>
      </w:r>
      <w:r>
        <w:rPr>
          <w:rStyle w:val="FootnoteReference"/>
          <w:sz w:val="26"/>
          <w:szCs w:val="26"/>
        </w:rPr>
        <w:footnoteReference w:id="10"/>
      </w:r>
      <w:r>
        <w:rPr>
          <w:sz w:val="26"/>
          <w:szCs w:val="26"/>
        </w:rPr>
        <w:t xml:space="preserve">  </w:t>
      </w:r>
      <w:r w:rsidR="00492C49">
        <w:rPr>
          <w:sz w:val="26"/>
          <w:szCs w:val="26"/>
        </w:rPr>
        <w:t xml:space="preserve">PPL disagrees with this suggestion, offering that consistency across Pennsylvania helps to avoid any confusion for project development.  </w:t>
      </w:r>
      <w:r w:rsidR="00F921D5">
        <w:rPr>
          <w:sz w:val="26"/>
          <w:szCs w:val="26"/>
        </w:rPr>
        <w:t xml:space="preserve">Eliminating minimum TRC values </w:t>
      </w:r>
      <w:r w:rsidR="00492C49">
        <w:rPr>
          <w:sz w:val="26"/>
          <w:szCs w:val="26"/>
        </w:rPr>
        <w:t xml:space="preserve">will </w:t>
      </w:r>
      <w:r w:rsidR="00F921D5">
        <w:rPr>
          <w:sz w:val="26"/>
          <w:szCs w:val="26"/>
        </w:rPr>
        <w:t xml:space="preserve">provide PPL with greater flexibility with which to reach its </w:t>
      </w:r>
      <w:r w:rsidR="00492C49">
        <w:rPr>
          <w:sz w:val="26"/>
          <w:szCs w:val="26"/>
        </w:rPr>
        <w:t xml:space="preserve">established </w:t>
      </w:r>
      <w:r w:rsidR="00A8066E">
        <w:rPr>
          <w:sz w:val="26"/>
          <w:szCs w:val="26"/>
        </w:rPr>
        <w:t xml:space="preserve">Phase III </w:t>
      </w:r>
      <w:r w:rsidR="00F921D5">
        <w:rPr>
          <w:sz w:val="26"/>
          <w:szCs w:val="26"/>
        </w:rPr>
        <w:t>targets</w:t>
      </w:r>
      <w:r w:rsidR="0051626F">
        <w:rPr>
          <w:sz w:val="26"/>
          <w:szCs w:val="26"/>
        </w:rPr>
        <w:t xml:space="preserve">.  The elimination of minimum TRC values for Custom Program eligibility also introduces an elevated level of risk and responsibility that PPL must manage to ensure that it can adequately meet its Act 129 compliance targets.  That risk, however, is not expected to be any greater or different than that realized by all other EDCs that share similar compliance obligations under Act 129.  </w:t>
      </w:r>
      <w:r w:rsidR="000C250E">
        <w:rPr>
          <w:sz w:val="26"/>
          <w:szCs w:val="26"/>
        </w:rPr>
        <w:t xml:space="preserve">PPL accurately states in its </w:t>
      </w:r>
      <w:r w:rsidR="00A8066E">
        <w:rPr>
          <w:sz w:val="26"/>
          <w:szCs w:val="26"/>
        </w:rPr>
        <w:t>Reply C</w:t>
      </w:r>
      <w:r w:rsidR="000C250E">
        <w:rPr>
          <w:sz w:val="26"/>
          <w:szCs w:val="26"/>
        </w:rPr>
        <w:t>omments that it alone is responsible for any potential penalties for non-compliance and as such should have discretion to adjust its EE&amp;C plan</w:t>
      </w:r>
      <w:r w:rsidR="00427214">
        <w:rPr>
          <w:sz w:val="26"/>
          <w:szCs w:val="26"/>
        </w:rPr>
        <w:t>,</w:t>
      </w:r>
      <w:r w:rsidR="000C250E">
        <w:rPr>
          <w:sz w:val="26"/>
          <w:szCs w:val="26"/>
        </w:rPr>
        <w:t xml:space="preserve"> sufficient to meet its Act 129 obligations.</w:t>
      </w:r>
      <w:r w:rsidR="00427214">
        <w:rPr>
          <w:rStyle w:val="FootnoteReference"/>
          <w:sz w:val="26"/>
          <w:szCs w:val="26"/>
        </w:rPr>
        <w:footnoteReference w:id="11"/>
      </w:r>
    </w:p>
    <w:p w:rsidR="0051626F" w:rsidRDefault="0051626F" w:rsidP="00613E53">
      <w:pPr>
        <w:rPr>
          <w:sz w:val="26"/>
          <w:szCs w:val="26"/>
        </w:rPr>
      </w:pPr>
    </w:p>
    <w:p w:rsidR="00492C49" w:rsidRPr="00492C49" w:rsidRDefault="00492C49" w:rsidP="00CA596D">
      <w:pPr>
        <w:autoSpaceDE w:val="0"/>
        <w:autoSpaceDN w:val="0"/>
        <w:adjustRightInd w:val="0"/>
        <w:rPr>
          <w:b/>
          <w:sz w:val="26"/>
          <w:szCs w:val="26"/>
        </w:rPr>
      </w:pPr>
      <w:r w:rsidRPr="00492C49">
        <w:rPr>
          <w:b/>
          <w:sz w:val="26"/>
          <w:szCs w:val="26"/>
        </w:rPr>
        <w:t>Notification of Change</w:t>
      </w:r>
    </w:p>
    <w:p w:rsidR="0051626F" w:rsidRDefault="00492C49" w:rsidP="00CA596D">
      <w:pPr>
        <w:autoSpaceDE w:val="0"/>
        <w:autoSpaceDN w:val="0"/>
        <w:adjustRightInd w:val="0"/>
        <w:rPr>
          <w:sz w:val="26"/>
          <w:szCs w:val="26"/>
        </w:rPr>
      </w:pPr>
      <w:r>
        <w:rPr>
          <w:sz w:val="26"/>
          <w:szCs w:val="26"/>
        </w:rPr>
        <w:tab/>
        <w:t>It its petition, PPL offered</w:t>
      </w:r>
      <w:r w:rsidR="00EA13C5">
        <w:rPr>
          <w:sz w:val="26"/>
          <w:szCs w:val="26"/>
        </w:rPr>
        <w:t xml:space="preserve"> that if approved to eliminate consideration of any minimum TRC threshold, subject to need and based on ongoing analyses, it would provide stakeholders with a 30-day notice prior to the establishment of any subsequent minimum TRC threshold.</w:t>
      </w:r>
      <w:r w:rsidR="00EA13C5">
        <w:rPr>
          <w:rStyle w:val="FootnoteReference"/>
          <w:sz w:val="26"/>
          <w:szCs w:val="26"/>
        </w:rPr>
        <w:footnoteReference w:id="12"/>
      </w:r>
      <w:r w:rsidR="00EA13C5">
        <w:rPr>
          <w:sz w:val="26"/>
          <w:szCs w:val="26"/>
        </w:rPr>
        <w:t xml:space="preserve">  </w:t>
      </w:r>
      <w:r w:rsidR="00C029C7">
        <w:rPr>
          <w:sz w:val="26"/>
          <w:szCs w:val="26"/>
        </w:rPr>
        <w:t>Because of the significant time and resources to develop custom projects, t</w:t>
      </w:r>
      <w:r w:rsidR="00CA596D">
        <w:rPr>
          <w:sz w:val="26"/>
          <w:szCs w:val="26"/>
        </w:rPr>
        <w:t xml:space="preserve">he SEF </w:t>
      </w:r>
      <w:r w:rsidR="0014666D">
        <w:rPr>
          <w:sz w:val="26"/>
          <w:szCs w:val="26"/>
        </w:rPr>
        <w:t xml:space="preserve">suggests </w:t>
      </w:r>
      <w:r w:rsidR="00CA596D">
        <w:rPr>
          <w:sz w:val="26"/>
          <w:szCs w:val="26"/>
        </w:rPr>
        <w:t>that PPL</w:t>
      </w:r>
      <w:r w:rsidR="00C029C7">
        <w:rPr>
          <w:sz w:val="26"/>
          <w:szCs w:val="26"/>
        </w:rPr>
        <w:t xml:space="preserve"> change its notification period </w:t>
      </w:r>
      <w:r w:rsidR="00CA596D">
        <w:rPr>
          <w:sz w:val="26"/>
          <w:szCs w:val="26"/>
        </w:rPr>
        <w:t>to 90</w:t>
      </w:r>
      <w:r w:rsidR="00011579">
        <w:rPr>
          <w:sz w:val="26"/>
          <w:szCs w:val="26"/>
        </w:rPr>
        <w:t xml:space="preserve"> days.</w:t>
      </w:r>
      <w:r w:rsidR="00EA13C5">
        <w:rPr>
          <w:rStyle w:val="FootnoteReference"/>
          <w:sz w:val="26"/>
          <w:szCs w:val="26"/>
        </w:rPr>
        <w:footnoteReference w:id="13"/>
      </w:r>
      <w:r w:rsidR="00CA596D">
        <w:rPr>
          <w:sz w:val="26"/>
          <w:szCs w:val="26"/>
        </w:rPr>
        <w:t xml:space="preserve">  In its </w:t>
      </w:r>
      <w:r w:rsidR="00A57494">
        <w:rPr>
          <w:sz w:val="26"/>
          <w:szCs w:val="26"/>
        </w:rPr>
        <w:t xml:space="preserve">Reply Comments </w:t>
      </w:r>
      <w:r w:rsidR="00D07809">
        <w:rPr>
          <w:sz w:val="26"/>
          <w:szCs w:val="26"/>
        </w:rPr>
        <w:t xml:space="preserve">PPL </w:t>
      </w:r>
      <w:r w:rsidR="00A57494">
        <w:rPr>
          <w:sz w:val="26"/>
          <w:szCs w:val="26"/>
        </w:rPr>
        <w:t>agrees</w:t>
      </w:r>
      <w:r w:rsidR="00CA596D">
        <w:rPr>
          <w:sz w:val="26"/>
          <w:szCs w:val="26"/>
        </w:rPr>
        <w:t xml:space="preserve"> that changing the notification period from 30 days to 90 days </w:t>
      </w:r>
      <w:r w:rsidR="00A57494">
        <w:rPr>
          <w:sz w:val="26"/>
          <w:szCs w:val="26"/>
        </w:rPr>
        <w:t>will</w:t>
      </w:r>
      <w:r w:rsidR="00CA596D">
        <w:rPr>
          <w:sz w:val="26"/>
          <w:szCs w:val="26"/>
        </w:rPr>
        <w:t xml:space="preserve"> provid</w:t>
      </w:r>
      <w:r w:rsidR="001B2E6A">
        <w:rPr>
          <w:sz w:val="26"/>
          <w:szCs w:val="26"/>
        </w:rPr>
        <w:t>e</w:t>
      </w:r>
      <w:r w:rsidR="00CA596D">
        <w:rPr>
          <w:sz w:val="26"/>
          <w:szCs w:val="26"/>
        </w:rPr>
        <w:t xml:space="preserve"> potential customers more time to understand the minimum requirements before they submit applications</w:t>
      </w:r>
      <w:r w:rsidR="00C764C0">
        <w:rPr>
          <w:sz w:val="26"/>
          <w:szCs w:val="26"/>
        </w:rPr>
        <w:t xml:space="preserve"> </w:t>
      </w:r>
      <w:r w:rsidR="00A57494">
        <w:rPr>
          <w:sz w:val="26"/>
          <w:szCs w:val="26"/>
        </w:rPr>
        <w:t>to PPL</w:t>
      </w:r>
      <w:r w:rsidR="00CA596D">
        <w:rPr>
          <w:sz w:val="26"/>
          <w:szCs w:val="26"/>
        </w:rPr>
        <w:t>.</w:t>
      </w:r>
      <w:r w:rsidR="00A57494">
        <w:rPr>
          <w:rStyle w:val="FootnoteReference"/>
          <w:sz w:val="26"/>
          <w:szCs w:val="26"/>
        </w:rPr>
        <w:footnoteReference w:id="14"/>
      </w:r>
      <w:r w:rsidR="00C764C0">
        <w:rPr>
          <w:sz w:val="26"/>
          <w:szCs w:val="26"/>
        </w:rPr>
        <w:t xml:space="preserve">  </w:t>
      </w:r>
      <w:r w:rsidR="00A57494">
        <w:rPr>
          <w:sz w:val="26"/>
          <w:szCs w:val="26"/>
        </w:rPr>
        <w:t xml:space="preserve">Accordingly, PPL agrees to modify its proposed change by replacing the </w:t>
      </w:r>
      <w:r w:rsidR="001B2E6A">
        <w:rPr>
          <w:sz w:val="26"/>
          <w:szCs w:val="26"/>
        </w:rPr>
        <w:t>3</w:t>
      </w:r>
      <w:r w:rsidR="00A57494">
        <w:rPr>
          <w:sz w:val="26"/>
          <w:szCs w:val="26"/>
        </w:rPr>
        <w:t>0 day notice with a 90 day notice</w:t>
      </w:r>
      <w:r w:rsidR="00A00FBE">
        <w:rPr>
          <w:sz w:val="26"/>
          <w:szCs w:val="26"/>
        </w:rPr>
        <w:t>.</w:t>
      </w:r>
      <w:r w:rsidR="00A57494">
        <w:rPr>
          <w:rStyle w:val="FootnoteReference"/>
          <w:sz w:val="26"/>
          <w:szCs w:val="26"/>
        </w:rPr>
        <w:footnoteReference w:id="15"/>
      </w:r>
    </w:p>
    <w:p w:rsidR="00A00FBE" w:rsidRDefault="00A00FBE" w:rsidP="00CA596D">
      <w:pPr>
        <w:autoSpaceDE w:val="0"/>
        <w:autoSpaceDN w:val="0"/>
        <w:adjustRightInd w:val="0"/>
        <w:rPr>
          <w:sz w:val="26"/>
          <w:szCs w:val="26"/>
        </w:rPr>
      </w:pPr>
    </w:p>
    <w:p w:rsidR="00A00FBE" w:rsidRPr="0044549C" w:rsidRDefault="00A00FBE" w:rsidP="00CA596D">
      <w:pPr>
        <w:autoSpaceDE w:val="0"/>
        <w:autoSpaceDN w:val="0"/>
        <w:adjustRightInd w:val="0"/>
        <w:rPr>
          <w:b/>
          <w:sz w:val="26"/>
          <w:szCs w:val="26"/>
        </w:rPr>
      </w:pPr>
      <w:r>
        <w:rPr>
          <w:sz w:val="26"/>
          <w:szCs w:val="26"/>
        </w:rPr>
        <w:tab/>
      </w:r>
      <w:r w:rsidR="0044549C" w:rsidRPr="0044549C">
        <w:rPr>
          <w:b/>
          <w:sz w:val="26"/>
          <w:szCs w:val="26"/>
        </w:rPr>
        <w:t>Budget and Savings</w:t>
      </w:r>
    </w:p>
    <w:p w:rsidR="00B455AA" w:rsidRDefault="00427214" w:rsidP="00B128C5">
      <w:pPr>
        <w:ind w:firstLine="720"/>
        <w:rPr>
          <w:sz w:val="26"/>
          <w:szCs w:val="26"/>
        </w:rPr>
      </w:pPr>
      <w:r>
        <w:rPr>
          <w:sz w:val="26"/>
          <w:szCs w:val="26"/>
        </w:rPr>
        <w:t>OSBA suggests that lowering or eliminating minimum TRC thresholds for the Custom Program will negatively affect all quantitative aspects of PPL’s EE&amp;C plan.</w:t>
      </w:r>
      <w:r w:rsidR="00EF4DB6">
        <w:rPr>
          <w:rStyle w:val="FootnoteReference"/>
          <w:sz w:val="26"/>
          <w:szCs w:val="26"/>
        </w:rPr>
        <w:footnoteReference w:id="16"/>
      </w:r>
      <w:r w:rsidR="00EF4DB6">
        <w:rPr>
          <w:sz w:val="26"/>
          <w:szCs w:val="26"/>
        </w:rPr>
        <w:t xml:space="preserve">  PPL affirms that the proposed change only allows consideration for additional projects </w:t>
      </w:r>
      <w:r w:rsidR="00EF4DB6">
        <w:rPr>
          <w:sz w:val="26"/>
          <w:szCs w:val="26"/>
        </w:rPr>
        <w:lastRenderedPageBreak/>
        <w:t>that otherwise would be excluded from eligibility.</w:t>
      </w:r>
      <w:r w:rsidR="00EF4DB6">
        <w:rPr>
          <w:rStyle w:val="FootnoteReference"/>
          <w:sz w:val="26"/>
          <w:szCs w:val="26"/>
        </w:rPr>
        <w:footnoteReference w:id="17"/>
      </w:r>
      <w:r>
        <w:rPr>
          <w:sz w:val="26"/>
          <w:szCs w:val="26"/>
        </w:rPr>
        <w:t xml:space="preserve">  </w:t>
      </w:r>
      <w:r w:rsidR="00EF4DB6">
        <w:rPr>
          <w:sz w:val="26"/>
          <w:szCs w:val="26"/>
        </w:rPr>
        <w:t>PPL has not proposed to transfer any funds to or from any programs and has not proposed changes for any incentives.</w:t>
      </w:r>
    </w:p>
    <w:p w:rsidR="0044549C" w:rsidRDefault="0044549C" w:rsidP="00B128C5">
      <w:pPr>
        <w:ind w:firstLine="720"/>
        <w:rPr>
          <w:sz w:val="26"/>
          <w:szCs w:val="26"/>
        </w:rPr>
      </w:pPr>
    </w:p>
    <w:p w:rsidR="003459C3" w:rsidRPr="003459C3" w:rsidRDefault="003459C3" w:rsidP="00B128C5">
      <w:pPr>
        <w:ind w:firstLine="720"/>
        <w:rPr>
          <w:b/>
          <w:sz w:val="26"/>
          <w:szCs w:val="26"/>
        </w:rPr>
      </w:pPr>
      <w:r w:rsidRPr="003459C3">
        <w:rPr>
          <w:b/>
          <w:sz w:val="26"/>
          <w:szCs w:val="26"/>
        </w:rPr>
        <w:t>Conclusion</w:t>
      </w:r>
    </w:p>
    <w:p w:rsidR="0044549C" w:rsidRDefault="003459C3" w:rsidP="00B128C5">
      <w:pPr>
        <w:ind w:firstLine="720"/>
        <w:rPr>
          <w:sz w:val="26"/>
          <w:szCs w:val="26"/>
        </w:rPr>
      </w:pPr>
      <w:r>
        <w:rPr>
          <w:sz w:val="26"/>
          <w:szCs w:val="26"/>
        </w:rPr>
        <w:t xml:space="preserve">In view of the above, the Staff has determined that the </w:t>
      </w:r>
      <w:r w:rsidR="00A44B21" w:rsidRPr="00A44B21">
        <w:rPr>
          <w:i/>
          <w:sz w:val="26"/>
          <w:szCs w:val="26"/>
        </w:rPr>
        <w:t>Petition of PPL Electric Utilities Corporation for Approval of its Act 129 Phase III Energy Efficiency and Conservation Plan</w:t>
      </w:r>
      <w:r>
        <w:rPr>
          <w:sz w:val="26"/>
          <w:szCs w:val="26"/>
        </w:rPr>
        <w:t>,</w:t>
      </w:r>
      <w:r w:rsidRPr="00496952">
        <w:rPr>
          <w:sz w:val="26"/>
          <w:szCs w:val="26"/>
        </w:rPr>
        <w:t xml:space="preserve"> </w:t>
      </w:r>
      <w:r>
        <w:rPr>
          <w:sz w:val="26"/>
          <w:szCs w:val="26"/>
        </w:rPr>
        <w:t xml:space="preserve">filed on </w:t>
      </w:r>
      <w:r w:rsidR="00A44B21">
        <w:rPr>
          <w:sz w:val="26"/>
          <w:szCs w:val="26"/>
        </w:rPr>
        <w:t>September 21</w:t>
      </w:r>
      <w:r>
        <w:rPr>
          <w:sz w:val="26"/>
          <w:szCs w:val="26"/>
        </w:rPr>
        <w:t>, 201</w:t>
      </w:r>
      <w:r w:rsidR="00A44B21">
        <w:rPr>
          <w:sz w:val="26"/>
          <w:szCs w:val="26"/>
        </w:rPr>
        <w:t>6</w:t>
      </w:r>
      <w:r>
        <w:rPr>
          <w:sz w:val="26"/>
          <w:szCs w:val="26"/>
        </w:rPr>
        <w:t xml:space="preserve">, at </w:t>
      </w:r>
      <w:r w:rsidRPr="00496952">
        <w:rPr>
          <w:sz w:val="26"/>
          <w:szCs w:val="26"/>
        </w:rPr>
        <w:t xml:space="preserve">Docket No. </w:t>
      </w:r>
      <w:r w:rsidR="00A44B21" w:rsidRPr="00A44B21">
        <w:rPr>
          <w:sz w:val="26"/>
          <w:szCs w:val="26"/>
        </w:rPr>
        <w:t>M-2015-2515642</w:t>
      </w:r>
      <w:r>
        <w:rPr>
          <w:sz w:val="26"/>
          <w:szCs w:val="26"/>
        </w:rPr>
        <w:t xml:space="preserve">, as modified by </w:t>
      </w:r>
      <w:r w:rsidR="00A44B21">
        <w:rPr>
          <w:sz w:val="26"/>
          <w:szCs w:val="26"/>
        </w:rPr>
        <w:t>PPL</w:t>
      </w:r>
      <w:r>
        <w:rPr>
          <w:sz w:val="26"/>
          <w:szCs w:val="26"/>
        </w:rPr>
        <w:t xml:space="preserve"> in its Reply Comments,</w:t>
      </w:r>
      <w:r>
        <w:rPr>
          <w:rStyle w:val="FootnoteReference"/>
          <w:sz w:val="26"/>
          <w:szCs w:val="26"/>
        </w:rPr>
        <w:footnoteReference w:id="18"/>
      </w:r>
      <w:r>
        <w:rPr>
          <w:sz w:val="26"/>
          <w:szCs w:val="26"/>
        </w:rPr>
        <w:t xml:space="preserve"> satisfies the requirements of Act 129 and the prior related Orders of the Commission.  Staff finds that the minor changes proposed in the Petition, as modified by </w:t>
      </w:r>
      <w:r w:rsidR="00A44B21">
        <w:rPr>
          <w:sz w:val="26"/>
          <w:szCs w:val="26"/>
        </w:rPr>
        <w:t>PPL</w:t>
      </w:r>
      <w:r>
        <w:rPr>
          <w:sz w:val="26"/>
          <w:szCs w:val="26"/>
        </w:rPr>
        <w:t xml:space="preserve">, should enable </w:t>
      </w:r>
      <w:r w:rsidR="00A44B21">
        <w:rPr>
          <w:sz w:val="26"/>
          <w:szCs w:val="26"/>
        </w:rPr>
        <w:t>PPL</w:t>
      </w:r>
      <w:r>
        <w:rPr>
          <w:sz w:val="26"/>
          <w:szCs w:val="26"/>
        </w:rPr>
        <w:t xml:space="preserve"> to meet or exceed the energy consumption and demand reduction requirements of Act 129 in a cost-effective manner.  Therefore, Staff finds that the </w:t>
      </w:r>
      <w:r w:rsidR="00A44B21">
        <w:rPr>
          <w:sz w:val="26"/>
          <w:szCs w:val="26"/>
        </w:rPr>
        <w:t>September 21, 2016</w:t>
      </w:r>
      <w:r>
        <w:rPr>
          <w:sz w:val="26"/>
          <w:szCs w:val="26"/>
        </w:rPr>
        <w:t xml:space="preserve">, minor changes, as modified by </w:t>
      </w:r>
      <w:r w:rsidR="00A57494">
        <w:rPr>
          <w:sz w:val="26"/>
          <w:szCs w:val="26"/>
        </w:rPr>
        <w:t>PPL in its Reply Comments</w:t>
      </w:r>
      <w:r>
        <w:rPr>
          <w:sz w:val="26"/>
          <w:szCs w:val="26"/>
        </w:rPr>
        <w:t xml:space="preserve">, </w:t>
      </w:r>
      <w:r w:rsidR="001B2E6A">
        <w:rPr>
          <w:sz w:val="26"/>
          <w:szCs w:val="26"/>
        </w:rPr>
        <w:t>are</w:t>
      </w:r>
      <w:r w:rsidR="00A57494">
        <w:rPr>
          <w:sz w:val="26"/>
          <w:szCs w:val="26"/>
        </w:rPr>
        <w:t xml:space="preserve"> </w:t>
      </w:r>
      <w:r>
        <w:rPr>
          <w:sz w:val="26"/>
          <w:szCs w:val="26"/>
        </w:rPr>
        <w:t xml:space="preserve">approved.   </w:t>
      </w:r>
      <w:r w:rsidR="00A44B21">
        <w:rPr>
          <w:sz w:val="26"/>
          <w:szCs w:val="26"/>
        </w:rPr>
        <w:t>PPL</w:t>
      </w:r>
      <w:r>
        <w:rPr>
          <w:sz w:val="26"/>
          <w:szCs w:val="26"/>
        </w:rPr>
        <w:t xml:space="preserve"> is directed to file with the Secretary a revised plan, consistent with this Secretarial Letter, within 30 days of the date of this Letter and post same on its website.</w:t>
      </w:r>
    </w:p>
    <w:p w:rsidR="003459C3" w:rsidRDefault="003459C3" w:rsidP="00B128C5">
      <w:pPr>
        <w:ind w:firstLine="720"/>
        <w:rPr>
          <w:sz w:val="26"/>
          <w:szCs w:val="26"/>
        </w:rPr>
      </w:pPr>
    </w:p>
    <w:p w:rsidR="007F54EA" w:rsidRDefault="007F54EA" w:rsidP="00613E53">
      <w:pPr>
        <w:rPr>
          <w:sz w:val="26"/>
          <w:szCs w:val="26"/>
        </w:rPr>
      </w:pPr>
      <w:r>
        <w:rPr>
          <w:sz w:val="26"/>
          <w:szCs w:val="26"/>
        </w:rPr>
        <w:tab/>
      </w:r>
      <w:r w:rsidR="007970AD">
        <w:rPr>
          <w:sz w:val="26"/>
          <w:szCs w:val="26"/>
        </w:rPr>
        <w:t xml:space="preserve">As directed in the Commission’s </w:t>
      </w:r>
      <w:r w:rsidR="009C69A9">
        <w:rPr>
          <w:sz w:val="26"/>
          <w:szCs w:val="26"/>
        </w:rPr>
        <w:t>Expedited Process Order</w:t>
      </w:r>
      <w:r w:rsidR="007970AD">
        <w:rPr>
          <w:sz w:val="26"/>
          <w:szCs w:val="26"/>
        </w:rPr>
        <w:t>, p</w:t>
      </w:r>
      <w:r>
        <w:rPr>
          <w:sz w:val="26"/>
          <w:szCs w:val="26"/>
        </w:rPr>
        <w:t xml:space="preserve">etitions for appeal from </w:t>
      </w:r>
      <w:r w:rsidR="00AC1CC4">
        <w:rPr>
          <w:sz w:val="26"/>
          <w:szCs w:val="26"/>
        </w:rPr>
        <w:t>this S</w:t>
      </w:r>
      <w:r>
        <w:rPr>
          <w:sz w:val="26"/>
          <w:szCs w:val="26"/>
        </w:rPr>
        <w:t xml:space="preserve">taff </w:t>
      </w:r>
      <w:r w:rsidR="00AC1CC4">
        <w:rPr>
          <w:sz w:val="26"/>
          <w:szCs w:val="26"/>
        </w:rPr>
        <w:t xml:space="preserve">action </w:t>
      </w:r>
      <w:r>
        <w:rPr>
          <w:sz w:val="26"/>
          <w:szCs w:val="26"/>
        </w:rPr>
        <w:t>m</w:t>
      </w:r>
      <w:r w:rsidR="00AC1CC4">
        <w:rPr>
          <w:sz w:val="26"/>
          <w:szCs w:val="26"/>
        </w:rPr>
        <w:t>ust</w:t>
      </w:r>
      <w:r>
        <w:rPr>
          <w:sz w:val="26"/>
          <w:szCs w:val="26"/>
        </w:rPr>
        <w:t xml:space="preserve"> be filed within ten (10) days</w:t>
      </w:r>
      <w:r w:rsidR="00934FA5">
        <w:rPr>
          <w:sz w:val="26"/>
          <w:szCs w:val="26"/>
        </w:rPr>
        <w:t xml:space="preserve"> after service of this Secretarial Letter in accordance with 52 Pa. Code § 5.44.</w:t>
      </w:r>
      <w:r w:rsidR="00AC1CC4">
        <w:rPr>
          <w:rStyle w:val="FootnoteReference"/>
          <w:sz w:val="26"/>
          <w:szCs w:val="26"/>
        </w:rPr>
        <w:footnoteReference w:id="19"/>
      </w:r>
    </w:p>
    <w:p w:rsidR="00AA0478" w:rsidRDefault="00AA0478" w:rsidP="00613E53">
      <w:pPr>
        <w:rPr>
          <w:sz w:val="26"/>
          <w:szCs w:val="26"/>
        </w:rPr>
      </w:pPr>
    </w:p>
    <w:p w:rsidR="006244F7" w:rsidRDefault="007D08D4" w:rsidP="00613E53">
      <w:pPr>
        <w:rPr>
          <w:sz w:val="26"/>
          <w:szCs w:val="26"/>
        </w:rPr>
      </w:pPr>
      <w:r>
        <w:rPr>
          <w:noProof/>
        </w:rPr>
        <w:drawing>
          <wp:anchor distT="0" distB="0" distL="114300" distR="114300" simplePos="0" relativeHeight="251659264" behindDoc="1" locked="0" layoutInCell="1" allowOverlap="1" wp14:anchorId="00D26243" wp14:editId="221044DC">
            <wp:simplePos x="0" y="0"/>
            <wp:positionH relativeFrom="column">
              <wp:posOffset>3533775</wp:posOffset>
            </wp:positionH>
            <wp:positionV relativeFrom="paragraph">
              <wp:posOffset>146685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AA0478">
        <w:rPr>
          <w:sz w:val="26"/>
          <w:szCs w:val="26"/>
        </w:rPr>
        <w:tab/>
      </w:r>
    </w:p>
    <w:p w:rsidR="006244F7" w:rsidRDefault="006244F7" w:rsidP="00613E53">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Sincerely,</w:t>
      </w:r>
    </w:p>
    <w:p w:rsidR="006244F7" w:rsidRDefault="007D08D4" w:rsidP="007D08D4">
      <w:pPr>
        <w:tabs>
          <w:tab w:val="left" w:pos="6045"/>
        </w:tabs>
        <w:rPr>
          <w:sz w:val="26"/>
          <w:szCs w:val="26"/>
        </w:rPr>
      </w:pPr>
      <w:r>
        <w:rPr>
          <w:sz w:val="26"/>
          <w:szCs w:val="26"/>
        </w:rPr>
        <w:tab/>
      </w:r>
      <w:bookmarkStart w:id="0" w:name="_GoBack"/>
      <w:bookmarkEnd w:id="0"/>
    </w:p>
    <w:p w:rsidR="004970EA" w:rsidRDefault="004970EA" w:rsidP="00613E53">
      <w:pPr>
        <w:rPr>
          <w:sz w:val="26"/>
          <w:szCs w:val="26"/>
        </w:rPr>
      </w:pPr>
    </w:p>
    <w:p w:rsidR="006244F7" w:rsidRDefault="006244F7" w:rsidP="00613E53">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Rosemary Chiavetta</w:t>
      </w:r>
    </w:p>
    <w:p w:rsidR="006244F7" w:rsidRDefault="006244F7" w:rsidP="00613E53">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Secretary</w:t>
      </w:r>
    </w:p>
    <w:p w:rsidR="00F05679" w:rsidRDefault="00F05679" w:rsidP="00613E53">
      <w:pPr>
        <w:rPr>
          <w:sz w:val="26"/>
          <w:szCs w:val="26"/>
        </w:rPr>
      </w:pPr>
    </w:p>
    <w:p w:rsidR="00F05679" w:rsidRDefault="00F05679" w:rsidP="00613E53">
      <w:pPr>
        <w:rPr>
          <w:sz w:val="26"/>
          <w:szCs w:val="26"/>
        </w:rPr>
      </w:pPr>
    </w:p>
    <w:p w:rsidR="00E24543" w:rsidRDefault="00934FA5" w:rsidP="00613E53">
      <w:pPr>
        <w:rPr>
          <w:sz w:val="26"/>
          <w:szCs w:val="26"/>
        </w:rPr>
      </w:pPr>
      <w:r>
        <w:rPr>
          <w:sz w:val="26"/>
          <w:szCs w:val="26"/>
        </w:rPr>
        <w:t>cc:</w:t>
      </w:r>
      <w:r w:rsidR="00E552A9">
        <w:rPr>
          <w:sz w:val="26"/>
          <w:szCs w:val="26"/>
        </w:rPr>
        <w:tab/>
      </w:r>
      <w:r w:rsidR="00E24543">
        <w:rPr>
          <w:sz w:val="26"/>
          <w:szCs w:val="26"/>
        </w:rPr>
        <w:t>Chairman</w:t>
      </w:r>
      <w:r w:rsidR="00C51F51">
        <w:rPr>
          <w:sz w:val="26"/>
          <w:szCs w:val="26"/>
        </w:rPr>
        <w:t xml:space="preserve"> </w:t>
      </w:r>
      <w:r w:rsidR="001F27E0">
        <w:rPr>
          <w:sz w:val="26"/>
          <w:szCs w:val="26"/>
        </w:rPr>
        <w:t>Brown</w:t>
      </w:r>
    </w:p>
    <w:p w:rsidR="00E24543" w:rsidRDefault="00E24543" w:rsidP="00613E53">
      <w:pPr>
        <w:rPr>
          <w:sz w:val="26"/>
          <w:szCs w:val="26"/>
        </w:rPr>
      </w:pPr>
      <w:r>
        <w:rPr>
          <w:sz w:val="26"/>
          <w:szCs w:val="26"/>
        </w:rPr>
        <w:tab/>
        <w:t>Vice Chairman</w:t>
      </w:r>
      <w:r w:rsidR="00C51F51">
        <w:rPr>
          <w:sz w:val="26"/>
          <w:szCs w:val="26"/>
        </w:rPr>
        <w:t xml:space="preserve"> </w:t>
      </w:r>
      <w:r w:rsidR="001F27E0">
        <w:rPr>
          <w:sz w:val="26"/>
          <w:szCs w:val="26"/>
        </w:rPr>
        <w:t>Place</w:t>
      </w:r>
    </w:p>
    <w:p w:rsidR="00E24543" w:rsidRDefault="00E24543" w:rsidP="00613E53">
      <w:pPr>
        <w:rPr>
          <w:sz w:val="26"/>
          <w:szCs w:val="26"/>
        </w:rPr>
      </w:pPr>
      <w:r>
        <w:rPr>
          <w:sz w:val="26"/>
          <w:szCs w:val="26"/>
        </w:rPr>
        <w:tab/>
      </w:r>
      <w:r w:rsidR="00C51F51">
        <w:rPr>
          <w:sz w:val="26"/>
          <w:szCs w:val="26"/>
        </w:rPr>
        <w:t xml:space="preserve">Commissioner </w:t>
      </w:r>
      <w:r w:rsidR="00A44B21">
        <w:rPr>
          <w:sz w:val="26"/>
          <w:szCs w:val="26"/>
        </w:rPr>
        <w:t>Sweet</w:t>
      </w:r>
    </w:p>
    <w:p w:rsidR="00E24543" w:rsidRDefault="00E24543" w:rsidP="00613E53">
      <w:pPr>
        <w:rPr>
          <w:sz w:val="26"/>
          <w:szCs w:val="26"/>
        </w:rPr>
      </w:pPr>
      <w:r>
        <w:rPr>
          <w:sz w:val="26"/>
          <w:szCs w:val="26"/>
        </w:rPr>
        <w:tab/>
      </w:r>
      <w:r w:rsidR="00A44B21">
        <w:rPr>
          <w:sz w:val="26"/>
          <w:szCs w:val="26"/>
        </w:rPr>
        <w:t>Commissioner Coleman</w:t>
      </w:r>
    </w:p>
    <w:p w:rsidR="00E24543" w:rsidRDefault="00E24543" w:rsidP="00613E53">
      <w:pPr>
        <w:rPr>
          <w:sz w:val="26"/>
          <w:szCs w:val="26"/>
        </w:rPr>
      </w:pPr>
      <w:r>
        <w:rPr>
          <w:sz w:val="26"/>
          <w:szCs w:val="26"/>
        </w:rPr>
        <w:tab/>
      </w:r>
      <w:r w:rsidR="00C51F51">
        <w:rPr>
          <w:sz w:val="26"/>
          <w:szCs w:val="26"/>
        </w:rPr>
        <w:t>Commiss</w:t>
      </w:r>
      <w:r w:rsidR="00A44B21">
        <w:rPr>
          <w:sz w:val="26"/>
          <w:szCs w:val="26"/>
        </w:rPr>
        <w:t>ioner Powelson</w:t>
      </w:r>
    </w:p>
    <w:p w:rsidR="00D63B56" w:rsidRDefault="008F5FAF" w:rsidP="009C69A9">
      <w:pPr>
        <w:ind w:firstLine="720"/>
        <w:rPr>
          <w:sz w:val="26"/>
          <w:szCs w:val="26"/>
        </w:rPr>
      </w:pPr>
      <w:r>
        <w:rPr>
          <w:sz w:val="26"/>
          <w:szCs w:val="26"/>
        </w:rPr>
        <w:t>Parties of Record</w:t>
      </w:r>
    </w:p>
    <w:p w:rsidR="009C69A9" w:rsidRDefault="00F05679" w:rsidP="00613E53">
      <w:pPr>
        <w:rPr>
          <w:sz w:val="26"/>
          <w:szCs w:val="26"/>
        </w:rPr>
      </w:pPr>
      <w:r>
        <w:rPr>
          <w:sz w:val="26"/>
          <w:szCs w:val="26"/>
        </w:rPr>
        <w:tab/>
      </w:r>
      <w:r w:rsidR="009C69A9">
        <w:rPr>
          <w:sz w:val="26"/>
          <w:szCs w:val="26"/>
        </w:rPr>
        <w:t xml:space="preserve">Paul Diskin, </w:t>
      </w:r>
      <w:r w:rsidR="002604D4">
        <w:rPr>
          <w:sz w:val="26"/>
          <w:szCs w:val="26"/>
        </w:rPr>
        <w:t>TUS</w:t>
      </w:r>
    </w:p>
    <w:p w:rsidR="009C69A9" w:rsidRDefault="009C69A9" w:rsidP="00613E53">
      <w:pPr>
        <w:rPr>
          <w:sz w:val="26"/>
          <w:szCs w:val="26"/>
        </w:rPr>
      </w:pPr>
      <w:r>
        <w:rPr>
          <w:sz w:val="26"/>
          <w:szCs w:val="26"/>
        </w:rPr>
        <w:tab/>
        <w:t>Darren Gill, TUS</w:t>
      </w:r>
    </w:p>
    <w:p w:rsidR="00BC50FE" w:rsidRDefault="00BC50FE" w:rsidP="00613E53">
      <w:pPr>
        <w:rPr>
          <w:sz w:val="26"/>
          <w:szCs w:val="26"/>
        </w:rPr>
      </w:pPr>
      <w:r>
        <w:rPr>
          <w:sz w:val="26"/>
          <w:szCs w:val="26"/>
        </w:rPr>
        <w:tab/>
        <w:t>Joseph Sherrick, TUS</w:t>
      </w:r>
    </w:p>
    <w:p w:rsidR="00E552A9" w:rsidRDefault="00E552A9" w:rsidP="00613E53">
      <w:pPr>
        <w:rPr>
          <w:sz w:val="26"/>
          <w:szCs w:val="26"/>
        </w:rPr>
      </w:pPr>
      <w:r>
        <w:rPr>
          <w:sz w:val="26"/>
          <w:szCs w:val="26"/>
        </w:rPr>
        <w:tab/>
        <w:t>Kris</w:t>
      </w:r>
      <w:r w:rsidR="00F05679">
        <w:rPr>
          <w:sz w:val="26"/>
          <w:szCs w:val="26"/>
        </w:rPr>
        <w:t>s</w:t>
      </w:r>
      <w:r>
        <w:rPr>
          <w:sz w:val="26"/>
          <w:szCs w:val="26"/>
        </w:rPr>
        <w:t xml:space="preserve"> Brown, </w:t>
      </w:r>
      <w:r w:rsidR="009C69A9">
        <w:rPr>
          <w:sz w:val="26"/>
          <w:szCs w:val="26"/>
        </w:rPr>
        <w:t>LAW</w:t>
      </w:r>
    </w:p>
    <w:p w:rsidR="00A04914" w:rsidRDefault="00A04914" w:rsidP="00613E53">
      <w:pPr>
        <w:rPr>
          <w:sz w:val="26"/>
          <w:szCs w:val="26"/>
        </w:rPr>
      </w:pPr>
      <w:r>
        <w:rPr>
          <w:sz w:val="26"/>
          <w:szCs w:val="26"/>
        </w:rPr>
        <w:tab/>
        <w:t>Cheryl Walker Davis, OSA</w:t>
      </w:r>
    </w:p>
    <w:p w:rsidR="00F05679" w:rsidRPr="000B1BA6" w:rsidRDefault="008F5FAF" w:rsidP="00613E53">
      <w:pPr>
        <w:rPr>
          <w:sz w:val="26"/>
          <w:szCs w:val="26"/>
        </w:rPr>
      </w:pPr>
      <w:r>
        <w:rPr>
          <w:sz w:val="26"/>
          <w:szCs w:val="26"/>
        </w:rPr>
        <w:tab/>
      </w:r>
      <w:r w:rsidR="00C51F51">
        <w:rPr>
          <w:sz w:val="26"/>
          <w:szCs w:val="26"/>
        </w:rPr>
        <w:t>Jonathan Nase, OSA</w:t>
      </w:r>
    </w:p>
    <w:sectPr w:rsidR="00F05679" w:rsidRPr="000B1BA6" w:rsidSect="00F805DC">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B60" w:rsidRDefault="00652B60">
      <w:r>
        <w:separator/>
      </w:r>
    </w:p>
  </w:endnote>
  <w:endnote w:type="continuationSeparator" w:id="0">
    <w:p w:rsidR="00652B60" w:rsidRDefault="00652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939641"/>
      <w:docPartObj>
        <w:docPartGallery w:val="Page Numbers (Bottom of Page)"/>
        <w:docPartUnique/>
      </w:docPartObj>
    </w:sdtPr>
    <w:sdtEndPr/>
    <w:sdtContent>
      <w:p w:rsidR="00652B60" w:rsidRDefault="00652B60">
        <w:pPr>
          <w:pStyle w:val="Footer"/>
          <w:jc w:val="center"/>
        </w:pPr>
        <w:r>
          <w:fldChar w:fldCharType="begin"/>
        </w:r>
        <w:r>
          <w:instrText xml:space="preserve"> PAGE   \* MERGEFORMAT </w:instrText>
        </w:r>
        <w:r>
          <w:fldChar w:fldCharType="separate"/>
        </w:r>
        <w:r w:rsidR="007D08D4">
          <w:rPr>
            <w:noProof/>
          </w:rPr>
          <w:t>2</w:t>
        </w:r>
        <w:r>
          <w:rPr>
            <w:noProof/>
          </w:rPr>
          <w:fldChar w:fldCharType="end"/>
        </w:r>
      </w:p>
    </w:sdtContent>
  </w:sdt>
  <w:p w:rsidR="00652B60" w:rsidRDefault="00652B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B60" w:rsidRDefault="00652B60">
      <w:r>
        <w:separator/>
      </w:r>
    </w:p>
  </w:footnote>
  <w:footnote w:type="continuationSeparator" w:id="0">
    <w:p w:rsidR="00652B60" w:rsidRDefault="00652B60">
      <w:r>
        <w:continuationSeparator/>
      </w:r>
    </w:p>
  </w:footnote>
  <w:footnote w:id="1">
    <w:p w:rsidR="00652B60" w:rsidRDefault="00652B60">
      <w:pPr>
        <w:pStyle w:val="FootnoteText"/>
      </w:pPr>
      <w:r>
        <w:rPr>
          <w:rStyle w:val="FootnoteReference"/>
        </w:rPr>
        <w:footnoteRef/>
      </w:r>
      <w:r>
        <w:t xml:space="preserve"> In the Expedited Process Order, the Commission delegated its authority to staff of the Bureau of Conservation, Economics and Energy Planning, with assistance from staff of the Bureau of Fixed Utility Services and the Law Bureau. </w:t>
      </w:r>
      <w:r>
        <w:rPr>
          <w:i/>
        </w:rPr>
        <w:t>See</w:t>
      </w:r>
      <w:r>
        <w:t xml:space="preserve">, Expedited Process Order at 22.  In a Final Procedural Order entered on August 11, 2011, at Docket No. M-2008-2071852, the Commission transferred the staff and functions of the Bureaus of Fixed Utility Services and Conservation, Economics and Energy Planning to the Bureau of Technical Utility Services.  </w:t>
      </w:r>
      <w:r>
        <w:rPr>
          <w:i/>
        </w:rPr>
        <w:t>See Implementation of Act 129 of 2008 Organization of Bureaus and Offices</w:t>
      </w:r>
      <w:r>
        <w:t>, Final Procedural Order at 4.</w:t>
      </w:r>
    </w:p>
  </w:footnote>
  <w:footnote w:id="2">
    <w:p w:rsidR="00652B60" w:rsidRPr="00652B60" w:rsidRDefault="00652B60">
      <w:pPr>
        <w:pStyle w:val="FootnoteText"/>
        <w:rPr>
          <w:sz w:val="22"/>
          <w:szCs w:val="22"/>
        </w:rPr>
      </w:pPr>
      <w:r w:rsidRPr="00652B60">
        <w:rPr>
          <w:rStyle w:val="FootnoteReference"/>
          <w:sz w:val="22"/>
          <w:szCs w:val="22"/>
        </w:rPr>
        <w:footnoteRef/>
      </w:r>
      <w:r w:rsidRPr="00652B60">
        <w:rPr>
          <w:sz w:val="22"/>
          <w:szCs w:val="22"/>
        </w:rPr>
        <w:t xml:space="preserve"> PPLICA comments at 4, SEF comments at 5.</w:t>
      </w:r>
    </w:p>
  </w:footnote>
  <w:footnote w:id="3">
    <w:p w:rsidR="00652B60" w:rsidRPr="003F296B" w:rsidRDefault="00652B60" w:rsidP="000B1BBF">
      <w:pPr>
        <w:pStyle w:val="FootnoteText"/>
        <w:rPr>
          <w:sz w:val="22"/>
          <w:szCs w:val="22"/>
        </w:rPr>
      </w:pPr>
      <w:r w:rsidRPr="003F296B">
        <w:rPr>
          <w:rStyle w:val="FootnoteReference"/>
          <w:sz w:val="22"/>
          <w:szCs w:val="22"/>
        </w:rPr>
        <w:footnoteRef/>
      </w:r>
      <w:r w:rsidRPr="003F296B">
        <w:rPr>
          <w:sz w:val="22"/>
          <w:szCs w:val="22"/>
        </w:rPr>
        <w:t xml:space="preserve"> PPLICA comments at 4.</w:t>
      </w:r>
    </w:p>
  </w:footnote>
  <w:footnote w:id="4">
    <w:p w:rsidR="00652B60" w:rsidRPr="00652B60" w:rsidRDefault="00652B60">
      <w:pPr>
        <w:pStyle w:val="FootnoteText"/>
        <w:rPr>
          <w:sz w:val="22"/>
          <w:szCs w:val="22"/>
        </w:rPr>
      </w:pPr>
      <w:r w:rsidRPr="00652B60">
        <w:rPr>
          <w:rStyle w:val="FootnoteReference"/>
          <w:sz w:val="22"/>
          <w:szCs w:val="22"/>
        </w:rPr>
        <w:footnoteRef/>
      </w:r>
      <w:r w:rsidRPr="00652B60">
        <w:rPr>
          <w:sz w:val="22"/>
          <w:szCs w:val="22"/>
        </w:rPr>
        <w:t xml:space="preserve"> </w:t>
      </w:r>
      <w:proofErr w:type="gramStart"/>
      <w:r w:rsidRPr="00652B60">
        <w:rPr>
          <w:sz w:val="22"/>
          <w:szCs w:val="22"/>
        </w:rPr>
        <w:t>PPL Reply Comments at 5.</w:t>
      </w:r>
      <w:proofErr w:type="gramEnd"/>
    </w:p>
  </w:footnote>
  <w:footnote w:id="5">
    <w:p w:rsidR="00652B60" w:rsidRPr="00652B60" w:rsidRDefault="00652B60">
      <w:pPr>
        <w:pStyle w:val="FootnoteText"/>
        <w:rPr>
          <w:sz w:val="22"/>
          <w:szCs w:val="22"/>
        </w:rPr>
      </w:pPr>
      <w:r w:rsidRPr="00652B60">
        <w:rPr>
          <w:rStyle w:val="FootnoteReference"/>
          <w:sz w:val="22"/>
          <w:szCs w:val="22"/>
        </w:rPr>
        <w:footnoteRef/>
      </w:r>
      <w:r w:rsidRPr="00652B60">
        <w:rPr>
          <w:sz w:val="22"/>
          <w:szCs w:val="22"/>
        </w:rPr>
        <w:t xml:space="preserve"> Phase III Implementation Order at 102.</w:t>
      </w:r>
    </w:p>
  </w:footnote>
  <w:footnote w:id="6">
    <w:p w:rsidR="00652B60" w:rsidRPr="00652B60" w:rsidRDefault="00652B60">
      <w:pPr>
        <w:pStyle w:val="FootnoteText"/>
        <w:rPr>
          <w:sz w:val="22"/>
          <w:szCs w:val="22"/>
        </w:rPr>
      </w:pPr>
      <w:r w:rsidRPr="00652B60">
        <w:rPr>
          <w:rStyle w:val="FootnoteReference"/>
          <w:sz w:val="22"/>
          <w:szCs w:val="22"/>
        </w:rPr>
        <w:footnoteRef/>
      </w:r>
      <w:r w:rsidRPr="00652B60">
        <w:rPr>
          <w:sz w:val="22"/>
          <w:szCs w:val="22"/>
        </w:rPr>
        <w:t xml:space="preserve"> Phase III TRC Order at 17.</w:t>
      </w:r>
    </w:p>
  </w:footnote>
  <w:footnote w:id="7">
    <w:p w:rsidR="00652B60" w:rsidRPr="00652B60" w:rsidRDefault="00652B60">
      <w:pPr>
        <w:pStyle w:val="FootnoteText"/>
        <w:rPr>
          <w:sz w:val="22"/>
          <w:szCs w:val="22"/>
        </w:rPr>
      </w:pPr>
      <w:r w:rsidRPr="00652B60">
        <w:rPr>
          <w:rStyle w:val="FootnoteReference"/>
          <w:sz w:val="22"/>
          <w:szCs w:val="22"/>
        </w:rPr>
        <w:footnoteRef/>
      </w:r>
      <w:r w:rsidRPr="00652B60">
        <w:rPr>
          <w:sz w:val="22"/>
          <w:szCs w:val="22"/>
        </w:rPr>
        <w:t xml:space="preserve"> PPL Reply Comments at 8.</w:t>
      </w:r>
    </w:p>
  </w:footnote>
  <w:footnote w:id="8">
    <w:p w:rsidR="00652B60" w:rsidRPr="001B2E6A" w:rsidRDefault="00652B60">
      <w:pPr>
        <w:pStyle w:val="FootnoteText"/>
        <w:rPr>
          <w:sz w:val="22"/>
          <w:szCs w:val="22"/>
        </w:rPr>
      </w:pPr>
      <w:r w:rsidRPr="00652B60">
        <w:rPr>
          <w:rStyle w:val="FootnoteReference"/>
          <w:sz w:val="22"/>
          <w:szCs w:val="22"/>
        </w:rPr>
        <w:footnoteRef/>
      </w:r>
      <w:r w:rsidRPr="00652B60">
        <w:rPr>
          <w:sz w:val="22"/>
          <w:szCs w:val="22"/>
        </w:rPr>
        <w:t xml:space="preserve"> Staff also notes that Combined heat and power (CHP) projects are typically very energy efficient but can be capital intensive.  In the report </w:t>
      </w:r>
      <w:r w:rsidRPr="00652B60">
        <w:rPr>
          <w:i/>
          <w:sz w:val="22"/>
          <w:szCs w:val="22"/>
        </w:rPr>
        <w:t>Distributed Generation Potential Study for Pennsylvania</w:t>
      </w:r>
      <w:r w:rsidRPr="00652B60">
        <w:rPr>
          <w:sz w:val="22"/>
          <w:szCs w:val="22"/>
        </w:rPr>
        <w:t>, prepared by the Commission’s Act 129 statewide evaluator in March 2015, it is noted that a significant number of CHP projects would be cost-effective under a TRC calculation if the useful life of the project was taken into account, thereby supporting the consideration of providing incentives to worthy projects even beyond those having TRC values greater than 1.0.</w:t>
      </w:r>
      <w:r>
        <w:rPr>
          <w:sz w:val="22"/>
          <w:szCs w:val="22"/>
        </w:rPr>
        <w:t xml:space="preserve">  See, </w:t>
      </w:r>
      <w:r w:rsidRPr="003F296B">
        <w:rPr>
          <w:i/>
          <w:sz w:val="22"/>
          <w:szCs w:val="22"/>
        </w:rPr>
        <w:t>Distributed Generation Potential Study for Pennsylvania</w:t>
      </w:r>
      <w:r>
        <w:rPr>
          <w:sz w:val="22"/>
          <w:szCs w:val="22"/>
        </w:rPr>
        <w:t xml:space="preserve"> at 30 and 4</w:t>
      </w:r>
      <w:r w:rsidRPr="003F296B">
        <w:rPr>
          <w:sz w:val="22"/>
          <w:szCs w:val="22"/>
        </w:rPr>
        <w:t>.</w:t>
      </w:r>
    </w:p>
  </w:footnote>
  <w:footnote w:id="9">
    <w:p w:rsidR="00652B60" w:rsidRPr="001B2E6A" w:rsidRDefault="00652B60">
      <w:pPr>
        <w:pStyle w:val="FootnoteText"/>
        <w:rPr>
          <w:sz w:val="22"/>
          <w:szCs w:val="22"/>
        </w:rPr>
      </w:pPr>
      <w:r w:rsidRPr="001B2E6A">
        <w:rPr>
          <w:rStyle w:val="FootnoteReference"/>
          <w:sz w:val="22"/>
          <w:szCs w:val="22"/>
        </w:rPr>
        <w:footnoteRef/>
      </w:r>
      <w:r w:rsidRPr="001B2E6A">
        <w:rPr>
          <w:sz w:val="22"/>
          <w:szCs w:val="22"/>
        </w:rPr>
        <w:t xml:space="preserve"> </w:t>
      </w:r>
      <w:proofErr w:type="gramStart"/>
      <w:r w:rsidRPr="001B2E6A">
        <w:rPr>
          <w:sz w:val="22"/>
          <w:szCs w:val="22"/>
        </w:rPr>
        <w:t>Petition at 4.</w:t>
      </w:r>
      <w:proofErr w:type="gramEnd"/>
      <w:r w:rsidRPr="001B2E6A">
        <w:rPr>
          <w:sz w:val="22"/>
          <w:szCs w:val="22"/>
        </w:rPr>
        <w:t xml:space="preserve">  </w:t>
      </w:r>
    </w:p>
  </w:footnote>
  <w:footnote w:id="10">
    <w:p w:rsidR="00652B60" w:rsidRPr="001B2E6A" w:rsidRDefault="00652B60">
      <w:pPr>
        <w:pStyle w:val="FootnoteText"/>
        <w:rPr>
          <w:sz w:val="22"/>
          <w:szCs w:val="22"/>
        </w:rPr>
      </w:pPr>
      <w:r w:rsidRPr="001B2E6A">
        <w:rPr>
          <w:rStyle w:val="FootnoteReference"/>
          <w:sz w:val="22"/>
          <w:szCs w:val="22"/>
        </w:rPr>
        <w:footnoteRef/>
      </w:r>
      <w:r w:rsidRPr="001B2E6A">
        <w:rPr>
          <w:sz w:val="22"/>
          <w:szCs w:val="22"/>
        </w:rPr>
        <w:t xml:space="preserve"> OSBA comments at 6.</w:t>
      </w:r>
    </w:p>
  </w:footnote>
  <w:footnote w:id="11">
    <w:p w:rsidR="00652B60" w:rsidRPr="001B2E6A" w:rsidRDefault="00652B60">
      <w:pPr>
        <w:pStyle w:val="FootnoteText"/>
        <w:rPr>
          <w:sz w:val="22"/>
          <w:szCs w:val="22"/>
        </w:rPr>
      </w:pPr>
      <w:r w:rsidRPr="001B2E6A">
        <w:rPr>
          <w:rStyle w:val="FootnoteReference"/>
          <w:sz w:val="22"/>
          <w:szCs w:val="22"/>
        </w:rPr>
        <w:footnoteRef/>
      </w:r>
      <w:r w:rsidRPr="001B2E6A">
        <w:rPr>
          <w:sz w:val="22"/>
          <w:szCs w:val="22"/>
        </w:rPr>
        <w:t xml:space="preserve"> </w:t>
      </w:r>
      <w:proofErr w:type="gramStart"/>
      <w:r w:rsidRPr="001B2E6A">
        <w:rPr>
          <w:sz w:val="22"/>
          <w:szCs w:val="22"/>
        </w:rPr>
        <w:t>Petition at 4.</w:t>
      </w:r>
      <w:proofErr w:type="gramEnd"/>
    </w:p>
  </w:footnote>
  <w:footnote w:id="12">
    <w:p w:rsidR="00652B60" w:rsidRPr="001B2E6A" w:rsidRDefault="00652B60">
      <w:pPr>
        <w:pStyle w:val="FootnoteText"/>
        <w:rPr>
          <w:sz w:val="22"/>
          <w:szCs w:val="22"/>
        </w:rPr>
      </w:pPr>
      <w:r w:rsidRPr="001B2E6A">
        <w:rPr>
          <w:rStyle w:val="FootnoteReference"/>
          <w:sz w:val="22"/>
          <w:szCs w:val="22"/>
        </w:rPr>
        <w:footnoteRef/>
      </w:r>
      <w:r w:rsidRPr="001B2E6A">
        <w:rPr>
          <w:sz w:val="22"/>
          <w:szCs w:val="22"/>
        </w:rPr>
        <w:t xml:space="preserve"> </w:t>
      </w:r>
      <w:proofErr w:type="gramStart"/>
      <w:r w:rsidRPr="001B2E6A">
        <w:rPr>
          <w:sz w:val="22"/>
          <w:szCs w:val="22"/>
        </w:rPr>
        <w:t>Petition at 3.</w:t>
      </w:r>
      <w:proofErr w:type="gramEnd"/>
      <w:r w:rsidRPr="001B2E6A">
        <w:rPr>
          <w:sz w:val="22"/>
          <w:szCs w:val="22"/>
        </w:rPr>
        <w:t xml:space="preserve"> </w:t>
      </w:r>
    </w:p>
  </w:footnote>
  <w:footnote w:id="13">
    <w:p w:rsidR="00652B60" w:rsidRPr="001B2E6A" w:rsidRDefault="00652B60">
      <w:pPr>
        <w:pStyle w:val="FootnoteText"/>
        <w:rPr>
          <w:sz w:val="22"/>
          <w:szCs w:val="22"/>
        </w:rPr>
      </w:pPr>
      <w:r w:rsidRPr="001B2E6A">
        <w:rPr>
          <w:rStyle w:val="FootnoteReference"/>
          <w:sz w:val="22"/>
          <w:szCs w:val="22"/>
        </w:rPr>
        <w:footnoteRef/>
      </w:r>
      <w:r w:rsidRPr="001B2E6A">
        <w:rPr>
          <w:sz w:val="22"/>
          <w:szCs w:val="22"/>
        </w:rPr>
        <w:t xml:space="preserve"> SEF comments at 5.</w:t>
      </w:r>
    </w:p>
  </w:footnote>
  <w:footnote w:id="14">
    <w:p w:rsidR="00652B60" w:rsidRPr="001B2E6A" w:rsidRDefault="00652B60">
      <w:pPr>
        <w:pStyle w:val="FootnoteText"/>
        <w:rPr>
          <w:sz w:val="22"/>
          <w:szCs w:val="22"/>
        </w:rPr>
      </w:pPr>
      <w:r w:rsidRPr="001B2E6A">
        <w:rPr>
          <w:rStyle w:val="FootnoteReference"/>
          <w:sz w:val="22"/>
          <w:szCs w:val="22"/>
        </w:rPr>
        <w:footnoteRef/>
      </w:r>
      <w:r w:rsidRPr="001B2E6A">
        <w:rPr>
          <w:sz w:val="22"/>
          <w:szCs w:val="22"/>
        </w:rPr>
        <w:t xml:space="preserve"> PPL Reply Comments at 7.</w:t>
      </w:r>
    </w:p>
  </w:footnote>
  <w:footnote w:id="15">
    <w:p w:rsidR="00652B60" w:rsidRPr="001B2E6A" w:rsidRDefault="00652B60">
      <w:pPr>
        <w:pStyle w:val="FootnoteText"/>
        <w:rPr>
          <w:sz w:val="22"/>
          <w:szCs w:val="22"/>
        </w:rPr>
      </w:pPr>
      <w:r w:rsidRPr="001B2E6A">
        <w:rPr>
          <w:rStyle w:val="FootnoteReference"/>
          <w:sz w:val="22"/>
          <w:szCs w:val="22"/>
        </w:rPr>
        <w:footnoteRef/>
      </w:r>
      <w:r w:rsidRPr="001B2E6A">
        <w:rPr>
          <w:sz w:val="22"/>
          <w:szCs w:val="22"/>
        </w:rPr>
        <w:t xml:space="preserve"> PPL Reply Comments at 7-8.</w:t>
      </w:r>
    </w:p>
  </w:footnote>
  <w:footnote w:id="16">
    <w:p w:rsidR="00652B60" w:rsidRDefault="00652B60">
      <w:pPr>
        <w:pStyle w:val="FootnoteText"/>
      </w:pPr>
      <w:r>
        <w:rPr>
          <w:rStyle w:val="FootnoteReference"/>
        </w:rPr>
        <w:footnoteRef/>
      </w:r>
      <w:r>
        <w:t xml:space="preserve"> OSBA comments at 5</w:t>
      </w:r>
    </w:p>
  </w:footnote>
  <w:footnote w:id="17">
    <w:p w:rsidR="00652B60" w:rsidRPr="001B2E6A" w:rsidRDefault="00652B60">
      <w:pPr>
        <w:pStyle w:val="FootnoteText"/>
        <w:rPr>
          <w:sz w:val="22"/>
          <w:szCs w:val="22"/>
        </w:rPr>
      </w:pPr>
      <w:r w:rsidRPr="001B2E6A">
        <w:rPr>
          <w:rStyle w:val="FootnoteReference"/>
          <w:sz w:val="22"/>
          <w:szCs w:val="22"/>
        </w:rPr>
        <w:footnoteRef/>
      </w:r>
      <w:r w:rsidRPr="001B2E6A">
        <w:rPr>
          <w:sz w:val="22"/>
          <w:szCs w:val="22"/>
        </w:rPr>
        <w:t xml:space="preserve"> Reply comments at 10.</w:t>
      </w:r>
    </w:p>
  </w:footnote>
  <w:footnote w:id="18">
    <w:p w:rsidR="00652B60" w:rsidRPr="001B2E6A" w:rsidRDefault="00652B60" w:rsidP="003459C3">
      <w:pPr>
        <w:pStyle w:val="FootnoteText"/>
        <w:rPr>
          <w:sz w:val="22"/>
          <w:szCs w:val="22"/>
        </w:rPr>
      </w:pPr>
      <w:r w:rsidRPr="001B2E6A">
        <w:rPr>
          <w:rStyle w:val="FootnoteReference"/>
          <w:sz w:val="22"/>
          <w:szCs w:val="22"/>
        </w:rPr>
        <w:footnoteRef/>
      </w:r>
      <w:r w:rsidRPr="001B2E6A">
        <w:rPr>
          <w:sz w:val="22"/>
          <w:szCs w:val="22"/>
        </w:rPr>
        <w:t xml:space="preserve"> </w:t>
      </w:r>
      <w:proofErr w:type="gramStart"/>
      <w:r w:rsidRPr="001B2E6A">
        <w:rPr>
          <w:sz w:val="22"/>
          <w:szCs w:val="22"/>
        </w:rPr>
        <w:t>PPL Reply Comments at 3.</w:t>
      </w:r>
      <w:proofErr w:type="gramEnd"/>
    </w:p>
  </w:footnote>
  <w:footnote w:id="19">
    <w:p w:rsidR="00652B60" w:rsidRPr="001B2E6A" w:rsidRDefault="00652B60">
      <w:pPr>
        <w:pStyle w:val="FootnoteText"/>
        <w:rPr>
          <w:sz w:val="22"/>
          <w:szCs w:val="22"/>
        </w:rPr>
      </w:pPr>
      <w:r w:rsidRPr="001B2E6A">
        <w:rPr>
          <w:rStyle w:val="FootnoteReference"/>
          <w:sz w:val="22"/>
          <w:szCs w:val="22"/>
        </w:rPr>
        <w:footnoteRef/>
      </w:r>
      <w:r w:rsidRPr="001B2E6A">
        <w:rPr>
          <w:sz w:val="22"/>
          <w:szCs w:val="22"/>
        </w:rPr>
        <w:t xml:space="preserve"> </w:t>
      </w:r>
      <w:proofErr w:type="gramStart"/>
      <w:r w:rsidRPr="001B2E6A">
        <w:rPr>
          <w:sz w:val="22"/>
          <w:szCs w:val="22"/>
        </w:rPr>
        <w:t>Expedited Process Order at 19.</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3DF38FA"/>
    <w:multiLevelType w:val="hybridMultilevel"/>
    <w:tmpl w:val="D0004D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BD4D71"/>
    <w:multiLevelType w:val="hybridMultilevel"/>
    <w:tmpl w:val="9D74EA86"/>
    <w:lvl w:ilvl="0" w:tplc="04090001">
      <w:start w:val="1"/>
      <w:numFmt w:val="bullet"/>
      <w:lvlText w:val=""/>
      <w:lvlJc w:val="left"/>
      <w:pPr>
        <w:ind w:left="1440" w:hanging="360"/>
      </w:pPr>
      <w:rPr>
        <w:rFonts w:ascii="Symbol" w:hAnsi="Symbol" w:hint="default"/>
      </w:rPr>
    </w:lvl>
    <w:lvl w:ilvl="1" w:tplc="0409000F">
      <w:start w:val="1"/>
      <w:numFmt w:val="decimal"/>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DBC7029"/>
    <w:multiLevelType w:val="hybridMultilevel"/>
    <w:tmpl w:val="595CB6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2"/>
  </w:num>
  <w:num w:numId="4">
    <w:abstractNumId w:val="4"/>
  </w:num>
  <w:num w:numId="5">
    <w:abstractNumId w:val="9"/>
  </w:num>
  <w:num w:numId="6">
    <w:abstractNumId w:val="3"/>
  </w:num>
  <w:num w:numId="7">
    <w:abstractNumId w:val="11"/>
  </w:num>
  <w:num w:numId="8">
    <w:abstractNumId w:val="8"/>
  </w:num>
  <w:num w:numId="9">
    <w:abstractNumId w:val="0"/>
  </w:num>
  <w:num w:numId="10">
    <w:abstractNumId w:val="6"/>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A51"/>
    <w:rsid w:val="00011579"/>
    <w:rsid w:val="00014700"/>
    <w:rsid w:val="000178FC"/>
    <w:rsid w:val="00022B53"/>
    <w:rsid w:val="00037FD6"/>
    <w:rsid w:val="00051CD5"/>
    <w:rsid w:val="00056910"/>
    <w:rsid w:val="00075CDF"/>
    <w:rsid w:val="00087F00"/>
    <w:rsid w:val="00091442"/>
    <w:rsid w:val="00092F41"/>
    <w:rsid w:val="000B1BA6"/>
    <w:rsid w:val="000B1BBF"/>
    <w:rsid w:val="000B5058"/>
    <w:rsid w:val="000C250E"/>
    <w:rsid w:val="000E3221"/>
    <w:rsid w:val="000E72BB"/>
    <w:rsid w:val="000F3C98"/>
    <w:rsid w:val="000F5F51"/>
    <w:rsid w:val="000F704B"/>
    <w:rsid w:val="001209F1"/>
    <w:rsid w:val="00123857"/>
    <w:rsid w:val="00133CEB"/>
    <w:rsid w:val="0014666D"/>
    <w:rsid w:val="001522CD"/>
    <w:rsid w:val="00164126"/>
    <w:rsid w:val="00173212"/>
    <w:rsid w:val="00182E68"/>
    <w:rsid w:val="00192526"/>
    <w:rsid w:val="001A24F2"/>
    <w:rsid w:val="001B251C"/>
    <w:rsid w:val="001B2E6A"/>
    <w:rsid w:val="001B6AF9"/>
    <w:rsid w:val="001C3497"/>
    <w:rsid w:val="001C5690"/>
    <w:rsid w:val="001C5D5B"/>
    <w:rsid w:val="001D50D8"/>
    <w:rsid w:val="001D5406"/>
    <w:rsid w:val="001D6DA2"/>
    <w:rsid w:val="001E6CA6"/>
    <w:rsid w:val="001E7B1A"/>
    <w:rsid w:val="001F204F"/>
    <w:rsid w:val="001F27E0"/>
    <w:rsid w:val="00207418"/>
    <w:rsid w:val="00210631"/>
    <w:rsid w:val="00221F53"/>
    <w:rsid w:val="002225B5"/>
    <w:rsid w:val="002229C3"/>
    <w:rsid w:val="00243342"/>
    <w:rsid w:val="0024567A"/>
    <w:rsid w:val="0024623B"/>
    <w:rsid w:val="002525DD"/>
    <w:rsid w:val="002604D4"/>
    <w:rsid w:val="002706F2"/>
    <w:rsid w:val="002710A5"/>
    <w:rsid w:val="002844BC"/>
    <w:rsid w:val="00284F6D"/>
    <w:rsid w:val="0029424F"/>
    <w:rsid w:val="0029471C"/>
    <w:rsid w:val="002A67FE"/>
    <w:rsid w:val="002C2092"/>
    <w:rsid w:val="002D56E8"/>
    <w:rsid w:val="002D77B6"/>
    <w:rsid w:val="003014F7"/>
    <w:rsid w:val="00303460"/>
    <w:rsid w:val="003148E5"/>
    <w:rsid w:val="00323DAE"/>
    <w:rsid w:val="00330A4A"/>
    <w:rsid w:val="003346B2"/>
    <w:rsid w:val="00341398"/>
    <w:rsid w:val="00344C63"/>
    <w:rsid w:val="003459C3"/>
    <w:rsid w:val="00352659"/>
    <w:rsid w:val="00371F8C"/>
    <w:rsid w:val="00372E72"/>
    <w:rsid w:val="00376894"/>
    <w:rsid w:val="00391CEB"/>
    <w:rsid w:val="0039402A"/>
    <w:rsid w:val="003A43C4"/>
    <w:rsid w:val="003A506E"/>
    <w:rsid w:val="003C4C3F"/>
    <w:rsid w:val="003C774E"/>
    <w:rsid w:val="003F7AC6"/>
    <w:rsid w:val="00427214"/>
    <w:rsid w:val="0044549C"/>
    <w:rsid w:val="00454A73"/>
    <w:rsid w:val="0045665F"/>
    <w:rsid w:val="00492C49"/>
    <w:rsid w:val="00496952"/>
    <w:rsid w:val="004970EA"/>
    <w:rsid w:val="004A7D41"/>
    <w:rsid w:val="004C157E"/>
    <w:rsid w:val="004C536A"/>
    <w:rsid w:val="004C6E1A"/>
    <w:rsid w:val="004D6D44"/>
    <w:rsid w:val="004E3C02"/>
    <w:rsid w:val="004E6189"/>
    <w:rsid w:val="004F351E"/>
    <w:rsid w:val="00510B55"/>
    <w:rsid w:val="0051505A"/>
    <w:rsid w:val="0051626F"/>
    <w:rsid w:val="005214C9"/>
    <w:rsid w:val="00523683"/>
    <w:rsid w:val="00525D59"/>
    <w:rsid w:val="005502CA"/>
    <w:rsid w:val="0055041B"/>
    <w:rsid w:val="00555C9E"/>
    <w:rsid w:val="00556D83"/>
    <w:rsid w:val="00573441"/>
    <w:rsid w:val="00587872"/>
    <w:rsid w:val="00592ADE"/>
    <w:rsid w:val="005B2A1F"/>
    <w:rsid w:val="005B3B1E"/>
    <w:rsid w:val="005B76CB"/>
    <w:rsid w:val="005C3493"/>
    <w:rsid w:val="005E25C5"/>
    <w:rsid w:val="00613E53"/>
    <w:rsid w:val="00617B70"/>
    <w:rsid w:val="006244F7"/>
    <w:rsid w:val="006355B9"/>
    <w:rsid w:val="00641E7A"/>
    <w:rsid w:val="00645A89"/>
    <w:rsid w:val="00646AD2"/>
    <w:rsid w:val="006515A0"/>
    <w:rsid w:val="00652B60"/>
    <w:rsid w:val="00654221"/>
    <w:rsid w:val="006614F7"/>
    <w:rsid w:val="00664CA9"/>
    <w:rsid w:val="006755C0"/>
    <w:rsid w:val="0068633A"/>
    <w:rsid w:val="00694967"/>
    <w:rsid w:val="006A28A7"/>
    <w:rsid w:val="006A40AD"/>
    <w:rsid w:val="006B5F4F"/>
    <w:rsid w:val="006B604C"/>
    <w:rsid w:val="006E6D17"/>
    <w:rsid w:val="006E78BD"/>
    <w:rsid w:val="006F06DA"/>
    <w:rsid w:val="006F113D"/>
    <w:rsid w:val="00701D4E"/>
    <w:rsid w:val="00712208"/>
    <w:rsid w:val="0072178B"/>
    <w:rsid w:val="007455F7"/>
    <w:rsid w:val="00760C35"/>
    <w:rsid w:val="00763317"/>
    <w:rsid w:val="00766E48"/>
    <w:rsid w:val="007970AD"/>
    <w:rsid w:val="007A336D"/>
    <w:rsid w:val="007B11D8"/>
    <w:rsid w:val="007C53F9"/>
    <w:rsid w:val="007D08D4"/>
    <w:rsid w:val="007D466B"/>
    <w:rsid w:val="007D7743"/>
    <w:rsid w:val="007F1CA2"/>
    <w:rsid w:val="007F54EA"/>
    <w:rsid w:val="0080474C"/>
    <w:rsid w:val="008047C7"/>
    <w:rsid w:val="00815301"/>
    <w:rsid w:val="00820608"/>
    <w:rsid w:val="0083717F"/>
    <w:rsid w:val="008575F2"/>
    <w:rsid w:val="00876AA5"/>
    <w:rsid w:val="008911BD"/>
    <w:rsid w:val="008A4CBA"/>
    <w:rsid w:val="008B4510"/>
    <w:rsid w:val="008D4437"/>
    <w:rsid w:val="008E09D9"/>
    <w:rsid w:val="008E2AB6"/>
    <w:rsid w:val="008E5C8A"/>
    <w:rsid w:val="008F5FAF"/>
    <w:rsid w:val="009045B2"/>
    <w:rsid w:val="00933121"/>
    <w:rsid w:val="00934FA5"/>
    <w:rsid w:val="00942F80"/>
    <w:rsid w:val="009505A7"/>
    <w:rsid w:val="00954F44"/>
    <w:rsid w:val="00956E84"/>
    <w:rsid w:val="009574AA"/>
    <w:rsid w:val="00965B5A"/>
    <w:rsid w:val="00967798"/>
    <w:rsid w:val="00967AD8"/>
    <w:rsid w:val="00971487"/>
    <w:rsid w:val="00974273"/>
    <w:rsid w:val="00984A36"/>
    <w:rsid w:val="009930D7"/>
    <w:rsid w:val="00995169"/>
    <w:rsid w:val="00995B00"/>
    <w:rsid w:val="009A2DBD"/>
    <w:rsid w:val="009C69A9"/>
    <w:rsid w:val="009D30D5"/>
    <w:rsid w:val="009D4961"/>
    <w:rsid w:val="009E0C4B"/>
    <w:rsid w:val="009E3C60"/>
    <w:rsid w:val="009E6C75"/>
    <w:rsid w:val="009F3FE4"/>
    <w:rsid w:val="009F5F66"/>
    <w:rsid w:val="00A00FBE"/>
    <w:rsid w:val="00A04914"/>
    <w:rsid w:val="00A23B28"/>
    <w:rsid w:val="00A30D9D"/>
    <w:rsid w:val="00A328DD"/>
    <w:rsid w:val="00A44097"/>
    <w:rsid w:val="00A44B21"/>
    <w:rsid w:val="00A57494"/>
    <w:rsid w:val="00A8066E"/>
    <w:rsid w:val="00A87C94"/>
    <w:rsid w:val="00A90198"/>
    <w:rsid w:val="00A95100"/>
    <w:rsid w:val="00A97861"/>
    <w:rsid w:val="00AA0478"/>
    <w:rsid w:val="00AA1A12"/>
    <w:rsid w:val="00AA3011"/>
    <w:rsid w:val="00AA682B"/>
    <w:rsid w:val="00AB4571"/>
    <w:rsid w:val="00AB7F3F"/>
    <w:rsid w:val="00AC1CC4"/>
    <w:rsid w:val="00AC3821"/>
    <w:rsid w:val="00AD695E"/>
    <w:rsid w:val="00AE0CE4"/>
    <w:rsid w:val="00AE55AA"/>
    <w:rsid w:val="00B074B5"/>
    <w:rsid w:val="00B128C5"/>
    <w:rsid w:val="00B16C60"/>
    <w:rsid w:val="00B3139C"/>
    <w:rsid w:val="00B314EA"/>
    <w:rsid w:val="00B349F6"/>
    <w:rsid w:val="00B45490"/>
    <w:rsid w:val="00B455AA"/>
    <w:rsid w:val="00B55D48"/>
    <w:rsid w:val="00B67A02"/>
    <w:rsid w:val="00B83D52"/>
    <w:rsid w:val="00BA4CD4"/>
    <w:rsid w:val="00BB75F0"/>
    <w:rsid w:val="00BC50FE"/>
    <w:rsid w:val="00BD040C"/>
    <w:rsid w:val="00BE2BB4"/>
    <w:rsid w:val="00BE2E69"/>
    <w:rsid w:val="00BE5119"/>
    <w:rsid w:val="00BE7149"/>
    <w:rsid w:val="00BF0CF2"/>
    <w:rsid w:val="00C028AF"/>
    <w:rsid w:val="00C029C7"/>
    <w:rsid w:val="00C07BA1"/>
    <w:rsid w:val="00C07FBB"/>
    <w:rsid w:val="00C22F08"/>
    <w:rsid w:val="00C253A2"/>
    <w:rsid w:val="00C31F7E"/>
    <w:rsid w:val="00C32F3D"/>
    <w:rsid w:val="00C5005E"/>
    <w:rsid w:val="00C51F51"/>
    <w:rsid w:val="00C67CF1"/>
    <w:rsid w:val="00C71BC3"/>
    <w:rsid w:val="00C74A51"/>
    <w:rsid w:val="00C760CE"/>
    <w:rsid w:val="00C764C0"/>
    <w:rsid w:val="00C80E9B"/>
    <w:rsid w:val="00CA596D"/>
    <w:rsid w:val="00CA7A9B"/>
    <w:rsid w:val="00CB2EC9"/>
    <w:rsid w:val="00CB5738"/>
    <w:rsid w:val="00CC6646"/>
    <w:rsid w:val="00CE402A"/>
    <w:rsid w:val="00CE5B27"/>
    <w:rsid w:val="00CE6D53"/>
    <w:rsid w:val="00CF489D"/>
    <w:rsid w:val="00CF7EE4"/>
    <w:rsid w:val="00D07809"/>
    <w:rsid w:val="00D213FD"/>
    <w:rsid w:val="00D22535"/>
    <w:rsid w:val="00D23A32"/>
    <w:rsid w:val="00D308C4"/>
    <w:rsid w:val="00D34454"/>
    <w:rsid w:val="00D355D8"/>
    <w:rsid w:val="00D43AAF"/>
    <w:rsid w:val="00D46302"/>
    <w:rsid w:val="00D63B56"/>
    <w:rsid w:val="00D6551C"/>
    <w:rsid w:val="00D65C19"/>
    <w:rsid w:val="00D866B5"/>
    <w:rsid w:val="00D93EAE"/>
    <w:rsid w:val="00D945F4"/>
    <w:rsid w:val="00DA349A"/>
    <w:rsid w:val="00DB2FA1"/>
    <w:rsid w:val="00DD44EE"/>
    <w:rsid w:val="00DD51DB"/>
    <w:rsid w:val="00DE0911"/>
    <w:rsid w:val="00DF1730"/>
    <w:rsid w:val="00DF21CA"/>
    <w:rsid w:val="00E00531"/>
    <w:rsid w:val="00E068EE"/>
    <w:rsid w:val="00E2172E"/>
    <w:rsid w:val="00E24543"/>
    <w:rsid w:val="00E34235"/>
    <w:rsid w:val="00E53D95"/>
    <w:rsid w:val="00E552A9"/>
    <w:rsid w:val="00E664CF"/>
    <w:rsid w:val="00E671A2"/>
    <w:rsid w:val="00E83FD1"/>
    <w:rsid w:val="00E8737C"/>
    <w:rsid w:val="00EA13C5"/>
    <w:rsid w:val="00EC16E1"/>
    <w:rsid w:val="00EE4A56"/>
    <w:rsid w:val="00EF4DB6"/>
    <w:rsid w:val="00F00904"/>
    <w:rsid w:val="00F05679"/>
    <w:rsid w:val="00F20DA9"/>
    <w:rsid w:val="00F21E89"/>
    <w:rsid w:val="00F33F17"/>
    <w:rsid w:val="00F4775F"/>
    <w:rsid w:val="00F527B5"/>
    <w:rsid w:val="00F54C0E"/>
    <w:rsid w:val="00F563AD"/>
    <w:rsid w:val="00F704E8"/>
    <w:rsid w:val="00F7094C"/>
    <w:rsid w:val="00F71093"/>
    <w:rsid w:val="00F72B88"/>
    <w:rsid w:val="00F74288"/>
    <w:rsid w:val="00F805DC"/>
    <w:rsid w:val="00F81962"/>
    <w:rsid w:val="00F843AF"/>
    <w:rsid w:val="00F921D5"/>
    <w:rsid w:val="00FA0B9D"/>
    <w:rsid w:val="00FA4053"/>
    <w:rsid w:val="00FB7CDB"/>
    <w:rsid w:val="00FD09A5"/>
    <w:rsid w:val="00FD5572"/>
    <w:rsid w:val="00FD68DF"/>
    <w:rsid w:val="00FE3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489D"/>
  </w:style>
  <w:style w:type="paragraph" w:styleId="Heading1">
    <w:name w:val="heading 1"/>
    <w:basedOn w:val="Normal"/>
    <w:next w:val="Normal"/>
    <w:qFormat/>
    <w:rsid w:val="00CF489D"/>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F489D"/>
    <w:pPr>
      <w:ind w:left="360"/>
    </w:pPr>
    <w:rPr>
      <w:sz w:val="24"/>
    </w:rPr>
  </w:style>
  <w:style w:type="paragraph" w:styleId="Header">
    <w:name w:val="header"/>
    <w:basedOn w:val="Normal"/>
    <w:rsid w:val="00CF489D"/>
    <w:pPr>
      <w:tabs>
        <w:tab w:val="center" w:pos="4320"/>
        <w:tab w:val="right" w:pos="8640"/>
      </w:tabs>
    </w:pPr>
  </w:style>
  <w:style w:type="paragraph" w:styleId="Footer">
    <w:name w:val="footer"/>
    <w:basedOn w:val="Normal"/>
    <w:link w:val="FooterChar"/>
    <w:uiPriority w:val="99"/>
    <w:rsid w:val="00CF489D"/>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customStyle="1" w:styleId="p3">
    <w:name w:val="p3"/>
    <w:basedOn w:val="Normal"/>
    <w:rsid w:val="009505A7"/>
    <w:pPr>
      <w:widowControl w:val="0"/>
      <w:tabs>
        <w:tab w:val="left" w:pos="204"/>
      </w:tabs>
      <w:autoSpaceDE w:val="0"/>
      <w:autoSpaceDN w:val="0"/>
      <w:adjustRightInd w:val="0"/>
      <w:spacing w:line="360" w:lineRule="auto"/>
    </w:pPr>
    <w:rPr>
      <w:sz w:val="24"/>
      <w:szCs w:val="24"/>
    </w:rPr>
  </w:style>
  <w:style w:type="paragraph" w:styleId="ListParagraph">
    <w:name w:val="List Paragraph"/>
    <w:basedOn w:val="Normal"/>
    <w:uiPriority w:val="34"/>
    <w:qFormat/>
    <w:rsid w:val="009505A7"/>
    <w:pPr>
      <w:spacing w:after="200" w:line="276" w:lineRule="auto"/>
      <w:ind w:left="720"/>
      <w:contextualSpacing/>
    </w:pPr>
    <w:rPr>
      <w:rFonts w:eastAsiaTheme="minorHAnsi" w:cstheme="minorBidi"/>
      <w:sz w:val="24"/>
      <w:szCs w:val="22"/>
    </w:rPr>
  </w:style>
  <w:style w:type="character" w:customStyle="1" w:styleId="FooterChar">
    <w:name w:val="Footer Char"/>
    <w:basedOn w:val="DefaultParagraphFont"/>
    <w:link w:val="Footer"/>
    <w:uiPriority w:val="99"/>
    <w:rsid w:val="00613E53"/>
  </w:style>
  <w:style w:type="paragraph" w:styleId="FootnoteText">
    <w:name w:val="footnote text"/>
    <w:basedOn w:val="Normal"/>
    <w:link w:val="FootnoteTextChar"/>
    <w:rsid w:val="00995169"/>
  </w:style>
  <w:style w:type="character" w:customStyle="1" w:styleId="FootnoteTextChar">
    <w:name w:val="Footnote Text Char"/>
    <w:basedOn w:val="DefaultParagraphFont"/>
    <w:link w:val="FootnoteText"/>
    <w:rsid w:val="00995169"/>
  </w:style>
  <w:style w:type="character" w:styleId="FootnoteReference">
    <w:name w:val="footnote reference"/>
    <w:basedOn w:val="DefaultParagraphFont"/>
    <w:rsid w:val="00995169"/>
    <w:rPr>
      <w:vertAlign w:val="superscript"/>
    </w:rPr>
  </w:style>
  <w:style w:type="character" w:styleId="CommentReference">
    <w:name w:val="annotation reference"/>
    <w:basedOn w:val="DefaultParagraphFont"/>
    <w:rsid w:val="00D46302"/>
    <w:rPr>
      <w:sz w:val="16"/>
      <w:szCs w:val="16"/>
    </w:rPr>
  </w:style>
  <w:style w:type="paragraph" w:styleId="CommentText">
    <w:name w:val="annotation text"/>
    <w:basedOn w:val="Normal"/>
    <w:link w:val="CommentTextChar"/>
    <w:rsid w:val="00D46302"/>
  </w:style>
  <w:style w:type="character" w:customStyle="1" w:styleId="CommentTextChar">
    <w:name w:val="Comment Text Char"/>
    <w:basedOn w:val="DefaultParagraphFont"/>
    <w:link w:val="CommentText"/>
    <w:rsid w:val="00D46302"/>
  </w:style>
  <w:style w:type="paragraph" w:styleId="CommentSubject">
    <w:name w:val="annotation subject"/>
    <w:basedOn w:val="CommentText"/>
    <w:next w:val="CommentText"/>
    <w:link w:val="CommentSubjectChar"/>
    <w:rsid w:val="00D46302"/>
    <w:rPr>
      <w:b/>
      <w:bCs/>
    </w:rPr>
  </w:style>
  <w:style w:type="character" w:customStyle="1" w:styleId="CommentSubjectChar">
    <w:name w:val="Comment Subject Char"/>
    <w:basedOn w:val="CommentTextChar"/>
    <w:link w:val="CommentSubject"/>
    <w:rsid w:val="00D4630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489D"/>
  </w:style>
  <w:style w:type="paragraph" w:styleId="Heading1">
    <w:name w:val="heading 1"/>
    <w:basedOn w:val="Normal"/>
    <w:next w:val="Normal"/>
    <w:qFormat/>
    <w:rsid w:val="00CF489D"/>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F489D"/>
    <w:pPr>
      <w:ind w:left="360"/>
    </w:pPr>
    <w:rPr>
      <w:sz w:val="24"/>
    </w:rPr>
  </w:style>
  <w:style w:type="paragraph" w:styleId="Header">
    <w:name w:val="header"/>
    <w:basedOn w:val="Normal"/>
    <w:rsid w:val="00CF489D"/>
    <w:pPr>
      <w:tabs>
        <w:tab w:val="center" w:pos="4320"/>
        <w:tab w:val="right" w:pos="8640"/>
      </w:tabs>
    </w:pPr>
  </w:style>
  <w:style w:type="paragraph" w:styleId="Footer">
    <w:name w:val="footer"/>
    <w:basedOn w:val="Normal"/>
    <w:link w:val="FooterChar"/>
    <w:uiPriority w:val="99"/>
    <w:rsid w:val="00CF489D"/>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customStyle="1" w:styleId="p3">
    <w:name w:val="p3"/>
    <w:basedOn w:val="Normal"/>
    <w:rsid w:val="009505A7"/>
    <w:pPr>
      <w:widowControl w:val="0"/>
      <w:tabs>
        <w:tab w:val="left" w:pos="204"/>
      </w:tabs>
      <w:autoSpaceDE w:val="0"/>
      <w:autoSpaceDN w:val="0"/>
      <w:adjustRightInd w:val="0"/>
      <w:spacing w:line="360" w:lineRule="auto"/>
    </w:pPr>
    <w:rPr>
      <w:sz w:val="24"/>
      <w:szCs w:val="24"/>
    </w:rPr>
  </w:style>
  <w:style w:type="paragraph" w:styleId="ListParagraph">
    <w:name w:val="List Paragraph"/>
    <w:basedOn w:val="Normal"/>
    <w:uiPriority w:val="34"/>
    <w:qFormat/>
    <w:rsid w:val="009505A7"/>
    <w:pPr>
      <w:spacing w:after="200" w:line="276" w:lineRule="auto"/>
      <w:ind w:left="720"/>
      <w:contextualSpacing/>
    </w:pPr>
    <w:rPr>
      <w:rFonts w:eastAsiaTheme="minorHAnsi" w:cstheme="minorBidi"/>
      <w:sz w:val="24"/>
      <w:szCs w:val="22"/>
    </w:rPr>
  </w:style>
  <w:style w:type="character" w:customStyle="1" w:styleId="FooterChar">
    <w:name w:val="Footer Char"/>
    <w:basedOn w:val="DefaultParagraphFont"/>
    <w:link w:val="Footer"/>
    <w:uiPriority w:val="99"/>
    <w:rsid w:val="00613E53"/>
  </w:style>
  <w:style w:type="paragraph" w:styleId="FootnoteText">
    <w:name w:val="footnote text"/>
    <w:basedOn w:val="Normal"/>
    <w:link w:val="FootnoteTextChar"/>
    <w:rsid w:val="00995169"/>
  </w:style>
  <w:style w:type="character" w:customStyle="1" w:styleId="FootnoteTextChar">
    <w:name w:val="Footnote Text Char"/>
    <w:basedOn w:val="DefaultParagraphFont"/>
    <w:link w:val="FootnoteText"/>
    <w:rsid w:val="00995169"/>
  </w:style>
  <w:style w:type="character" w:styleId="FootnoteReference">
    <w:name w:val="footnote reference"/>
    <w:basedOn w:val="DefaultParagraphFont"/>
    <w:rsid w:val="00995169"/>
    <w:rPr>
      <w:vertAlign w:val="superscript"/>
    </w:rPr>
  </w:style>
  <w:style w:type="character" w:styleId="CommentReference">
    <w:name w:val="annotation reference"/>
    <w:basedOn w:val="DefaultParagraphFont"/>
    <w:rsid w:val="00D46302"/>
    <w:rPr>
      <w:sz w:val="16"/>
      <w:szCs w:val="16"/>
    </w:rPr>
  </w:style>
  <w:style w:type="paragraph" w:styleId="CommentText">
    <w:name w:val="annotation text"/>
    <w:basedOn w:val="Normal"/>
    <w:link w:val="CommentTextChar"/>
    <w:rsid w:val="00D46302"/>
  </w:style>
  <w:style w:type="character" w:customStyle="1" w:styleId="CommentTextChar">
    <w:name w:val="Comment Text Char"/>
    <w:basedOn w:val="DefaultParagraphFont"/>
    <w:link w:val="CommentText"/>
    <w:rsid w:val="00D46302"/>
  </w:style>
  <w:style w:type="paragraph" w:styleId="CommentSubject">
    <w:name w:val="annotation subject"/>
    <w:basedOn w:val="CommentText"/>
    <w:next w:val="CommentText"/>
    <w:link w:val="CommentSubjectChar"/>
    <w:rsid w:val="00D46302"/>
    <w:rPr>
      <w:b/>
      <w:bCs/>
    </w:rPr>
  </w:style>
  <w:style w:type="character" w:customStyle="1" w:styleId="CommentSubjectChar">
    <w:name w:val="Comment Subject Char"/>
    <w:basedOn w:val="CommentTextChar"/>
    <w:link w:val="CommentSubject"/>
    <w:rsid w:val="00D463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EC5AF-A784-4D62-81A6-38C2820A0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1259</Words>
  <Characters>6867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8110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NASON</dc:creator>
  <cp:lastModifiedBy>Wagner, Nathan R</cp:lastModifiedBy>
  <cp:revision>3</cp:revision>
  <cp:lastPrinted>2013-03-14T16:29:00Z</cp:lastPrinted>
  <dcterms:created xsi:type="dcterms:W3CDTF">2016-11-04T11:13:00Z</dcterms:created>
  <dcterms:modified xsi:type="dcterms:W3CDTF">2016-11-04T13:37:00Z</dcterms:modified>
</cp:coreProperties>
</file>