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7" w:rsidRPr="00F62DF5" w:rsidRDefault="004A1397" w:rsidP="007A53A2">
      <w:pPr>
        <w:pStyle w:val="Title"/>
        <w:spacing w:line="240" w:lineRule="auto"/>
        <w:rPr>
          <w:rFonts w:ascii="Times New Roman" w:hAnsi="Times New Roman"/>
          <w:szCs w:val="24"/>
        </w:rPr>
      </w:pPr>
      <w:r w:rsidRPr="00F62DF5">
        <w:rPr>
          <w:rFonts w:ascii="Times New Roman" w:hAnsi="Times New Roman"/>
          <w:szCs w:val="24"/>
        </w:rPr>
        <w:t>BEFORE THE</w:t>
      </w:r>
    </w:p>
    <w:p w:rsidR="004A1397" w:rsidRPr="00F62DF5" w:rsidRDefault="004A1397" w:rsidP="007A53A2">
      <w:pPr>
        <w:pStyle w:val="Subtitle"/>
        <w:spacing w:line="240" w:lineRule="auto"/>
        <w:rPr>
          <w:rFonts w:ascii="Times New Roman" w:hAnsi="Times New Roman"/>
          <w:szCs w:val="24"/>
        </w:rPr>
      </w:pPr>
      <w:r w:rsidRPr="00F62DF5">
        <w:rPr>
          <w:rFonts w:ascii="Times New Roman" w:hAnsi="Times New Roman"/>
          <w:szCs w:val="24"/>
        </w:rPr>
        <w:t>PENNSYLVANIA PUBLIC UTILITY COMMISSION</w:t>
      </w:r>
    </w:p>
    <w:p w:rsidR="005A16A6" w:rsidRPr="00F62DF5" w:rsidRDefault="005A16A6" w:rsidP="007A53A2">
      <w:pPr>
        <w:pStyle w:val="Subtitle"/>
        <w:spacing w:line="240" w:lineRule="auto"/>
        <w:rPr>
          <w:rFonts w:ascii="Times New Roman" w:hAnsi="Times New Roman"/>
          <w:szCs w:val="24"/>
        </w:rPr>
      </w:pPr>
    </w:p>
    <w:p w:rsidR="005A16A6" w:rsidRPr="00F62DF5" w:rsidRDefault="005A16A6" w:rsidP="007A53A2">
      <w:pPr>
        <w:pStyle w:val="Subtitle"/>
        <w:spacing w:line="240" w:lineRule="auto"/>
        <w:rPr>
          <w:rFonts w:ascii="Times New Roman" w:hAnsi="Times New Roman"/>
          <w:szCs w:val="24"/>
        </w:rPr>
      </w:pPr>
    </w:p>
    <w:p w:rsidR="005A16A6" w:rsidRPr="00F62DF5" w:rsidRDefault="005A16A6" w:rsidP="007A53A2">
      <w:pPr>
        <w:pStyle w:val="Subtitle"/>
        <w:spacing w:line="240" w:lineRule="auto"/>
        <w:rPr>
          <w:rFonts w:ascii="Times New Roman" w:hAnsi="Times New Roman"/>
          <w:szCs w:val="24"/>
        </w:rPr>
      </w:pPr>
    </w:p>
    <w:p w:rsidR="00A162B5" w:rsidRPr="00F62DF5" w:rsidRDefault="00A162B5" w:rsidP="007A53A2">
      <w:pPr>
        <w:spacing w:line="240" w:lineRule="auto"/>
        <w:jc w:val="both"/>
        <w:rPr>
          <w:szCs w:val="24"/>
        </w:rPr>
      </w:pPr>
      <w:r w:rsidRPr="00F62DF5">
        <w:rPr>
          <w:szCs w:val="24"/>
        </w:rPr>
        <w:t>Betty McFadden</w:t>
      </w:r>
      <w:r w:rsidRPr="00F62DF5">
        <w:rPr>
          <w:szCs w:val="24"/>
        </w:rPr>
        <w:tab/>
      </w:r>
      <w:r w:rsidRPr="00F62DF5">
        <w:rPr>
          <w:szCs w:val="24"/>
        </w:rPr>
        <w:tab/>
      </w:r>
      <w:r w:rsidRPr="00F62DF5">
        <w:rPr>
          <w:szCs w:val="24"/>
        </w:rPr>
        <w:tab/>
      </w:r>
      <w:r w:rsidRPr="00F62DF5">
        <w:rPr>
          <w:szCs w:val="24"/>
        </w:rPr>
        <w:tab/>
      </w:r>
      <w:r w:rsidRPr="00F62DF5">
        <w:rPr>
          <w:szCs w:val="24"/>
        </w:rPr>
        <w:tab/>
        <w:t>:</w:t>
      </w:r>
    </w:p>
    <w:p w:rsidR="00A162B5" w:rsidRPr="00F62DF5" w:rsidRDefault="00A162B5" w:rsidP="007A53A2">
      <w:pPr>
        <w:spacing w:line="240" w:lineRule="auto"/>
        <w:jc w:val="both"/>
        <w:rPr>
          <w:szCs w:val="24"/>
        </w:rPr>
      </w:pPr>
      <w:r w:rsidRPr="00F62DF5">
        <w:rPr>
          <w:szCs w:val="24"/>
        </w:rPr>
        <w:tab/>
      </w:r>
      <w:r w:rsidRPr="00F62DF5">
        <w:rPr>
          <w:szCs w:val="24"/>
        </w:rPr>
        <w:tab/>
      </w:r>
      <w:r w:rsidRPr="00F62DF5">
        <w:rPr>
          <w:szCs w:val="24"/>
        </w:rPr>
        <w:tab/>
      </w:r>
      <w:r w:rsidRPr="00F62DF5">
        <w:rPr>
          <w:szCs w:val="24"/>
        </w:rPr>
        <w:tab/>
      </w:r>
      <w:r w:rsidRPr="00F62DF5">
        <w:rPr>
          <w:szCs w:val="24"/>
        </w:rPr>
        <w:tab/>
      </w:r>
      <w:r w:rsidRPr="00F62DF5">
        <w:rPr>
          <w:szCs w:val="24"/>
        </w:rPr>
        <w:tab/>
      </w:r>
      <w:r w:rsidRPr="00F62DF5">
        <w:rPr>
          <w:szCs w:val="24"/>
        </w:rPr>
        <w:tab/>
        <w:t>:</w:t>
      </w:r>
    </w:p>
    <w:p w:rsidR="00A162B5" w:rsidRPr="00F62DF5" w:rsidRDefault="00A162B5" w:rsidP="007A53A2">
      <w:pPr>
        <w:spacing w:line="240" w:lineRule="auto"/>
        <w:jc w:val="both"/>
        <w:rPr>
          <w:szCs w:val="24"/>
        </w:rPr>
      </w:pPr>
      <w:r w:rsidRPr="00F62DF5">
        <w:rPr>
          <w:szCs w:val="24"/>
        </w:rPr>
        <w:tab/>
        <w:t>v.</w:t>
      </w:r>
      <w:r w:rsidRPr="00F62DF5">
        <w:rPr>
          <w:szCs w:val="24"/>
        </w:rPr>
        <w:tab/>
      </w:r>
      <w:r w:rsidRPr="00F62DF5">
        <w:rPr>
          <w:szCs w:val="24"/>
        </w:rPr>
        <w:tab/>
      </w:r>
      <w:r w:rsidRPr="00F62DF5">
        <w:rPr>
          <w:szCs w:val="24"/>
        </w:rPr>
        <w:tab/>
      </w:r>
      <w:r w:rsidRPr="00F62DF5">
        <w:rPr>
          <w:szCs w:val="24"/>
        </w:rPr>
        <w:tab/>
      </w:r>
      <w:r w:rsidRPr="00F62DF5">
        <w:rPr>
          <w:szCs w:val="24"/>
        </w:rPr>
        <w:tab/>
      </w:r>
      <w:r w:rsidRPr="00F62DF5">
        <w:rPr>
          <w:szCs w:val="24"/>
        </w:rPr>
        <w:tab/>
        <w:t>:</w:t>
      </w:r>
      <w:r w:rsidRPr="00F62DF5">
        <w:rPr>
          <w:szCs w:val="24"/>
        </w:rPr>
        <w:tab/>
      </w:r>
      <w:r w:rsidRPr="00F62DF5">
        <w:rPr>
          <w:szCs w:val="24"/>
        </w:rPr>
        <w:tab/>
        <w:t>F-2015-2503599</w:t>
      </w:r>
    </w:p>
    <w:p w:rsidR="00A162B5" w:rsidRPr="00F62DF5" w:rsidRDefault="00A162B5" w:rsidP="007A53A2">
      <w:pPr>
        <w:spacing w:line="240" w:lineRule="auto"/>
        <w:jc w:val="both"/>
        <w:rPr>
          <w:szCs w:val="24"/>
        </w:rPr>
      </w:pPr>
      <w:r w:rsidRPr="00F62DF5">
        <w:rPr>
          <w:szCs w:val="24"/>
        </w:rPr>
        <w:tab/>
      </w:r>
      <w:r w:rsidRPr="00F62DF5">
        <w:rPr>
          <w:szCs w:val="24"/>
        </w:rPr>
        <w:tab/>
      </w:r>
      <w:r w:rsidRPr="00F62DF5">
        <w:rPr>
          <w:szCs w:val="24"/>
        </w:rPr>
        <w:tab/>
      </w:r>
      <w:r w:rsidRPr="00F62DF5">
        <w:rPr>
          <w:szCs w:val="24"/>
        </w:rPr>
        <w:tab/>
      </w:r>
      <w:r w:rsidRPr="00F62DF5">
        <w:rPr>
          <w:szCs w:val="24"/>
        </w:rPr>
        <w:tab/>
      </w:r>
      <w:r w:rsidRPr="00F62DF5">
        <w:rPr>
          <w:szCs w:val="24"/>
        </w:rPr>
        <w:tab/>
      </w:r>
      <w:r w:rsidRPr="00F62DF5">
        <w:rPr>
          <w:szCs w:val="24"/>
        </w:rPr>
        <w:tab/>
        <w:t>:</w:t>
      </w:r>
    </w:p>
    <w:p w:rsidR="00A162B5" w:rsidRPr="00F62DF5" w:rsidRDefault="00A162B5" w:rsidP="007A53A2">
      <w:pPr>
        <w:spacing w:line="240" w:lineRule="auto"/>
        <w:jc w:val="both"/>
        <w:rPr>
          <w:szCs w:val="24"/>
        </w:rPr>
      </w:pPr>
      <w:r w:rsidRPr="00F62DF5">
        <w:rPr>
          <w:szCs w:val="24"/>
        </w:rPr>
        <w:t>Philadelphia Gas Works</w:t>
      </w:r>
      <w:r w:rsidRPr="00F62DF5">
        <w:rPr>
          <w:szCs w:val="24"/>
        </w:rPr>
        <w:tab/>
      </w:r>
      <w:r w:rsidRPr="00F62DF5">
        <w:rPr>
          <w:szCs w:val="24"/>
        </w:rPr>
        <w:tab/>
      </w:r>
      <w:r w:rsidRPr="00F62DF5">
        <w:rPr>
          <w:szCs w:val="24"/>
        </w:rPr>
        <w:tab/>
      </w:r>
      <w:r w:rsidRPr="00F62DF5">
        <w:rPr>
          <w:szCs w:val="24"/>
        </w:rPr>
        <w:tab/>
        <w:t>:</w:t>
      </w:r>
    </w:p>
    <w:p w:rsidR="00A162B5" w:rsidRPr="00F62DF5" w:rsidRDefault="00A162B5" w:rsidP="007A53A2">
      <w:pPr>
        <w:spacing w:line="240" w:lineRule="auto"/>
        <w:jc w:val="both"/>
        <w:rPr>
          <w:szCs w:val="24"/>
        </w:rPr>
      </w:pPr>
    </w:p>
    <w:p w:rsidR="004A1397" w:rsidRPr="00F62DF5" w:rsidRDefault="004A1397" w:rsidP="007A53A2">
      <w:pPr>
        <w:spacing w:line="240" w:lineRule="auto"/>
        <w:jc w:val="both"/>
        <w:rPr>
          <w:szCs w:val="24"/>
        </w:rPr>
      </w:pPr>
    </w:p>
    <w:p w:rsidR="008764BE" w:rsidRPr="00F62DF5" w:rsidRDefault="008764BE" w:rsidP="007A53A2">
      <w:pPr>
        <w:spacing w:line="240" w:lineRule="auto"/>
        <w:jc w:val="both"/>
        <w:rPr>
          <w:szCs w:val="24"/>
        </w:rPr>
      </w:pPr>
    </w:p>
    <w:p w:rsidR="004A1397" w:rsidRPr="00F62DF5" w:rsidRDefault="004A1397" w:rsidP="007A53A2">
      <w:pPr>
        <w:pStyle w:val="Heading1"/>
        <w:spacing w:line="240" w:lineRule="auto"/>
        <w:rPr>
          <w:rFonts w:ascii="Times New Roman" w:hAnsi="Times New Roman"/>
          <w:szCs w:val="24"/>
        </w:rPr>
      </w:pPr>
      <w:r w:rsidRPr="00F62DF5">
        <w:rPr>
          <w:rFonts w:ascii="Times New Roman" w:hAnsi="Times New Roman"/>
          <w:szCs w:val="24"/>
        </w:rPr>
        <w:t>INITIAL DECISION</w:t>
      </w:r>
    </w:p>
    <w:p w:rsidR="004A1397" w:rsidRPr="00F62DF5" w:rsidRDefault="004A1397" w:rsidP="007A53A2">
      <w:pPr>
        <w:spacing w:line="240" w:lineRule="auto"/>
        <w:jc w:val="center"/>
        <w:rPr>
          <w:szCs w:val="24"/>
        </w:rPr>
      </w:pPr>
    </w:p>
    <w:p w:rsidR="004A1397" w:rsidRPr="00F62DF5" w:rsidRDefault="004A1397" w:rsidP="007A53A2">
      <w:pPr>
        <w:spacing w:line="240" w:lineRule="auto"/>
        <w:jc w:val="center"/>
        <w:rPr>
          <w:szCs w:val="24"/>
        </w:rPr>
      </w:pPr>
    </w:p>
    <w:p w:rsidR="004A1397" w:rsidRPr="00F62DF5" w:rsidRDefault="004A1397" w:rsidP="007A53A2">
      <w:pPr>
        <w:pStyle w:val="Heading2"/>
        <w:spacing w:line="240" w:lineRule="auto"/>
        <w:rPr>
          <w:rFonts w:ascii="Times New Roman" w:hAnsi="Times New Roman"/>
          <w:b w:val="0"/>
          <w:szCs w:val="24"/>
        </w:rPr>
      </w:pPr>
      <w:r w:rsidRPr="00F62DF5">
        <w:rPr>
          <w:rFonts w:ascii="Times New Roman" w:hAnsi="Times New Roman"/>
          <w:b w:val="0"/>
          <w:szCs w:val="24"/>
        </w:rPr>
        <w:t>Before</w:t>
      </w:r>
    </w:p>
    <w:p w:rsidR="004A1397" w:rsidRPr="00F62DF5" w:rsidRDefault="004A1397" w:rsidP="007A53A2">
      <w:pPr>
        <w:spacing w:line="240" w:lineRule="auto"/>
        <w:jc w:val="center"/>
        <w:rPr>
          <w:szCs w:val="24"/>
        </w:rPr>
      </w:pPr>
      <w:r w:rsidRPr="00F62DF5">
        <w:rPr>
          <w:szCs w:val="24"/>
        </w:rPr>
        <w:t>Cynthia Williams Fordham</w:t>
      </w:r>
    </w:p>
    <w:p w:rsidR="004A1397" w:rsidRPr="00F62DF5" w:rsidRDefault="004A1397" w:rsidP="007A53A2">
      <w:pPr>
        <w:spacing w:line="240" w:lineRule="auto"/>
        <w:jc w:val="center"/>
        <w:rPr>
          <w:szCs w:val="24"/>
        </w:rPr>
      </w:pPr>
      <w:r w:rsidRPr="00F62DF5">
        <w:rPr>
          <w:szCs w:val="24"/>
        </w:rPr>
        <w:t>Administrative Law Judge</w:t>
      </w:r>
    </w:p>
    <w:p w:rsidR="004A1397" w:rsidRPr="00F62DF5" w:rsidRDefault="004A1397" w:rsidP="007A53A2">
      <w:pPr>
        <w:spacing w:line="240" w:lineRule="auto"/>
        <w:jc w:val="center"/>
        <w:rPr>
          <w:szCs w:val="24"/>
        </w:rPr>
      </w:pPr>
    </w:p>
    <w:p w:rsidR="008764BE" w:rsidRPr="00F62DF5" w:rsidRDefault="008764BE" w:rsidP="007A53A2">
      <w:pPr>
        <w:spacing w:line="240" w:lineRule="auto"/>
        <w:jc w:val="center"/>
        <w:rPr>
          <w:szCs w:val="24"/>
        </w:rPr>
      </w:pPr>
    </w:p>
    <w:p w:rsidR="00707341" w:rsidRPr="00F62DF5" w:rsidRDefault="00707341" w:rsidP="007A53A2">
      <w:pPr>
        <w:rPr>
          <w:color w:val="000000"/>
          <w:szCs w:val="24"/>
        </w:rPr>
      </w:pPr>
      <w:r w:rsidRPr="00F62DF5">
        <w:rPr>
          <w:color w:val="000000"/>
          <w:szCs w:val="24"/>
        </w:rPr>
        <w:tab/>
      </w:r>
      <w:r w:rsidRPr="00F62DF5">
        <w:rPr>
          <w:color w:val="000000"/>
          <w:szCs w:val="24"/>
        </w:rPr>
        <w:tab/>
        <w:t>The Complainant alleged that there were incorrect charges on her bill</w:t>
      </w:r>
      <w:r w:rsidR="00566D83" w:rsidRPr="00F62DF5">
        <w:rPr>
          <w:color w:val="000000"/>
          <w:szCs w:val="24"/>
        </w:rPr>
        <w:t xml:space="preserve"> and that she needed a payment arrangement</w:t>
      </w:r>
      <w:r w:rsidRPr="00F62DF5">
        <w:rPr>
          <w:color w:val="000000"/>
          <w:szCs w:val="24"/>
        </w:rPr>
        <w:t xml:space="preserve">.  </w:t>
      </w:r>
      <w:r w:rsidR="008C5F37" w:rsidRPr="00F62DF5">
        <w:rPr>
          <w:color w:val="000000"/>
          <w:szCs w:val="24"/>
        </w:rPr>
        <w:t xml:space="preserve">The </w:t>
      </w:r>
      <w:r w:rsidRPr="00F62DF5">
        <w:rPr>
          <w:color w:val="000000"/>
          <w:szCs w:val="24"/>
        </w:rPr>
        <w:t xml:space="preserve">evidence </w:t>
      </w:r>
      <w:r w:rsidR="008C5F37" w:rsidRPr="00F62DF5">
        <w:rPr>
          <w:color w:val="000000"/>
          <w:szCs w:val="24"/>
        </w:rPr>
        <w:t xml:space="preserve">in the record indicates that the </w:t>
      </w:r>
      <w:r w:rsidRPr="00F62DF5">
        <w:rPr>
          <w:color w:val="000000"/>
          <w:szCs w:val="24"/>
        </w:rPr>
        <w:t xml:space="preserve">Complainant’s </w:t>
      </w:r>
      <w:r w:rsidR="00566D83" w:rsidRPr="00F62DF5">
        <w:rPr>
          <w:color w:val="000000"/>
          <w:szCs w:val="24"/>
        </w:rPr>
        <w:t>usage was consist</w:t>
      </w:r>
      <w:r w:rsidR="008C5F37" w:rsidRPr="00F62DF5">
        <w:rPr>
          <w:color w:val="000000"/>
          <w:szCs w:val="24"/>
        </w:rPr>
        <w:t>e</w:t>
      </w:r>
      <w:r w:rsidR="00566D83" w:rsidRPr="00F62DF5">
        <w:rPr>
          <w:color w:val="000000"/>
          <w:szCs w:val="24"/>
        </w:rPr>
        <w:t>n</w:t>
      </w:r>
      <w:r w:rsidR="008C5F37" w:rsidRPr="00F62DF5">
        <w:rPr>
          <w:color w:val="000000"/>
          <w:szCs w:val="24"/>
        </w:rPr>
        <w:t>t</w:t>
      </w:r>
      <w:r w:rsidR="00566D83" w:rsidRPr="00F62DF5">
        <w:rPr>
          <w:color w:val="000000"/>
          <w:szCs w:val="24"/>
        </w:rPr>
        <w:t xml:space="preserve"> with her historical usage</w:t>
      </w:r>
      <w:r w:rsidR="0026314F" w:rsidRPr="00F62DF5">
        <w:rPr>
          <w:color w:val="000000"/>
          <w:szCs w:val="24"/>
        </w:rPr>
        <w:t xml:space="preserve"> and that she did not have a past due balance</w:t>
      </w:r>
      <w:r w:rsidR="008C5F37" w:rsidRPr="00F62DF5">
        <w:rPr>
          <w:color w:val="000000"/>
          <w:szCs w:val="24"/>
        </w:rPr>
        <w:t xml:space="preserve">.  </w:t>
      </w:r>
      <w:r w:rsidRPr="00F62DF5">
        <w:rPr>
          <w:color w:val="000000"/>
          <w:szCs w:val="24"/>
        </w:rPr>
        <w:t>The Complainant failed to show that there were incorrect charges on h</w:t>
      </w:r>
      <w:r w:rsidR="008C5F37" w:rsidRPr="00F62DF5">
        <w:rPr>
          <w:color w:val="000000"/>
          <w:szCs w:val="24"/>
        </w:rPr>
        <w:t>er</w:t>
      </w:r>
      <w:r w:rsidRPr="00F62DF5">
        <w:rPr>
          <w:color w:val="000000"/>
          <w:szCs w:val="24"/>
        </w:rPr>
        <w:t xml:space="preserve"> bills</w:t>
      </w:r>
      <w:r w:rsidR="0026314F" w:rsidRPr="00F62DF5">
        <w:rPr>
          <w:color w:val="000000"/>
          <w:szCs w:val="24"/>
        </w:rPr>
        <w:t xml:space="preserve"> or that she needed a p</w:t>
      </w:r>
      <w:r w:rsidR="00566D83" w:rsidRPr="00F62DF5">
        <w:rPr>
          <w:color w:val="000000"/>
          <w:szCs w:val="24"/>
        </w:rPr>
        <w:t>ayment arrangement</w:t>
      </w:r>
      <w:r w:rsidR="0026314F" w:rsidRPr="00F62DF5">
        <w:rPr>
          <w:color w:val="000000"/>
          <w:szCs w:val="24"/>
        </w:rPr>
        <w:t>.</w:t>
      </w:r>
      <w:r w:rsidR="00566D83" w:rsidRPr="00F62DF5">
        <w:rPr>
          <w:color w:val="000000"/>
          <w:szCs w:val="24"/>
        </w:rPr>
        <w:t xml:space="preserve"> </w:t>
      </w:r>
      <w:r w:rsidR="0091597C" w:rsidRPr="00F62DF5">
        <w:rPr>
          <w:color w:val="000000"/>
          <w:szCs w:val="24"/>
        </w:rPr>
        <w:t xml:space="preserve"> </w:t>
      </w:r>
      <w:r w:rsidRPr="00F62DF5">
        <w:rPr>
          <w:color w:val="000000"/>
          <w:szCs w:val="24"/>
        </w:rPr>
        <w:t>Consequently, the complaint is dismissed.</w:t>
      </w:r>
    </w:p>
    <w:p w:rsidR="004A1397" w:rsidRPr="00F62DF5" w:rsidRDefault="004A1397" w:rsidP="007A53A2">
      <w:pPr>
        <w:spacing w:line="240" w:lineRule="auto"/>
        <w:jc w:val="center"/>
        <w:rPr>
          <w:szCs w:val="24"/>
        </w:rPr>
      </w:pPr>
    </w:p>
    <w:p w:rsidR="004A1397" w:rsidRPr="00F62DF5" w:rsidRDefault="004A1397" w:rsidP="007A53A2">
      <w:pPr>
        <w:pStyle w:val="Heading1"/>
        <w:tabs>
          <w:tab w:val="left" w:pos="1980"/>
        </w:tabs>
        <w:rPr>
          <w:rFonts w:ascii="Times New Roman" w:hAnsi="Times New Roman"/>
          <w:b w:val="0"/>
          <w:szCs w:val="24"/>
        </w:rPr>
      </w:pPr>
      <w:r w:rsidRPr="00F62DF5">
        <w:rPr>
          <w:rFonts w:ascii="Times New Roman" w:hAnsi="Times New Roman"/>
          <w:b w:val="0"/>
          <w:szCs w:val="24"/>
        </w:rPr>
        <w:t>HISTORY OF THE PROCEEDING</w:t>
      </w:r>
    </w:p>
    <w:p w:rsidR="004A1397" w:rsidRPr="00F62DF5" w:rsidRDefault="004A1397" w:rsidP="007A53A2">
      <w:pPr>
        <w:rPr>
          <w:szCs w:val="24"/>
        </w:rPr>
      </w:pPr>
    </w:p>
    <w:p w:rsidR="00A162B5" w:rsidRPr="00F62DF5" w:rsidRDefault="00A162B5" w:rsidP="007A53A2">
      <w:pPr>
        <w:rPr>
          <w:szCs w:val="24"/>
        </w:rPr>
      </w:pPr>
      <w:r w:rsidRPr="00F62DF5">
        <w:rPr>
          <w:szCs w:val="24"/>
        </w:rPr>
        <w:tab/>
      </w:r>
      <w:r w:rsidRPr="00F62DF5">
        <w:rPr>
          <w:szCs w:val="24"/>
        </w:rPr>
        <w:tab/>
        <w:t>On September 14, 2015, Betty McFadden (“McFadden” or “Complainant”) filed a formal complaint against the Phila</w:t>
      </w:r>
      <w:r w:rsidR="007A53A2">
        <w:rPr>
          <w:szCs w:val="24"/>
        </w:rPr>
        <w:t xml:space="preserve">delphia Gas Works (“PGW” or </w:t>
      </w:r>
      <w:r w:rsidRPr="00F62DF5">
        <w:rPr>
          <w:szCs w:val="24"/>
        </w:rPr>
        <w:t xml:space="preserve">“Respondent”) alleging the following: </w:t>
      </w:r>
      <w:r w:rsidR="00566D83" w:rsidRPr="00F62DF5">
        <w:rPr>
          <w:szCs w:val="24"/>
        </w:rPr>
        <w:t xml:space="preserve">1) </w:t>
      </w:r>
      <w:r w:rsidRPr="00F62DF5">
        <w:rPr>
          <w:szCs w:val="24"/>
        </w:rPr>
        <w:t xml:space="preserve">that there are incorrect charges on her bill; </w:t>
      </w:r>
      <w:r w:rsidR="00566D83" w:rsidRPr="00F62DF5">
        <w:rPr>
          <w:szCs w:val="24"/>
        </w:rPr>
        <w:t xml:space="preserve">2) </w:t>
      </w:r>
      <w:r w:rsidRPr="00F62DF5">
        <w:rPr>
          <w:szCs w:val="24"/>
        </w:rPr>
        <w:t>that the Respondent i</w:t>
      </w:r>
      <w:r w:rsidR="00566D83" w:rsidRPr="00F62DF5">
        <w:rPr>
          <w:szCs w:val="24"/>
        </w:rPr>
        <w:t>s</w:t>
      </w:r>
      <w:r w:rsidRPr="00F62DF5">
        <w:rPr>
          <w:szCs w:val="24"/>
        </w:rPr>
        <w:t xml:space="preserve"> threatening to shut off her service; and </w:t>
      </w:r>
      <w:r w:rsidR="00566D83" w:rsidRPr="00F62DF5">
        <w:rPr>
          <w:szCs w:val="24"/>
        </w:rPr>
        <w:t xml:space="preserve">3) </w:t>
      </w:r>
      <w:r w:rsidRPr="00F62DF5">
        <w:rPr>
          <w:szCs w:val="24"/>
        </w:rPr>
        <w:t>that she would like</w:t>
      </w:r>
      <w:r w:rsidR="006027E2">
        <w:rPr>
          <w:szCs w:val="24"/>
        </w:rPr>
        <w:t xml:space="preserve"> an affordable payment arrangement</w:t>
      </w:r>
      <w:r w:rsidRPr="00F62DF5">
        <w:rPr>
          <w:szCs w:val="24"/>
        </w:rPr>
        <w:t>.</w:t>
      </w:r>
      <w:r w:rsidR="008E2777" w:rsidRPr="00F62DF5">
        <w:rPr>
          <w:szCs w:val="24"/>
        </w:rPr>
        <w:t xml:space="preserve"> </w:t>
      </w:r>
      <w:r w:rsidRPr="00F62DF5">
        <w:rPr>
          <w:szCs w:val="24"/>
        </w:rPr>
        <w:t xml:space="preserve"> This is a timely appeal of a Burea</w:t>
      </w:r>
      <w:r w:rsidR="00AF251E">
        <w:rPr>
          <w:szCs w:val="24"/>
        </w:rPr>
        <w:t xml:space="preserve">u of Consumer Services Decision </w:t>
      </w:r>
      <w:r w:rsidR="00013691">
        <w:rPr>
          <w:szCs w:val="24"/>
        </w:rPr>
        <w:t>(</w:t>
      </w:r>
      <w:r w:rsidR="00627C8A">
        <w:rPr>
          <w:szCs w:val="24"/>
        </w:rPr>
        <w:t>#</w:t>
      </w:r>
      <w:r w:rsidR="00013691">
        <w:rPr>
          <w:szCs w:val="24"/>
        </w:rPr>
        <w:t>3367483).</w:t>
      </w:r>
    </w:p>
    <w:p w:rsidR="00A162B5" w:rsidRPr="00F62DF5" w:rsidRDefault="00A162B5" w:rsidP="007A53A2">
      <w:pPr>
        <w:rPr>
          <w:szCs w:val="24"/>
        </w:rPr>
      </w:pPr>
    </w:p>
    <w:p w:rsidR="00A162B5" w:rsidRPr="00F62DF5" w:rsidRDefault="00A162B5" w:rsidP="007A53A2">
      <w:pPr>
        <w:rPr>
          <w:szCs w:val="24"/>
        </w:rPr>
      </w:pPr>
      <w:r w:rsidRPr="00F62DF5">
        <w:rPr>
          <w:szCs w:val="24"/>
        </w:rPr>
        <w:tab/>
      </w:r>
      <w:r w:rsidRPr="00F62DF5">
        <w:rPr>
          <w:szCs w:val="24"/>
        </w:rPr>
        <w:tab/>
        <w:t xml:space="preserve">On October 5, 2015, the Respondent filed an answer.  The Respondent admitted that it issued a shut off notice on June 9, 2015.  The Respondent admitted that the Complainant wants a payment agreement.  The Respondent denied that there are incorrect charges on the Complainant’s bills. </w:t>
      </w:r>
      <w:r w:rsidR="008E2777" w:rsidRPr="00F62DF5">
        <w:rPr>
          <w:szCs w:val="24"/>
        </w:rPr>
        <w:t xml:space="preserve"> </w:t>
      </w:r>
      <w:r w:rsidRPr="00F62DF5">
        <w:rPr>
          <w:szCs w:val="24"/>
        </w:rPr>
        <w:t xml:space="preserve">The Respondent stated that it completed high bill disputes when the </w:t>
      </w:r>
      <w:r w:rsidRPr="00F62DF5">
        <w:rPr>
          <w:szCs w:val="24"/>
        </w:rPr>
        <w:lastRenderedPageBreak/>
        <w:t>Complainant complained about high bills in April 2013, December 2014 and June 2015.  The Respondent referred to a Bureau of Consumer Services Decision Report, dated August 3, 2015, stating that the Complainant will be required to pay a budget payment of $57.00 plus $15.00 towards the arrearage</w:t>
      </w:r>
      <w:r w:rsidR="008C76DA">
        <w:rPr>
          <w:szCs w:val="24"/>
        </w:rPr>
        <w:t>,</w:t>
      </w:r>
      <w:r w:rsidRPr="00F62DF5">
        <w:rPr>
          <w:szCs w:val="24"/>
        </w:rPr>
        <w:t xml:space="preserve"> </w:t>
      </w:r>
      <w:r w:rsidR="00566D83" w:rsidRPr="00F62DF5">
        <w:rPr>
          <w:szCs w:val="24"/>
        </w:rPr>
        <w:t xml:space="preserve">for a </w:t>
      </w:r>
      <w:r w:rsidRPr="00F62DF5">
        <w:rPr>
          <w:szCs w:val="24"/>
        </w:rPr>
        <w:t xml:space="preserve">total </w:t>
      </w:r>
      <w:r w:rsidR="00566D83" w:rsidRPr="00F62DF5">
        <w:rPr>
          <w:szCs w:val="24"/>
        </w:rPr>
        <w:t xml:space="preserve">of </w:t>
      </w:r>
      <w:r w:rsidRPr="00F62DF5">
        <w:rPr>
          <w:szCs w:val="24"/>
        </w:rPr>
        <w:t>$72.00</w:t>
      </w:r>
      <w:r w:rsidR="00566D83" w:rsidRPr="00F62DF5">
        <w:rPr>
          <w:szCs w:val="24"/>
        </w:rPr>
        <w:t xml:space="preserve"> a month</w:t>
      </w:r>
      <w:r w:rsidRPr="00F62DF5">
        <w:rPr>
          <w:szCs w:val="24"/>
        </w:rPr>
        <w:t xml:space="preserve">. </w:t>
      </w:r>
    </w:p>
    <w:p w:rsidR="00A162B5" w:rsidRPr="00F62DF5" w:rsidRDefault="00A162B5" w:rsidP="007A53A2">
      <w:pPr>
        <w:rPr>
          <w:szCs w:val="24"/>
        </w:rPr>
      </w:pPr>
    </w:p>
    <w:p w:rsidR="0038153E" w:rsidRPr="00F62DF5" w:rsidRDefault="0038153E"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 xml:space="preserve">By hearing notice dated </w:t>
      </w:r>
      <w:r w:rsidR="00A162B5" w:rsidRPr="00F62DF5">
        <w:rPr>
          <w:rFonts w:ascii="Times New Roman" w:hAnsi="Times New Roman"/>
          <w:szCs w:val="24"/>
        </w:rPr>
        <w:t>October 14, 2015</w:t>
      </w:r>
      <w:r w:rsidRPr="00F62DF5">
        <w:rPr>
          <w:rFonts w:ascii="Times New Roman" w:hAnsi="Times New Roman"/>
          <w:szCs w:val="24"/>
        </w:rPr>
        <w:t xml:space="preserve">, </w:t>
      </w:r>
      <w:r w:rsidR="000133B4" w:rsidRPr="00F62DF5">
        <w:rPr>
          <w:rFonts w:ascii="Times New Roman" w:hAnsi="Times New Roman"/>
          <w:szCs w:val="24"/>
        </w:rPr>
        <w:t xml:space="preserve">the hearing was scheduled for Wednesday, December 2, 2015 at 9:30 a.m. and the case </w:t>
      </w:r>
      <w:r w:rsidRPr="00F62DF5">
        <w:rPr>
          <w:rFonts w:ascii="Times New Roman" w:hAnsi="Times New Roman"/>
          <w:szCs w:val="24"/>
        </w:rPr>
        <w:t>was assigned to the undersigned</w:t>
      </w:r>
      <w:r w:rsidR="000133B4" w:rsidRPr="00F62DF5">
        <w:rPr>
          <w:rFonts w:ascii="Times New Roman" w:hAnsi="Times New Roman"/>
          <w:szCs w:val="24"/>
        </w:rPr>
        <w:t>.</w:t>
      </w:r>
    </w:p>
    <w:p w:rsidR="0038153E" w:rsidRPr="00F62DF5" w:rsidRDefault="0038153E" w:rsidP="007A53A2">
      <w:pPr>
        <w:pStyle w:val="BodyText"/>
        <w:tabs>
          <w:tab w:val="left" w:pos="0"/>
        </w:tabs>
        <w:jc w:val="left"/>
        <w:rPr>
          <w:rFonts w:ascii="Times New Roman" w:hAnsi="Times New Roman"/>
          <w:szCs w:val="24"/>
        </w:rPr>
      </w:pPr>
    </w:p>
    <w:p w:rsidR="0038153E" w:rsidRPr="00F62DF5" w:rsidRDefault="0038153E"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 xml:space="preserve">A Prehearing Order, dated </w:t>
      </w:r>
      <w:r w:rsidR="00A162B5" w:rsidRPr="00F62DF5">
        <w:rPr>
          <w:rFonts w:ascii="Times New Roman" w:hAnsi="Times New Roman"/>
          <w:szCs w:val="24"/>
        </w:rPr>
        <w:t>November 6, 2015</w:t>
      </w:r>
      <w:r w:rsidRPr="00F62DF5">
        <w:rPr>
          <w:rFonts w:ascii="Times New Roman" w:hAnsi="Times New Roman"/>
          <w:szCs w:val="24"/>
        </w:rPr>
        <w:t>, was sent to the parties.</w:t>
      </w:r>
      <w:r w:rsidR="00A55585" w:rsidRPr="00F62DF5">
        <w:rPr>
          <w:rFonts w:ascii="Times New Roman" w:hAnsi="Times New Roman"/>
          <w:szCs w:val="24"/>
        </w:rPr>
        <w:t xml:space="preserve"> </w:t>
      </w:r>
      <w:r w:rsidRPr="00F62DF5">
        <w:rPr>
          <w:rFonts w:ascii="Times New Roman" w:hAnsi="Times New Roman"/>
          <w:szCs w:val="24"/>
        </w:rPr>
        <w:t xml:space="preserve"> </w:t>
      </w:r>
    </w:p>
    <w:p w:rsidR="0038153E" w:rsidRPr="00F62DF5" w:rsidRDefault="0038153E" w:rsidP="007A53A2">
      <w:pPr>
        <w:pStyle w:val="BodyText"/>
        <w:tabs>
          <w:tab w:val="left" w:pos="0"/>
        </w:tabs>
        <w:spacing w:line="360" w:lineRule="auto"/>
        <w:jc w:val="left"/>
        <w:rPr>
          <w:rFonts w:ascii="Times New Roman" w:hAnsi="Times New Roman"/>
          <w:szCs w:val="24"/>
        </w:rPr>
      </w:pPr>
    </w:p>
    <w:p w:rsidR="00B22650" w:rsidRPr="00F62DF5" w:rsidRDefault="0038153E"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 xml:space="preserve">An initial hearing was held in this matter on </w:t>
      </w:r>
      <w:r w:rsidR="00A162B5" w:rsidRPr="00F62DF5">
        <w:rPr>
          <w:rFonts w:ascii="Times New Roman" w:hAnsi="Times New Roman"/>
          <w:szCs w:val="24"/>
        </w:rPr>
        <w:t>December 2, 2015</w:t>
      </w:r>
      <w:r w:rsidRPr="00F62DF5">
        <w:rPr>
          <w:rFonts w:ascii="Times New Roman" w:hAnsi="Times New Roman"/>
          <w:szCs w:val="24"/>
        </w:rPr>
        <w:t xml:space="preserve">, in the Philadelphia Regional Office at 801 Market Street before Administrative Law Judge Cynthia Williams Fordham.  The hearing was </w:t>
      </w:r>
      <w:r w:rsidR="00A162B5" w:rsidRPr="00F62DF5">
        <w:rPr>
          <w:rFonts w:ascii="Times New Roman" w:hAnsi="Times New Roman"/>
          <w:szCs w:val="24"/>
        </w:rPr>
        <w:t xml:space="preserve">one of the call of the docket cases </w:t>
      </w:r>
      <w:r w:rsidRPr="00F62DF5">
        <w:rPr>
          <w:rFonts w:ascii="Times New Roman" w:hAnsi="Times New Roman"/>
          <w:szCs w:val="24"/>
        </w:rPr>
        <w:t xml:space="preserve">scheduled for </w:t>
      </w:r>
      <w:r w:rsidR="00A162B5" w:rsidRPr="00F62DF5">
        <w:rPr>
          <w:rFonts w:ascii="Times New Roman" w:hAnsi="Times New Roman"/>
          <w:szCs w:val="24"/>
        </w:rPr>
        <w:t>9</w:t>
      </w:r>
      <w:r w:rsidRPr="00F62DF5">
        <w:rPr>
          <w:rFonts w:ascii="Times New Roman" w:hAnsi="Times New Roman"/>
          <w:szCs w:val="24"/>
        </w:rPr>
        <w:t>:</w:t>
      </w:r>
      <w:r w:rsidR="00A162B5" w:rsidRPr="00F62DF5">
        <w:rPr>
          <w:rFonts w:ascii="Times New Roman" w:hAnsi="Times New Roman"/>
          <w:szCs w:val="24"/>
        </w:rPr>
        <w:t>3</w:t>
      </w:r>
      <w:r w:rsidRPr="00F62DF5">
        <w:rPr>
          <w:rFonts w:ascii="Times New Roman" w:hAnsi="Times New Roman"/>
          <w:szCs w:val="24"/>
        </w:rPr>
        <w:t xml:space="preserve">0 a.m.  </w:t>
      </w:r>
      <w:r w:rsidR="0010053D" w:rsidRPr="00F62DF5">
        <w:rPr>
          <w:rFonts w:ascii="Times New Roman" w:hAnsi="Times New Roman"/>
          <w:szCs w:val="24"/>
        </w:rPr>
        <w:t xml:space="preserve">The hearing began at 10:15 a.m.  </w:t>
      </w:r>
      <w:r w:rsidR="00B22650" w:rsidRPr="00F62DF5">
        <w:rPr>
          <w:rFonts w:ascii="Times New Roman" w:hAnsi="Times New Roman"/>
          <w:szCs w:val="24"/>
        </w:rPr>
        <w:t xml:space="preserve">Betty McFadden, the Complainant, appeared </w:t>
      </w:r>
      <w:r w:rsidR="00B22650" w:rsidRPr="00F62DF5">
        <w:rPr>
          <w:rFonts w:ascii="Times New Roman" w:hAnsi="Times New Roman"/>
          <w:i/>
          <w:szCs w:val="24"/>
        </w:rPr>
        <w:t>pro se</w:t>
      </w:r>
      <w:r w:rsidR="00B22650" w:rsidRPr="00F62DF5">
        <w:rPr>
          <w:rFonts w:ascii="Times New Roman" w:hAnsi="Times New Roman"/>
          <w:szCs w:val="24"/>
        </w:rPr>
        <w:t xml:space="preserve">, testified, and sponsored two exhibits.  </w:t>
      </w:r>
    </w:p>
    <w:p w:rsidR="00B22650" w:rsidRPr="00F62DF5" w:rsidRDefault="00B22650" w:rsidP="007A53A2">
      <w:pPr>
        <w:pStyle w:val="BodyText"/>
        <w:tabs>
          <w:tab w:val="clear" w:pos="1980"/>
          <w:tab w:val="left" w:pos="0"/>
        </w:tabs>
        <w:spacing w:line="360" w:lineRule="auto"/>
        <w:jc w:val="left"/>
        <w:rPr>
          <w:rFonts w:ascii="Times New Roman" w:hAnsi="Times New Roman"/>
          <w:szCs w:val="24"/>
        </w:rPr>
      </w:pPr>
    </w:p>
    <w:p w:rsidR="00B22650" w:rsidRPr="00F62DF5" w:rsidRDefault="00B22650" w:rsidP="007A53A2">
      <w:pPr>
        <w:pStyle w:val="BodyText"/>
        <w:tabs>
          <w:tab w:val="clear" w:pos="1980"/>
          <w:tab w:val="left" w:pos="0"/>
        </w:tabs>
        <w:spacing w:line="240" w:lineRule="auto"/>
        <w:ind w:left="1440"/>
        <w:jc w:val="left"/>
        <w:rPr>
          <w:rFonts w:ascii="Times New Roman" w:hAnsi="Times New Roman"/>
          <w:szCs w:val="24"/>
        </w:rPr>
      </w:pPr>
      <w:r w:rsidRPr="00F62DF5">
        <w:rPr>
          <w:rFonts w:ascii="Times New Roman" w:hAnsi="Times New Roman"/>
          <w:szCs w:val="24"/>
        </w:rPr>
        <w:t xml:space="preserve">Complainant’s Exhibit 1 </w:t>
      </w:r>
      <w:r w:rsidR="0010053D" w:rsidRPr="00F62DF5">
        <w:rPr>
          <w:rFonts w:ascii="Times New Roman" w:hAnsi="Times New Roman"/>
          <w:szCs w:val="24"/>
        </w:rPr>
        <w:t>-</w:t>
      </w:r>
      <w:r w:rsidRPr="00F62DF5">
        <w:rPr>
          <w:rFonts w:ascii="Times New Roman" w:hAnsi="Times New Roman"/>
          <w:szCs w:val="24"/>
        </w:rPr>
        <w:t xml:space="preserve"> </w:t>
      </w:r>
      <w:r w:rsidR="0010053D" w:rsidRPr="00F62DF5">
        <w:rPr>
          <w:rFonts w:ascii="Times New Roman" w:hAnsi="Times New Roman"/>
          <w:szCs w:val="24"/>
        </w:rPr>
        <w:t xml:space="preserve">Past due reminder </w:t>
      </w:r>
      <w:r w:rsidR="00C339E4" w:rsidRPr="00F62DF5">
        <w:rPr>
          <w:rFonts w:ascii="Times New Roman" w:hAnsi="Times New Roman"/>
          <w:szCs w:val="24"/>
        </w:rPr>
        <w:t xml:space="preserve">notices </w:t>
      </w:r>
      <w:r w:rsidR="0010053D" w:rsidRPr="00F62DF5">
        <w:rPr>
          <w:rFonts w:ascii="Times New Roman" w:hAnsi="Times New Roman"/>
          <w:szCs w:val="24"/>
        </w:rPr>
        <w:t xml:space="preserve">from the Respondent </w:t>
      </w:r>
      <w:r w:rsidR="00C339E4" w:rsidRPr="00F62DF5">
        <w:rPr>
          <w:rFonts w:ascii="Times New Roman" w:hAnsi="Times New Roman"/>
          <w:szCs w:val="24"/>
        </w:rPr>
        <w:t>dated May 18, 2015 and May 28, 2015; and</w:t>
      </w:r>
    </w:p>
    <w:p w:rsidR="00B22650" w:rsidRPr="00F62DF5" w:rsidRDefault="00B22650" w:rsidP="007A53A2">
      <w:pPr>
        <w:pStyle w:val="BodyText"/>
        <w:tabs>
          <w:tab w:val="clear" w:pos="1980"/>
          <w:tab w:val="left" w:pos="0"/>
        </w:tabs>
        <w:spacing w:line="240" w:lineRule="auto"/>
        <w:ind w:left="1440"/>
        <w:jc w:val="left"/>
        <w:rPr>
          <w:rFonts w:ascii="Times New Roman" w:hAnsi="Times New Roman"/>
          <w:szCs w:val="24"/>
        </w:rPr>
      </w:pPr>
      <w:r w:rsidRPr="00F62DF5">
        <w:rPr>
          <w:rFonts w:ascii="Times New Roman" w:hAnsi="Times New Roman"/>
          <w:szCs w:val="24"/>
        </w:rPr>
        <w:t xml:space="preserve">Complainant’s Exhibit 2 </w:t>
      </w:r>
      <w:r w:rsidR="000133B4" w:rsidRPr="00F62DF5">
        <w:rPr>
          <w:rFonts w:ascii="Times New Roman" w:hAnsi="Times New Roman"/>
          <w:szCs w:val="24"/>
        </w:rPr>
        <w:t>-</w:t>
      </w:r>
      <w:r w:rsidRPr="00F62DF5">
        <w:rPr>
          <w:rFonts w:ascii="Times New Roman" w:hAnsi="Times New Roman"/>
          <w:szCs w:val="24"/>
        </w:rPr>
        <w:t xml:space="preserve"> </w:t>
      </w:r>
      <w:r w:rsidR="0010053D" w:rsidRPr="00F62DF5">
        <w:rPr>
          <w:rFonts w:ascii="Times New Roman" w:hAnsi="Times New Roman"/>
          <w:szCs w:val="24"/>
        </w:rPr>
        <w:t xml:space="preserve">Complainant’s </w:t>
      </w:r>
      <w:r w:rsidRPr="00F62DF5">
        <w:rPr>
          <w:rFonts w:ascii="Times New Roman" w:hAnsi="Times New Roman"/>
          <w:szCs w:val="24"/>
        </w:rPr>
        <w:t>bills</w:t>
      </w:r>
      <w:r w:rsidR="00C339E4" w:rsidRPr="00F62DF5">
        <w:rPr>
          <w:rFonts w:ascii="Times New Roman" w:hAnsi="Times New Roman"/>
          <w:szCs w:val="24"/>
        </w:rPr>
        <w:t xml:space="preserve"> dated May 5, 2015 </w:t>
      </w:r>
      <w:r w:rsidR="009F1840" w:rsidRPr="00F62DF5">
        <w:rPr>
          <w:rFonts w:ascii="Times New Roman" w:hAnsi="Times New Roman"/>
          <w:szCs w:val="24"/>
        </w:rPr>
        <w:t>a</w:t>
      </w:r>
      <w:r w:rsidR="00C339E4" w:rsidRPr="00F62DF5">
        <w:rPr>
          <w:rFonts w:ascii="Times New Roman" w:hAnsi="Times New Roman"/>
          <w:szCs w:val="24"/>
        </w:rPr>
        <w:t>nd June 4, 2015</w:t>
      </w:r>
      <w:r w:rsidR="00525ACB" w:rsidRPr="00F62DF5">
        <w:rPr>
          <w:rFonts w:ascii="Times New Roman" w:hAnsi="Times New Roman"/>
          <w:szCs w:val="24"/>
        </w:rPr>
        <w:t>.</w:t>
      </w:r>
    </w:p>
    <w:p w:rsidR="00B22650" w:rsidRPr="00F62DF5" w:rsidRDefault="00B22650" w:rsidP="007A53A2">
      <w:pPr>
        <w:pStyle w:val="BodyText"/>
        <w:tabs>
          <w:tab w:val="clear" w:pos="1980"/>
          <w:tab w:val="left" w:pos="0"/>
        </w:tabs>
        <w:spacing w:line="360" w:lineRule="auto"/>
        <w:jc w:val="left"/>
        <w:rPr>
          <w:rFonts w:ascii="Times New Roman" w:hAnsi="Times New Roman"/>
          <w:szCs w:val="24"/>
        </w:rPr>
      </w:pPr>
    </w:p>
    <w:p w:rsidR="005A1BF4" w:rsidRPr="00F62DF5" w:rsidRDefault="00B22650"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r>
      <w:r w:rsidR="00A162B5" w:rsidRPr="00F62DF5">
        <w:rPr>
          <w:rFonts w:ascii="Times New Roman" w:hAnsi="Times New Roman"/>
          <w:szCs w:val="24"/>
        </w:rPr>
        <w:t>Graciela Christlieb, Esquire</w:t>
      </w:r>
      <w:r w:rsidR="0038153E" w:rsidRPr="00F62DF5">
        <w:rPr>
          <w:rFonts w:ascii="Times New Roman" w:hAnsi="Times New Roman"/>
          <w:szCs w:val="24"/>
        </w:rPr>
        <w:t xml:space="preserve">, represented </w:t>
      </w:r>
      <w:r w:rsidR="000133B4" w:rsidRPr="00F62DF5">
        <w:rPr>
          <w:rFonts w:ascii="Times New Roman" w:hAnsi="Times New Roman"/>
          <w:szCs w:val="24"/>
        </w:rPr>
        <w:t xml:space="preserve">the </w:t>
      </w:r>
      <w:r w:rsidR="009F1840" w:rsidRPr="00F62DF5">
        <w:rPr>
          <w:rFonts w:ascii="Times New Roman" w:hAnsi="Times New Roman"/>
          <w:szCs w:val="24"/>
        </w:rPr>
        <w:t>Respondent</w:t>
      </w:r>
      <w:r w:rsidR="0038153E" w:rsidRPr="00F62DF5">
        <w:rPr>
          <w:rFonts w:ascii="Times New Roman" w:hAnsi="Times New Roman"/>
          <w:szCs w:val="24"/>
        </w:rPr>
        <w:t xml:space="preserve">.  </w:t>
      </w:r>
      <w:r w:rsidR="004A1397" w:rsidRPr="00F62DF5">
        <w:rPr>
          <w:rFonts w:ascii="Times New Roman" w:hAnsi="Times New Roman"/>
          <w:szCs w:val="24"/>
        </w:rPr>
        <w:t xml:space="preserve">The Respondent presented </w:t>
      </w:r>
      <w:r w:rsidR="00BB533E" w:rsidRPr="00F62DF5">
        <w:rPr>
          <w:rFonts w:ascii="Times New Roman" w:hAnsi="Times New Roman"/>
          <w:szCs w:val="24"/>
        </w:rPr>
        <w:t>o</w:t>
      </w:r>
      <w:r w:rsidR="00A162B5" w:rsidRPr="00F62DF5">
        <w:rPr>
          <w:rFonts w:ascii="Times New Roman" w:hAnsi="Times New Roman"/>
          <w:szCs w:val="24"/>
        </w:rPr>
        <w:t>ne</w:t>
      </w:r>
      <w:r w:rsidR="004A1397" w:rsidRPr="00F62DF5">
        <w:rPr>
          <w:rFonts w:ascii="Times New Roman" w:hAnsi="Times New Roman"/>
          <w:szCs w:val="24"/>
        </w:rPr>
        <w:t xml:space="preserve"> witness, </w:t>
      </w:r>
      <w:r w:rsidR="00A162B5" w:rsidRPr="00F62DF5">
        <w:rPr>
          <w:rFonts w:ascii="Times New Roman" w:hAnsi="Times New Roman"/>
          <w:szCs w:val="24"/>
        </w:rPr>
        <w:t>Joyshaly</w:t>
      </w:r>
      <w:r w:rsidR="00E66A3F" w:rsidRPr="00F62DF5">
        <w:rPr>
          <w:rFonts w:ascii="Times New Roman" w:hAnsi="Times New Roman"/>
          <w:szCs w:val="24"/>
        </w:rPr>
        <w:t>n M</w:t>
      </w:r>
      <w:r w:rsidR="00A162B5" w:rsidRPr="00F62DF5">
        <w:rPr>
          <w:rFonts w:ascii="Times New Roman" w:hAnsi="Times New Roman"/>
          <w:szCs w:val="24"/>
        </w:rPr>
        <w:t>oo</w:t>
      </w:r>
      <w:r w:rsidR="00E66A3F" w:rsidRPr="00F62DF5">
        <w:rPr>
          <w:rFonts w:ascii="Times New Roman" w:hAnsi="Times New Roman"/>
          <w:szCs w:val="24"/>
        </w:rPr>
        <w:t>re</w:t>
      </w:r>
      <w:r w:rsidR="004A1397" w:rsidRPr="00F62DF5">
        <w:rPr>
          <w:rFonts w:ascii="Times New Roman" w:hAnsi="Times New Roman"/>
          <w:szCs w:val="24"/>
        </w:rPr>
        <w:t xml:space="preserve">, a </w:t>
      </w:r>
      <w:r w:rsidR="003A138F" w:rsidRPr="00F62DF5">
        <w:rPr>
          <w:rFonts w:ascii="Times New Roman" w:hAnsi="Times New Roman"/>
          <w:szCs w:val="24"/>
        </w:rPr>
        <w:t xml:space="preserve">customer </w:t>
      </w:r>
      <w:r w:rsidR="004A1397" w:rsidRPr="00F62DF5">
        <w:rPr>
          <w:rFonts w:ascii="Times New Roman" w:hAnsi="Times New Roman"/>
          <w:szCs w:val="24"/>
        </w:rPr>
        <w:t>re</w:t>
      </w:r>
      <w:r w:rsidR="003A138F" w:rsidRPr="00F62DF5">
        <w:rPr>
          <w:rFonts w:ascii="Times New Roman" w:hAnsi="Times New Roman"/>
          <w:szCs w:val="24"/>
        </w:rPr>
        <w:t>view officer</w:t>
      </w:r>
      <w:r w:rsidR="004A1397" w:rsidRPr="00F62DF5">
        <w:rPr>
          <w:rFonts w:ascii="Times New Roman" w:hAnsi="Times New Roman"/>
          <w:szCs w:val="24"/>
        </w:rPr>
        <w:t xml:space="preserve"> for the Respondent</w:t>
      </w:r>
      <w:r w:rsidR="00BB533E" w:rsidRPr="00F62DF5">
        <w:rPr>
          <w:rFonts w:ascii="Times New Roman" w:hAnsi="Times New Roman"/>
          <w:szCs w:val="24"/>
        </w:rPr>
        <w:t xml:space="preserve">, </w:t>
      </w:r>
      <w:r w:rsidR="004A1397" w:rsidRPr="00F62DF5">
        <w:rPr>
          <w:rFonts w:ascii="Times New Roman" w:hAnsi="Times New Roman"/>
          <w:szCs w:val="24"/>
        </w:rPr>
        <w:t xml:space="preserve">who sponsored </w:t>
      </w:r>
      <w:r w:rsidR="00A162B5" w:rsidRPr="00F62DF5">
        <w:rPr>
          <w:rFonts w:ascii="Times New Roman" w:hAnsi="Times New Roman"/>
          <w:szCs w:val="24"/>
        </w:rPr>
        <w:t>f</w:t>
      </w:r>
      <w:r w:rsidR="00BB533E" w:rsidRPr="00F62DF5">
        <w:rPr>
          <w:rFonts w:ascii="Times New Roman" w:hAnsi="Times New Roman"/>
          <w:szCs w:val="24"/>
        </w:rPr>
        <w:t>i</w:t>
      </w:r>
      <w:r w:rsidR="00A162B5" w:rsidRPr="00F62DF5">
        <w:rPr>
          <w:rFonts w:ascii="Times New Roman" w:hAnsi="Times New Roman"/>
          <w:szCs w:val="24"/>
        </w:rPr>
        <w:t>ve</w:t>
      </w:r>
      <w:r w:rsidR="002B6590" w:rsidRPr="00F62DF5">
        <w:rPr>
          <w:rFonts w:ascii="Times New Roman" w:hAnsi="Times New Roman"/>
          <w:szCs w:val="24"/>
        </w:rPr>
        <w:t xml:space="preserve"> exhibits:  </w:t>
      </w:r>
    </w:p>
    <w:p w:rsidR="00E66A3F" w:rsidRPr="00F62DF5" w:rsidRDefault="00E66A3F" w:rsidP="007A53A2">
      <w:pPr>
        <w:rPr>
          <w:szCs w:val="24"/>
        </w:rPr>
      </w:pPr>
    </w:p>
    <w:p w:rsidR="005A1BF4" w:rsidRPr="00F62DF5" w:rsidRDefault="00F3227E" w:rsidP="007A53A2">
      <w:pPr>
        <w:spacing w:line="240" w:lineRule="auto"/>
        <w:ind w:left="1440"/>
        <w:rPr>
          <w:szCs w:val="24"/>
        </w:rPr>
      </w:pPr>
      <w:r w:rsidRPr="00F62DF5">
        <w:rPr>
          <w:szCs w:val="24"/>
        </w:rPr>
        <w:t>PGW Exhibit 1</w:t>
      </w:r>
      <w:r w:rsidR="00EC5A3E" w:rsidRPr="00F62DF5">
        <w:rPr>
          <w:szCs w:val="24"/>
        </w:rPr>
        <w:t xml:space="preserve"> </w:t>
      </w:r>
      <w:r w:rsidRPr="00F62DF5">
        <w:rPr>
          <w:szCs w:val="24"/>
        </w:rPr>
        <w:t>- Statement of Account</w:t>
      </w:r>
      <w:r w:rsidR="0047453A" w:rsidRPr="00F62DF5">
        <w:rPr>
          <w:szCs w:val="24"/>
        </w:rPr>
        <w:t xml:space="preserve"> for the Complainant</w:t>
      </w:r>
      <w:r w:rsidRPr="00F62DF5">
        <w:rPr>
          <w:szCs w:val="24"/>
        </w:rPr>
        <w:t>;</w:t>
      </w:r>
    </w:p>
    <w:p w:rsidR="005A1BF4" w:rsidRPr="00F62DF5" w:rsidRDefault="00F3227E" w:rsidP="007A53A2">
      <w:pPr>
        <w:spacing w:line="240" w:lineRule="auto"/>
        <w:ind w:left="1440"/>
        <w:rPr>
          <w:szCs w:val="24"/>
        </w:rPr>
      </w:pPr>
      <w:r w:rsidRPr="00F62DF5">
        <w:rPr>
          <w:szCs w:val="24"/>
        </w:rPr>
        <w:t>PGW Exhibit 2</w:t>
      </w:r>
      <w:r w:rsidR="00EC5A3E" w:rsidRPr="00F62DF5">
        <w:rPr>
          <w:szCs w:val="24"/>
        </w:rPr>
        <w:t xml:space="preserve"> </w:t>
      </w:r>
      <w:r w:rsidR="000133B4" w:rsidRPr="00F62DF5">
        <w:rPr>
          <w:szCs w:val="24"/>
        </w:rPr>
        <w:t>-</w:t>
      </w:r>
      <w:r w:rsidR="00EC5A3E" w:rsidRPr="00F62DF5">
        <w:rPr>
          <w:szCs w:val="24"/>
        </w:rPr>
        <w:t xml:space="preserve"> </w:t>
      </w:r>
      <w:r w:rsidR="00525ACB" w:rsidRPr="00F62DF5">
        <w:rPr>
          <w:szCs w:val="24"/>
        </w:rPr>
        <w:t>Complainant’s Payment Arrangement History</w:t>
      </w:r>
      <w:r w:rsidRPr="00F62DF5">
        <w:rPr>
          <w:szCs w:val="24"/>
        </w:rPr>
        <w:t xml:space="preserve">; </w:t>
      </w:r>
    </w:p>
    <w:p w:rsidR="00525ACB" w:rsidRPr="00F62DF5" w:rsidRDefault="00F3227E" w:rsidP="007A53A2">
      <w:pPr>
        <w:spacing w:line="240" w:lineRule="auto"/>
        <w:ind w:left="1440"/>
        <w:rPr>
          <w:szCs w:val="24"/>
        </w:rPr>
      </w:pPr>
      <w:r w:rsidRPr="00F62DF5">
        <w:rPr>
          <w:szCs w:val="24"/>
        </w:rPr>
        <w:t>PGW Exhibit 3</w:t>
      </w:r>
      <w:r w:rsidR="00EC5A3E" w:rsidRPr="00F62DF5">
        <w:rPr>
          <w:szCs w:val="24"/>
        </w:rPr>
        <w:t xml:space="preserve"> </w:t>
      </w:r>
      <w:r w:rsidR="00707341" w:rsidRPr="00F62DF5">
        <w:rPr>
          <w:szCs w:val="24"/>
        </w:rPr>
        <w:t>-</w:t>
      </w:r>
      <w:r w:rsidR="00EC5A3E" w:rsidRPr="00F62DF5">
        <w:rPr>
          <w:szCs w:val="24"/>
        </w:rPr>
        <w:t xml:space="preserve"> </w:t>
      </w:r>
      <w:r w:rsidR="00A162B5" w:rsidRPr="00F62DF5">
        <w:rPr>
          <w:szCs w:val="24"/>
        </w:rPr>
        <w:t>the Bureau of Consumer Services Decision (#</w:t>
      </w:r>
      <w:r w:rsidR="00525ACB" w:rsidRPr="00F62DF5">
        <w:rPr>
          <w:szCs w:val="24"/>
        </w:rPr>
        <w:t>33</w:t>
      </w:r>
      <w:r w:rsidR="00A162B5" w:rsidRPr="00F62DF5">
        <w:rPr>
          <w:szCs w:val="24"/>
        </w:rPr>
        <w:t>6</w:t>
      </w:r>
      <w:r w:rsidR="00525ACB" w:rsidRPr="00F62DF5">
        <w:rPr>
          <w:szCs w:val="24"/>
        </w:rPr>
        <w:t>74</w:t>
      </w:r>
      <w:r w:rsidR="00A162B5" w:rsidRPr="00F62DF5">
        <w:rPr>
          <w:szCs w:val="24"/>
        </w:rPr>
        <w:t xml:space="preserve">83), dated </w:t>
      </w:r>
      <w:r w:rsidR="009F1840" w:rsidRPr="00F62DF5">
        <w:rPr>
          <w:szCs w:val="24"/>
        </w:rPr>
        <w:t>July 31</w:t>
      </w:r>
      <w:r w:rsidR="00A162B5" w:rsidRPr="00F62DF5">
        <w:rPr>
          <w:szCs w:val="24"/>
        </w:rPr>
        <w:t>, 201</w:t>
      </w:r>
      <w:r w:rsidR="009F1840" w:rsidRPr="00F62DF5">
        <w:rPr>
          <w:szCs w:val="24"/>
        </w:rPr>
        <w:t>5</w:t>
      </w:r>
      <w:r w:rsidR="00A162B5" w:rsidRPr="00F62DF5">
        <w:rPr>
          <w:szCs w:val="24"/>
        </w:rPr>
        <w:t xml:space="preserve">; </w:t>
      </w:r>
    </w:p>
    <w:p w:rsidR="005A1BF4" w:rsidRPr="00F62DF5" w:rsidRDefault="00F3227E" w:rsidP="007A53A2">
      <w:pPr>
        <w:spacing w:line="240" w:lineRule="auto"/>
        <w:ind w:left="1440"/>
        <w:rPr>
          <w:szCs w:val="24"/>
        </w:rPr>
      </w:pPr>
      <w:r w:rsidRPr="00F62DF5">
        <w:rPr>
          <w:szCs w:val="24"/>
        </w:rPr>
        <w:t>PGW Exhibit 4</w:t>
      </w:r>
      <w:r w:rsidR="00EC5A3E" w:rsidRPr="00F62DF5">
        <w:rPr>
          <w:szCs w:val="24"/>
        </w:rPr>
        <w:t xml:space="preserve"> </w:t>
      </w:r>
      <w:r w:rsidRPr="00F62DF5">
        <w:rPr>
          <w:szCs w:val="24"/>
        </w:rPr>
        <w:t>-</w:t>
      </w:r>
      <w:r w:rsidR="00EC5A3E" w:rsidRPr="00F62DF5">
        <w:rPr>
          <w:szCs w:val="24"/>
        </w:rPr>
        <w:t xml:space="preserve"> </w:t>
      </w:r>
      <w:r w:rsidR="00C339E4" w:rsidRPr="00F62DF5">
        <w:rPr>
          <w:szCs w:val="24"/>
        </w:rPr>
        <w:t>PGW</w:t>
      </w:r>
      <w:r w:rsidR="00992D49" w:rsidRPr="00F62DF5">
        <w:rPr>
          <w:szCs w:val="24"/>
        </w:rPr>
        <w:t>’s</w:t>
      </w:r>
      <w:r w:rsidR="00C339E4" w:rsidRPr="00F62DF5">
        <w:rPr>
          <w:szCs w:val="24"/>
        </w:rPr>
        <w:t xml:space="preserve"> letter</w:t>
      </w:r>
      <w:r w:rsidR="00525ACB" w:rsidRPr="00F62DF5">
        <w:rPr>
          <w:szCs w:val="24"/>
        </w:rPr>
        <w:t xml:space="preserve"> to the Complainant, </w:t>
      </w:r>
      <w:r w:rsidR="00C339E4" w:rsidRPr="00F62DF5">
        <w:rPr>
          <w:szCs w:val="24"/>
        </w:rPr>
        <w:t xml:space="preserve">dated </w:t>
      </w:r>
      <w:r w:rsidR="00A162B5" w:rsidRPr="00F62DF5">
        <w:rPr>
          <w:szCs w:val="24"/>
        </w:rPr>
        <w:t>December 16, 2014</w:t>
      </w:r>
      <w:r w:rsidR="00525ACB" w:rsidRPr="00F62DF5">
        <w:rPr>
          <w:szCs w:val="24"/>
        </w:rPr>
        <w:t>,</w:t>
      </w:r>
      <w:r w:rsidR="00A162B5" w:rsidRPr="00F62DF5">
        <w:rPr>
          <w:szCs w:val="24"/>
        </w:rPr>
        <w:t xml:space="preserve"> </w:t>
      </w:r>
      <w:r w:rsidR="00525ACB" w:rsidRPr="00F62DF5">
        <w:rPr>
          <w:szCs w:val="24"/>
        </w:rPr>
        <w:t>with statement of account and gas usage analysis</w:t>
      </w:r>
      <w:r w:rsidR="00695946" w:rsidRPr="00F62DF5">
        <w:rPr>
          <w:szCs w:val="24"/>
        </w:rPr>
        <w:t xml:space="preserve"> from November 2011 through November 2014</w:t>
      </w:r>
      <w:r w:rsidR="00110C0C" w:rsidRPr="00F62DF5">
        <w:rPr>
          <w:szCs w:val="24"/>
        </w:rPr>
        <w:t>;</w:t>
      </w:r>
      <w:r w:rsidR="00A162B5" w:rsidRPr="00F62DF5">
        <w:rPr>
          <w:szCs w:val="24"/>
        </w:rPr>
        <w:t xml:space="preserve"> and</w:t>
      </w:r>
    </w:p>
    <w:p w:rsidR="00A162B5" w:rsidRPr="00F62DF5" w:rsidRDefault="003A138F" w:rsidP="007A53A2">
      <w:pPr>
        <w:spacing w:line="240" w:lineRule="auto"/>
        <w:ind w:left="1440"/>
        <w:rPr>
          <w:szCs w:val="24"/>
        </w:rPr>
      </w:pPr>
      <w:r w:rsidRPr="00F62DF5">
        <w:rPr>
          <w:szCs w:val="24"/>
        </w:rPr>
        <w:t>PGW</w:t>
      </w:r>
      <w:r w:rsidR="004A1397" w:rsidRPr="00F62DF5">
        <w:rPr>
          <w:szCs w:val="24"/>
        </w:rPr>
        <w:t xml:space="preserve"> Exhibit 5 </w:t>
      </w:r>
      <w:r w:rsidR="00EC5A3E" w:rsidRPr="00F62DF5">
        <w:rPr>
          <w:szCs w:val="24"/>
        </w:rPr>
        <w:t>-</w:t>
      </w:r>
      <w:r w:rsidR="004A1397" w:rsidRPr="00F62DF5">
        <w:rPr>
          <w:szCs w:val="24"/>
        </w:rPr>
        <w:t xml:space="preserve"> </w:t>
      </w:r>
      <w:r w:rsidR="00C339E4" w:rsidRPr="00F62DF5">
        <w:rPr>
          <w:szCs w:val="24"/>
        </w:rPr>
        <w:t>PGW</w:t>
      </w:r>
      <w:r w:rsidR="00992D49" w:rsidRPr="00F62DF5">
        <w:rPr>
          <w:szCs w:val="24"/>
        </w:rPr>
        <w:t>’s</w:t>
      </w:r>
      <w:r w:rsidR="00C339E4" w:rsidRPr="00F62DF5">
        <w:rPr>
          <w:szCs w:val="24"/>
        </w:rPr>
        <w:t xml:space="preserve"> letter</w:t>
      </w:r>
      <w:r w:rsidR="00525ACB" w:rsidRPr="00F62DF5">
        <w:rPr>
          <w:szCs w:val="24"/>
        </w:rPr>
        <w:t xml:space="preserve"> to the Complainant, </w:t>
      </w:r>
      <w:r w:rsidR="00C339E4" w:rsidRPr="00F62DF5">
        <w:rPr>
          <w:szCs w:val="24"/>
        </w:rPr>
        <w:t xml:space="preserve">dated </w:t>
      </w:r>
      <w:r w:rsidR="00A162B5" w:rsidRPr="00F62DF5">
        <w:rPr>
          <w:szCs w:val="24"/>
        </w:rPr>
        <w:t>July 13, 2015</w:t>
      </w:r>
      <w:r w:rsidR="00525ACB" w:rsidRPr="00F62DF5">
        <w:rPr>
          <w:szCs w:val="24"/>
        </w:rPr>
        <w:t>, with statement of account and gas usage analysis</w:t>
      </w:r>
      <w:r w:rsidR="00305839" w:rsidRPr="00F62DF5">
        <w:rPr>
          <w:szCs w:val="24"/>
        </w:rPr>
        <w:t xml:space="preserve"> from November 2011 through </w:t>
      </w:r>
      <w:r w:rsidR="00695946" w:rsidRPr="00F62DF5">
        <w:rPr>
          <w:szCs w:val="24"/>
        </w:rPr>
        <w:t>July</w:t>
      </w:r>
      <w:r w:rsidR="00305839" w:rsidRPr="00F62DF5">
        <w:rPr>
          <w:szCs w:val="24"/>
        </w:rPr>
        <w:t xml:space="preserve"> 201</w:t>
      </w:r>
      <w:r w:rsidR="00695946" w:rsidRPr="00F62DF5">
        <w:rPr>
          <w:szCs w:val="24"/>
        </w:rPr>
        <w:t>5</w:t>
      </w:r>
      <w:r w:rsidR="00992D49" w:rsidRPr="00F62DF5">
        <w:rPr>
          <w:szCs w:val="24"/>
        </w:rPr>
        <w:t>.</w:t>
      </w:r>
    </w:p>
    <w:p w:rsidR="00695946" w:rsidRPr="00F62DF5" w:rsidRDefault="00695946" w:rsidP="00BC56D0">
      <w:pPr>
        <w:ind w:left="1440"/>
        <w:rPr>
          <w:szCs w:val="24"/>
        </w:rPr>
      </w:pPr>
    </w:p>
    <w:p w:rsidR="000133B4" w:rsidRPr="00F62DF5" w:rsidRDefault="009F63C6" w:rsidP="007A53A2">
      <w:pPr>
        <w:rPr>
          <w:szCs w:val="24"/>
        </w:rPr>
      </w:pPr>
      <w:r w:rsidRPr="00F62DF5">
        <w:rPr>
          <w:szCs w:val="24"/>
        </w:rPr>
        <w:lastRenderedPageBreak/>
        <w:tab/>
      </w:r>
      <w:r w:rsidRPr="00F62DF5">
        <w:rPr>
          <w:szCs w:val="24"/>
        </w:rPr>
        <w:tab/>
      </w:r>
      <w:r w:rsidR="00B22704" w:rsidRPr="00F62DF5">
        <w:rPr>
          <w:szCs w:val="24"/>
        </w:rPr>
        <w:t xml:space="preserve">During the </w:t>
      </w:r>
      <w:r w:rsidR="00695946" w:rsidRPr="00F62DF5">
        <w:rPr>
          <w:szCs w:val="24"/>
        </w:rPr>
        <w:t xml:space="preserve">December 2, 2015 </w:t>
      </w:r>
      <w:r w:rsidR="00B22704" w:rsidRPr="00F62DF5">
        <w:rPr>
          <w:szCs w:val="24"/>
        </w:rPr>
        <w:t xml:space="preserve">hearing, </w:t>
      </w:r>
      <w:r w:rsidRPr="00F62DF5">
        <w:rPr>
          <w:szCs w:val="24"/>
        </w:rPr>
        <w:t xml:space="preserve">the </w:t>
      </w:r>
      <w:r w:rsidR="00B22704" w:rsidRPr="00F62DF5">
        <w:rPr>
          <w:szCs w:val="24"/>
        </w:rPr>
        <w:t xml:space="preserve">Complainant testified that she had applied for LIHEAP and CRISIS grants.  </w:t>
      </w:r>
      <w:r w:rsidR="000133B4" w:rsidRPr="00F62DF5">
        <w:rPr>
          <w:szCs w:val="24"/>
        </w:rPr>
        <w:t>However, t</w:t>
      </w:r>
      <w:r w:rsidR="00B22704" w:rsidRPr="00F62DF5">
        <w:rPr>
          <w:szCs w:val="24"/>
        </w:rPr>
        <w:t xml:space="preserve">he Complainant did not know the amount of the grants.  </w:t>
      </w:r>
      <w:r w:rsidR="008C0D04" w:rsidRPr="00F62DF5">
        <w:rPr>
          <w:szCs w:val="24"/>
        </w:rPr>
        <w:t xml:space="preserve">The </w:t>
      </w:r>
      <w:r w:rsidR="00B22704" w:rsidRPr="00F62DF5">
        <w:rPr>
          <w:szCs w:val="24"/>
        </w:rPr>
        <w:t xml:space="preserve">record was held open to allow the parties to provide information regarding the amount of the grant(s) and the date that the Respondent posted the grants to the Complainant’s account </w:t>
      </w:r>
      <w:r w:rsidR="00695946" w:rsidRPr="00F62DF5">
        <w:rPr>
          <w:szCs w:val="24"/>
        </w:rPr>
        <w:t>(Tr. 55, 57, 63).</w:t>
      </w:r>
    </w:p>
    <w:p w:rsidR="00B22704" w:rsidRPr="00F62DF5" w:rsidRDefault="00B22704" w:rsidP="007A53A2">
      <w:pPr>
        <w:rPr>
          <w:szCs w:val="24"/>
        </w:rPr>
      </w:pPr>
    </w:p>
    <w:p w:rsidR="00B22704" w:rsidRPr="00F62DF5" w:rsidRDefault="008C0D04" w:rsidP="007A53A2">
      <w:pPr>
        <w:rPr>
          <w:szCs w:val="24"/>
        </w:rPr>
      </w:pPr>
      <w:r w:rsidRPr="00F62DF5">
        <w:rPr>
          <w:szCs w:val="24"/>
        </w:rPr>
        <w:tab/>
      </w:r>
      <w:r w:rsidRPr="00F62DF5">
        <w:rPr>
          <w:szCs w:val="24"/>
        </w:rPr>
        <w:tab/>
        <w:t xml:space="preserve">By Order dated January 7, 2016, the parties were instructed to submit a late filed exhibit </w:t>
      </w:r>
      <w:r w:rsidR="000133B4" w:rsidRPr="00F62DF5">
        <w:rPr>
          <w:szCs w:val="24"/>
        </w:rPr>
        <w:t xml:space="preserve">concerning the amount of the LIHEAP and/or CRISIS grants and the date </w:t>
      </w:r>
      <w:r w:rsidRPr="00F62DF5">
        <w:rPr>
          <w:szCs w:val="24"/>
        </w:rPr>
        <w:t xml:space="preserve">the grants </w:t>
      </w:r>
      <w:r w:rsidR="000133B4" w:rsidRPr="00F62DF5">
        <w:rPr>
          <w:szCs w:val="24"/>
        </w:rPr>
        <w:t xml:space="preserve">were posted </w:t>
      </w:r>
      <w:r w:rsidRPr="00F62DF5">
        <w:rPr>
          <w:szCs w:val="24"/>
        </w:rPr>
        <w:t xml:space="preserve">to the Complainant’s account.  </w:t>
      </w:r>
      <w:r w:rsidR="00B22704" w:rsidRPr="00F62DF5">
        <w:rPr>
          <w:szCs w:val="24"/>
        </w:rPr>
        <w:t>The part</w:t>
      </w:r>
      <w:r w:rsidR="000133B4" w:rsidRPr="00F62DF5">
        <w:rPr>
          <w:szCs w:val="24"/>
        </w:rPr>
        <w:t>ies were</w:t>
      </w:r>
      <w:r w:rsidR="00E83AF5" w:rsidRPr="00F62DF5">
        <w:rPr>
          <w:szCs w:val="24"/>
        </w:rPr>
        <w:t xml:space="preserve"> given</w:t>
      </w:r>
      <w:r w:rsidR="00B22704" w:rsidRPr="00F62DF5">
        <w:rPr>
          <w:szCs w:val="24"/>
        </w:rPr>
        <w:t xml:space="preserve"> ten days to object to the </w:t>
      </w:r>
      <w:r w:rsidR="000133B4" w:rsidRPr="00F62DF5">
        <w:rPr>
          <w:szCs w:val="24"/>
        </w:rPr>
        <w:t xml:space="preserve">other party’s </w:t>
      </w:r>
      <w:r w:rsidR="00B22704" w:rsidRPr="00F62DF5">
        <w:rPr>
          <w:szCs w:val="24"/>
        </w:rPr>
        <w:t xml:space="preserve">exhibit and/or </w:t>
      </w:r>
      <w:r w:rsidR="000133B4" w:rsidRPr="00F62DF5">
        <w:rPr>
          <w:szCs w:val="24"/>
        </w:rPr>
        <w:t>to s</w:t>
      </w:r>
      <w:r w:rsidR="00B22704" w:rsidRPr="00F62DF5">
        <w:rPr>
          <w:szCs w:val="24"/>
        </w:rPr>
        <w:t xml:space="preserve">ubmit </w:t>
      </w:r>
      <w:r w:rsidR="000133B4" w:rsidRPr="00F62DF5">
        <w:rPr>
          <w:szCs w:val="24"/>
        </w:rPr>
        <w:t xml:space="preserve">a response to the </w:t>
      </w:r>
      <w:r w:rsidR="00B22704" w:rsidRPr="00F62DF5">
        <w:rPr>
          <w:szCs w:val="24"/>
        </w:rPr>
        <w:t>exhibit.</w:t>
      </w:r>
    </w:p>
    <w:p w:rsidR="008E2777" w:rsidRPr="00F62DF5" w:rsidRDefault="008E2777" w:rsidP="007A53A2">
      <w:pPr>
        <w:rPr>
          <w:szCs w:val="24"/>
        </w:rPr>
      </w:pPr>
    </w:p>
    <w:p w:rsidR="00463A89" w:rsidRPr="00F62DF5" w:rsidRDefault="00463A89" w:rsidP="007A53A2">
      <w:pPr>
        <w:rPr>
          <w:szCs w:val="24"/>
        </w:rPr>
      </w:pPr>
      <w:r w:rsidRPr="00F62DF5">
        <w:rPr>
          <w:szCs w:val="24"/>
        </w:rPr>
        <w:tab/>
      </w:r>
      <w:r w:rsidRPr="00F62DF5">
        <w:rPr>
          <w:szCs w:val="24"/>
        </w:rPr>
        <w:tab/>
        <w:t xml:space="preserve">The Complainant sent an exhibit which the undersigned marked </w:t>
      </w:r>
      <w:r w:rsidR="00A272AE">
        <w:rPr>
          <w:szCs w:val="24"/>
        </w:rPr>
        <w:t xml:space="preserve">as </w:t>
      </w:r>
      <w:r w:rsidRPr="00F62DF5">
        <w:rPr>
          <w:szCs w:val="24"/>
        </w:rPr>
        <w:t xml:space="preserve">Complainant’s late filed Exhibit 3.  The undersigned received it on January 12, 2016.  The exhibit was a summary of benefits letter, dated December 21, 2015, from the Pennsylvania Department of Human Services.  The Complainant was notified that $157.00 in LIHEAP benefits would be sent to the Respondent to apply to her account. </w:t>
      </w:r>
    </w:p>
    <w:p w:rsidR="00EB4147" w:rsidRPr="00F62DF5" w:rsidRDefault="00EB4147" w:rsidP="007A53A2">
      <w:pPr>
        <w:rPr>
          <w:szCs w:val="24"/>
        </w:rPr>
      </w:pPr>
    </w:p>
    <w:p w:rsidR="00463A89" w:rsidRPr="00F62DF5" w:rsidRDefault="00463A89" w:rsidP="007A53A2">
      <w:pPr>
        <w:rPr>
          <w:szCs w:val="24"/>
        </w:rPr>
      </w:pPr>
      <w:r w:rsidRPr="00F62DF5">
        <w:rPr>
          <w:szCs w:val="24"/>
        </w:rPr>
        <w:tab/>
      </w:r>
      <w:r w:rsidRPr="00F62DF5">
        <w:rPr>
          <w:szCs w:val="24"/>
        </w:rPr>
        <w:tab/>
      </w:r>
      <w:r w:rsidR="00C84400" w:rsidRPr="00F62DF5">
        <w:rPr>
          <w:szCs w:val="24"/>
        </w:rPr>
        <w:t>On January 19, 2016, t</w:t>
      </w:r>
      <w:r w:rsidRPr="00F62DF5">
        <w:rPr>
          <w:szCs w:val="24"/>
        </w:rPr>
        <w:t xml:space="preserve">he undersigned received PGW late filed Exhibit 6, </w:t>
      </w:r>
      <w:r w:rsidR="00A236AC" w:rsidRPr="00F62DF5">
        <w:rPr>
          <w:szCs w:val="24"/>
        </w:rPr>
        <w:t xml:space="preserve">a </w:t>
      </w:r>
      <w:r w:rsidR="00695946" w:rsidRPr="00F62DF5">
        <w:rPr>
          <w:szCs w:val="24"/>
        </w:rPr>
        <w:t>seven-page</w:t>
      </w:r>
      <w:r w:rsidR="00A236AC" w:rsidRPr="00F62DF5">
        <w:rPr>
          <w:szCs w:val="24"/>
        </w:rPr>
        <w:t xml:space="preserve"> exhibit entitled </w:t>
      </w:r>
      <w:r w:rsidRPr="00F62DF5">
        <w:rPr>
          <w:szCs w:val="24"/>
        </w:rPr>
        <w:t>Records of LIHEAP and CRISIS grants from January 1, 2011 to the present.  The e</w:t>
      </w:r>
      <w:r w:rsidR="00A236AC" w:rsidRPr="00F62DF5">
        <w:rPr>
          <w:szCs w:val="24"/>
        </w:rPr>
        <w:t>xhibit</w:t>
      </w:r>
      <w:r w:rsidRPr="00F62DF5">
        <w:rPr>
          <w:szCs w:val="24"/>
        </w:rPr>
        <w:t xml:space="preserve"> indicated that the Respondent received LIHEAP grants </w:t>
      </w:r>
      <w:r w:rsidR="00695946" w:rsidRPr="00F62DF5">
        <w:rPr>
          <w:szCs w:val="24"/>
        </w:rPr>
        <w:t xml:space="preserve">in the amount </w:t>
      </w:r>
      <w:r w:rsidRPr="00F62DF5">
        <w:rPr>
          <w:szCs w:val="24"/>
        </w:rPr>
        <w:t>of $157.00 and $70.00 for a total of $227.00 in December 2015.</w:t>
      </w:r>
    </w:p>
    <w:p w:rsidR="000830F2" w:rsidRPr="00F62DF5" w:rsidRDefault="000830F2" w:rsidP="007A53A2">
      <w:pPr>
        <w:rPr>
          <w:szCs w:val="24"/>
        </w:rPr>
      </w:pPr>
    </w:p>
    <w:p w:rsidR="00463A89" w:rsidRPr="00F62DF5" w:rsidRDefault="00463A89" w:rsidP="007A53A2">
      <w:pPr>
        <w:rPr>
          <w:szCs w:val="24"/>
        </w:rPr>
      </w:pPr>
      <w:r w:rsidRPr="00F62DF5">
        <w:rPr>
          <w:szCs w:val="24"/>
        </w:rPr>
        <w:tab/>
      </w:r>
      <w:r w:rsidRPr="00F62DF5">
        <w:rPr>
          <w:szCs w:val="24"/>
        </w:rPr>
        <w:tab/>
        <w:t xml:space="preserve">Since there </w:t>
      </w:r>
      <w:r w:rsidR="00BE2D7B" w:rsidRPr="00F62DF5">
        <w:rPr>
          <w:szCs w:val="24"/>
        </w:rPr>
        <w:t>we</w:t>
      </w:r>
      <w:r w:rsidRPr="00F62DF5">
        <w:rPr>
          <w:szCs w:val="24"/>
        </w:rPr>
        <w:t xml:space="preserve">re no objections to the late filed exhibits, the exhibits were admitted into evidence pursuant to 52 Pa.Code § 5.404 (a) in Order #3, dated </w:t>
      </w:r>
      <w:r w:rsidR="00BE2D7B" w:rsidRPr="00F62DF5">
        <w:rPr>
          <w:szCs w:val="24"/>
        </w:rPr>
        <w:t>April 13, 2016</w:t>
      </w:r>
      <w:r w:rsidRPr="00F62DF5">
        <w:rPr>
          <w:szCs w:val="24"/>
        </w:rPr>
        <w:t xml:space="preserve">. </w:t>
      </w:r>
    </w:p>
    <w:p w:rsidR="00BE2D7B" w:rsidRPr="00F62DF5" w:rsidRDefault="00BE2D7B" w:rsidP="007A53A2">
      <w:pPr>
        <w:rPr>
          <w:szCs w:val="24"/>
        </w:rPr>
      </w:pPr>
    </w:p>
    <w:p w:rsidR="00BE2D7B" w:rsidRPr="00F62DF5" w:rsidRDefault="00BE2D7B" w:rsidP="007A53A2">
      <w:pPr>
        <w:rPr>
          <w:szCs w:val="24"/>
        </w:rPr>
      </w:pPr>
      <w:r w:rsidRPr="00F62DF5">
        <w:rPr>
          <w:szCs w:val="24"/>
        </w:rPr>
        <w:tab/>
      </w:r>
      <w:r w:rsidRPr="00F62DF5">
        <w:rPr>
          <w:szCs w:val="24"/>
        </w:rPr>
        <w:tab/>
      </w:r>
      <w:r w:rsidR="000133B4" w:rsidRPr="00F62DF5">
        <w:rPr>
          <w:szCs w:val="24"/>
        </w:rPr>
        <w:t xml:space="preserve">The </w:t>
      </w:r>
      <w:r w:rsidRPr="00F62DF5">
        <w:rPr>
          <w:szCs w:val="24"/>
        </w:rPr>
        <w:t xml:space="preserve">record did not </w:t>
      </w:r>
      <w:r w:rsidR="007C50CE" w:rsidRPr="00F62DF5">
        <w:rPr>
          <w:szCs w:val="24"/>
        </w:rPr>
        <w:t xml:space="preserve">include </w:t>
      </w:r>
      <w:r w:rsidR="00287BB0" w:rsidRPr="00F62DF5">
        <w:rPr>
          <w:szCs w:val="24"/>
        </w:rPr>
        <w:t>the date that</w:t>
      </w:r>
      <w:r w:rsidRPr="00F62DF5">
        <w:rPr>
          <w:szCs w:val="24"/>
        </w:rPr>
        <w:t xml:space="preserve"> the LIHEAP payments were posted, the amount of the December </w:t>
      </w:r>
      <w:r w:rsidR="00C84400" w:rsidRPr="00F62DF5">
        <w:rPr>
          <w:szCs w:val="24"/>
        </w:rPr>
        <w:t xml:space="preserve">2015 </w:t>
      </w:r>
      <w:r w:rsidRPr="00F62DF5">
        <w:rPr>
          <w:szCs w:val="24"/>
        </w:rPr>
        <w:t xml:space="preserve">or January </w:t>
      </w:r>
      <w:r w:rsidR="00C84400" w:rsidRPr="00F62DF5">
        <w:rPr>
          <w:szCs w:val="24"/>
        </w:rPr>
        <w:t xml:space="preserve">2016 </w:t>
      </w:r>
      <w:r w:rsidRPr="00F62DF5">
        <w:rPr>
          <w:szCs w:val="24"/>
        </w:rPr>
        <w:t>bills, the amount of any payments from the Complainant or whether additional LIHEAP grants were received</w:t>
      </w:r>
      <w:r w:rsidR="000133B4" w:rsidRPr="00F62DF5">
        <w:rPr>
          <w:szCs w:val="24"/>
        </w:rPr>
        <w:t>.  Therefore</w:t>
      </w:r>
      <w:r w:rsidRPr="00F62DF5">
        <w:rPr>
          <w:szCs w:val="24"/>
        </w:rPr>
        <w:t>, by Order #3</w:t>
      </w:r>
      <w:r w:rsidR="009973F0">
        <w:rPr>
          <w:szCs w:val="24"/>
        </w:rPr>
        <w:t>,</w:t>
      </w:r>
      <w:r w:rsidRPr="00F62DF5">
        <w:rPr>
          <w:szCs w:val="24"/>
        </w:rPr>
        <w:t xml:space="preserve"> dated April 13, 2016, the undersigned reopened the record pursuant to 52 Pa.Code § 5.571 (d)(1) to have a hearing limited to the issue of the payment arrangement. </w:t>
      </w:r>
    </w:p>
    <w:p w:rsidR="00695946" w:rsidRPr="00F62DF5" w:rsidRDefault="00695946" w:rsidP="007A53A2">
      <w:pPr>
        <w:rPr>
          <w:szCs w:val="24"/>
        </w:rPr>
      </w:pPr>
    </w:p>
    <w:p w:rsidR="00BE2D7B" w:rsidRPr="00F62DF5" w:rsidRDefault="00A236AC" w:rsidP="007A53A2">
      <w:pPr>
        <w:rPr>
          <w:szCs w:val="24"/>
        </w:rPr>
      </w:pPr>
      <w:r w:rsidRPr="00F62DF5">
        <w:rPr>
          <w:szCs w:val="24"/>
        </w:rPr>
        <w:lastRenderedPageBreak/>
        <w:tab/>
      </w:r>
      <w:r w:rsidRPr="00F62DF5">
        <w:rPr>
          <w:szCs w:val="24"/>
        </w:rPr>
        <w:tab/>
        <w:t>By h</w:t>
      </w:r>
      <w:r w:rsidR="00BE2D7B" w:rsidRPr="00F62DF5">
        <w:rPr>
          <w:szCs w:val="24"/>
        </w:rPr>
        <w:t>earing notice</w:t>
      </w:r>
      <w:r w:rsidRPr="00F62DF5">
        <w:rPr>
          <w:szCs w:val="24"/>
        </w:rPr>
        <w:t xml:space="preserve"> dated April 19, 2016, a further hearing was scheduled for Monday, June 13, 2016</w:t>
      </w:r>
      <w:r w:rsidR="00395645">
        <w:rPr>
          <w:szCs w:val="24"/>
        </w:rPr>
        <w:t>,</w:t>
      </w:r>
      <w:r w:rsidRPr="00F62DF5">
        <w:rPr>
          <w:szCs w:val="24"/>
        </w:rPr>
        <w:t xml:space="preserve"> at 10:00 a.m.</w:t>
      </w:r>
    </w:p>
    <w:p w:rsidR="00BE2D7B" w:rsidRPr="00F62DF5" w:rsidRDefault="00BE2D7B" w:rsidP="007A53A2">
      <w:pPr>
        <w:rPr>
          <w:szCs w:val="24"/>
        </w:rPr>
      </w:pPr>
    </w:p>
    <w:p w:rsidR="00DF2B3C" w:rsidRPr="00F62DF5" w:rsidRDefault="00DF2B3C"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r>
      <w:r w:rsidR="00A236AC" w:rsidRPr="00F62DF5">
        <w:rPr>
          <w:rFonts w:ascii="Times New Roman" w:hAnsi="Times New Roman"/>
          <w:szCs w:val="24"/>
        </w:rPr>
        <w:t>The</w:t>
      </w:r>
      <w:r w:rsidRPr="00F62DF5">
        <w:rPr>
          <w:rFonts w:ascii="Times New Roman" w:hAnsi="Times New Roman"/>
          <w:szCs w:val="24"/>
        </w:rPr>
        <w:t xml:space="preserve"> further hearing was held in this matter on June 13, 2016, in the Philadelphia Regional Office at 801 Market Street before </w:t>
      </w:r>
      <w:r w:rsidR="00A236AC" w:rsidRPr="00F62DF5">
        <w:rPr>
          <w:rFonts w:ascii="Times New Roman" w:hAnsi="Times New Roman"/>
          <w:szCs w:val="24"/>
        </w:rPr>
        <w:t>the undersigned</w:t>
      </w:r>
      <w:r w:rsidRPr="00F62DF5">
        <w:rPr>
          <w:rFonts w:ascii="Times New Roman" w:hAnsi="Times New Roman"/>
          <w:szCs w:val="24"/>
        </w:rPr>
        <w:t>.  The hearing began at 10:15 a.m.  Betty McFadden, the Complainant, did not appear</w:t>
      </w:r>
      <w:r w:rsidR="00A236AC" w:rsidRPr="00F62DF5">
        <w:rPr>
          <w:rStyle w:val="FootnoteReference"/>
          <w:rFonts w:ascii="Times New Roman" w:hAnsi="Times New Roman"/>
          <w:szCs w:val="24"/>
        </w:rPr>
        <w:footnoteReference w:id="1"/>
      </w:r>
      <w:r w:rsidRPr="00F62DF5">
        <w:rPr>
          <w:rFonts w:ascii="Times New Roman" w:hAnsi="Times New Roman"/>
          <w:szCs w:val="24"/>
        </w:rPr>
        <w:t xml:space="preserve">.  Graciela Christlieb, Esquire, represented </w:t>
      </w:r>
      <w:r w:rsidR="00A236AC" w:rsidRPr="00F62DF5">
        <w:rPr>
          <w:rFonts w:ascii="Times New Roman" w:hAnsi="Times New Roman"/>
          <w:szCs w:val="24"/>
        </w:rPr>
        <w:t xml:space="preserve">the </w:t>
      </w:r>
      <w:r w:rsidR="00287BB0" w:rsidRPr="00F62DF5">
        <w:rPr>
          <w:rFonts w:ascii="Times New Roman" w:hAnsi="Times New Roman"/>
          <w:szCs w:val="24"/>
        </w:rPr>
        <w:t>Respondent</w:t>
      </w:r>
      <w:r w:rsidRPr="00F62DF5">
        <w:rPr>
          <w:rFonts w:ascii="Times New Roman" w:hAnsi="Times New Roman"/>
          <w:szCs w:val="24"/>
        </w:rPr>
        <w:t xml:space="preserve">.  The Respondent presented one witness, Joyshalyn Moore, a customer review officer for the Respondent, who sponsored one exhibit: </w:t>
      </w:r>
      <w:r w:rsidR="00BE2D7B" w:rsidRPr="00F62DF5">
        <w:rPr>
          <w:rFonts w:ascii="Times New Roman" w:hAnsi="Times New Roman"/>
          <w:szCs w:val="24"/>
        </w:rPr>
        <w:t>PGW Exhibit 7</w:t>
      </w:r>
      <w:r w:rsidR="007C50CE" w:rsidRPr="00F62DF5">
        <w:rPr>
          <w:rFonts w:ascii="Times New Roman" w:hAnsi="Times New Roman"/>
          <w:szCs w:val="24"/>
        </w:rPr>
        <w:t xml:space="preserve"> </w:t>
      </w:r>
      <w:r w:rsidR="00A236AC" w:rsidRPr="00F62DF5">
        <w:rPr>
          <w:rFonts w:ascii="Times New Roman" w:hAnsi="Times New Roman"/>
          <w:szCs w:val="24"/>
        </w:rPr>
        <w:t>-</w:t>
      </w:r>
      <w:r w:rsidR="007C50CE" w:rsidRPr="00F62DF5">
        <w:rPr>
          <w:rFonts w:ascii="Times New Roman" w:hAnsi="Times New Roman"/>
          <w:szCs w:val="24"/>
        </w:rPr>
        <w:t xml:space="preserve"> </w:t>
      </w:r>
      <w:r w:rsidR="00A236AC" w:rsidRPr="00F62DF5">
        <w:rPr>
          <w:rFonts w:ascii="Times New Roman" w:hAnsi="Times New Roman"/>
          <w:szCs w:val="24"/>
        </w:rPr>
        <w:t xml:space="preserve">Complainant’s account statement from December 1, 2015 to June 9, 2016. </w:t>
      </w:r>
    </w:p>
    <w:p w:rsidR="00463A89" w:rsidRPr="00F62DF5" w:rsidRDefault="00463A89" w:rsidP="007A53A2">
      <w:pPr>
        <w:rPr>
          <w:szCs w:val="24"/>
        </w:rPr>
      </w:pPr>
    </w:p>
    <w:p w:rsidR="00A5205F" w:rsidRPr="00F62DF5" w:rsidRDefault="004A1397" w:rsidP="007A53A2">
      <w:pPr>
        <w:rPr>
          <w:szCs w:val="24"/>
        </w:rPr>
      </w:pPr>
      <w:r w:rsidRPr="00F62DF5">
        <w:rPr>
          <w:szCs w:val="24"/>
        </w:rPr>
        <w:tab/>
      </w:r>
      <w:r w:rsidRPr="00F62DF5">
        <w:rPr>
          <w:szCs w:val="24"/>
        </w:rPr>
        <w:tab/>
        <w:t xml:space="preserve">The record in this case consists of </w:t>
      </w:r>
      <w:r w:rsidR="0038153E" w:rsidRPr="00F62DF5">
        <w:rPr>
          <w:szCs w:val="24"/>
        </w:rPr>
        <w:t>the</w:t>
      </w:r>
      <w:r w:rsidR="00DF2B3C" w:rsidRPr="00F62DF5">
        <w:rPr>
          <w:szCs w:val="24"/>
        </w:rPr>
        <w:t xml:space="preserve"> 6</w:t>
      </w:r>
      <w:r w:rsidR="00A162B5" w:rsidRPr="00F62DF5">
        <w:rPr>
          <w:szCs w:val="24"/>
        </w:rPr>
        <w:t>8</w:t>
      </w:r>
      <w:r w:rsidR="00A55585" w:rsidRPr="00F62DF5">
        <w:rPr>
          <w:szCs w:val="24"/>
        </w:rPr>
        <w:t>-page</w:t>
      </w:r>
      <w:r w:rsidRPr="00F62DF5">
        <w:rPr>
          <w:szCs w:val="24"/>
        </w:rPr>
        <w:t xml:space="preserve"> transcript of the hearing </w:t>
      </w:r>
      <w:r w:rsidR="003A6870" w:rsidRPr="00F62DF5">
        <w:rPr>
          <w:szCs w:val="24"/>
        </w:rPr>
        <w:t xml:space="preserve">and </w:t>
      </w:r>
      <w:r w:rsidR="00DF2B3C" w:rsidRPr="00F62DF5">
        <w:rPr>
          <w:szCs w:val="24"/>
        </w:rPr>
        <w:t>t</w:t>
      </w:r>
      <w:r w:rsidR="000830F2" w:rsidRPr="00F62DF5">
        <w:rPr>
          <w:szCs w:val="24"/>
        </w:rPr>
        <w:t>en</w:t>
      </w:r>
      <w:r w:rsidR="00F3227E" w:rsidRPr="00F62DF5">
        <w:rPr>
          <w:szCs w:val="24"/>
        </w:rPr>
        <w:t xml:space="preserve"> e</w:t>
      </w:r>
      <w:r w:rsidRPr="00F62DF5">
        <w:rPr>
          <w:szCs w:val="24"/>
        </w:rPr>
        <w:t xml:space="preserve">xhibits.  </w:t>
      </w:r>
      <w:r w:rsidR="005B746B" w:rsidRPr="00F62DF5">
        <w:rPr>
          <w:szCs w:val="24"/>
        </w:rPr>
        <w:t xml:space="preserve">All of the listed exhibits were admitted into evidence.  </w:t>
      </w:r>
      <w:r w:rsidRPr="00F62DF5">
        <w:rPr>
          <w:szCs w:val="24"/>
        </w:rPr>
        <w:t xml:space="preserve">The record closed on </w:t>
      </w:r>
      <w:r w:rsidR="00DF2B3C" w:rsidRPr="00F62DF5">
        <w:rPr>
          <w:szCs w:val="24"/>
        </w:rPr>
        <w:t>July 6</w:t>
      </w:r>
      <w:r w:rsidR="00D86C16" w:rsidRPr="00F62DF5">
        <w:rPr>
          <w:szCs w:val="24"/>
        </w:rPr>
        <w:t>, 201</w:t>
      </w:r>
      <w:r w:rsidR="0038002A" w:rsidRPr="00F62DF5">
        <w:rPr>
          <w:szCs w:val="24"/>
        </w:rPr>
        <w:t>6</w:t>
      </w:r>
      <w:r w:rsidR="00D86C16" w:rsidRPr="00F62DF5">
        <w:rPr>
          <w:szCs w:val="24"/>
        </w:rPr>
        <w:t xml:space="preserve">, </w:t>
      </w:r>
      <w:r w:rsidR="0038002A" w:rsidRPr="00F62DF5">
        <w:rPr>
          <w:szCs w:val="24"/>
        </w:rPr>
        <w:t xml:space="preserve">after the </w:t>
      </w:r>
      <w:r w:rsidR="00DF2B3C" w:rsidRPr="00F62DF5">
        <w:rPr>
          <w:szCs w:val="24"/>
        </w:rPr>
        <w:t xml:space="preserve">transcript </w:t>
      </w:r>
      <w:r w:rsidR="00D86C16" w:rsidRPr="00F62DF5">
        <w:rPr>
          <w:szCs w:val="24"/>
        </w:rPr>
        <w:t>w</w:t>
      </w:r>
      <w:r w:rsidR="00DF2B3C" w:rsidRPr="00F62DF5">
        <w:rPr>
          <w:szCs w:val="24"/>
        </w:rPr>
        <w:t>as</w:t>
      </w:r>
      <w:r w:rsidR="00D86C16" w:rsidRPr="00F62DF5">
        <w:rPr>
          <w:szCs w:val="24"/>
        </w:rPr>
        <w:t xml:space="preserve"> received</w:t>
      </w:r>
      <w:r w:rsidR="00D06440" w:rsidRPr="00F62DF5">
        <w:rPr>
          <w:szCs w:val="24"/>
        </w:rPr>
        <w:t>.</w:t>
      </w:r>
    </w:p>
    <w:p w:rsidR="00A033ED" w:rsidRPr="00F62DF5" w:rsidRDefault="00A033ED" w:rsidP="007A53A2">
      <w:pPr>
        <w:rPr>
          <w:szCs w:val="24"/>
        </w:rPr>
      </w:pPr>
    </w:p>
    <w:p w:rsidR="004A1397" w:rsidRPr="00F62DF5" w:rsidRDefault="004A1397" w:rsidP="007A53A2">
      <w:pPr>
        <w:pStyle w:val="Heading1"/>
        <w:tabs>
          <w:tab w:val="left" w:pos="0"/>
        </w:tabs>
        <w:rPr>
          <w:rFonts w:ascii="Times New Roman" w:hAnsi="Times New Roman"/>
          <w:b w:val="0"/>
          <w:szCs w:val="24"/>
        </w:rPr>
      </w:pPr>
      <w:r w:rsidRPr="00F62DF5">
        <w:rPr>
          <w:rFonts w:ascii="Times New Roman" w:hAnsi="Times New Roman"/>
          <w:b w:val="0"/>
          <w:szCs w:val="24"/>
        </w:rPr>
        <w:t>FINDINGS OF FACT</w:t>
      </w:r>
    </w:p>
    <w:p w:rsidR="004A1397" w:rsidRPr="00F62DF5" w:rsidRDefault="004A1397" w:rsidP="007A53A2">
      <w:pPr>
        <w:rPr>
          <w:szCs w:val="24"/>
        </w:rPr>
      </w:pPr>
    </w:p>
    <w:p w:rsidR="003A138F" w:rsidRPr="00F62DF5" w:rsidRDefault="004A1397" w:rsidP="007A53A2">
      <w:pPr>
        <w:pStyle w:val="BodyText"/>
        <w:numPr>
          <w:ilvl w:val="0"/>
          <w:numId w:val="12"/>
        </w:numPr>
        <w:tabs>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The Complainant is </w:t>
      </w:r>
      <w:r w:rsidR="0038002A" w:rsidRPr="00F62DF5">
        <w:rPr>
          <w:rFonts w:ascii="Times New Roman" w:hAnsi="Times New Roman"/>
          <w:szCs w:val="24"/>
        </w:rPr>
        <w:t>Betty McFadden, 2115 Wharton Street, Philadelphia, Pennsylvania 19146</w:t>
      </w:r>
      <w:r w:rsidR="002B3A20" w:rsidRPr="00F62DF5">
        <w:rPr>
          <w:rFonts w:ascii="Times New Roman" w:hAnsi="Times New Roman"/>
          <w:szCs w:val="24"/>
        </w:rPr>
        <w:t xml:space="preserve"> (service address)</w:t>
      </w:r>
      <w:r w:rsidR="00F4503D" w:rsidRPr="00F62DF5">
        <w:rPr>
          <w:rFonts w:ascii="Times New Roman" w:hAnsi="Times New Roman"/>
          <w:szCs w:val="24"/>
        </w:rPr>
        <w:t>.</w:t>
      </w:r>
      <w:r w:rsidR="003A138F" w:rsidRPr="00F62DF5">
        <w:rPr>
          <w:rFonts w:ascii="Times New Roman" w:hAnsi="Times New Roman"/>
          <w:szCs w:val="24"/>
        </w:rPr>
        <w:t xml:space="preserve"> </w:t>
      </w:r>
    </w:p>
    <w:p w:rsidR="007523CF" w:rsidRPr="00F62DF5" w:rsidRDefault="007523CF" w:rsidP="007A53A2">
      <w:pPr>
        <w:pStyle w:val="BodyText"/>
        <w:tabs>
          <w:tab w:val="left" w:pos="0"/>
        </w:tabs>
        <w:spacing w:line="360" w:lineRule="auto"/>
        <w:ind w:left="1440"/>
        <w:jc w:val="left"/>
        <w:rPr>
          <w:rFonts w:ascii="Times New Roman" w:hAnsi="Times New Roman"/>
          <w:szCs w:val="24"/>
        </w:rPr>
      </w:pPr>
    </w:p>
    <w:p w:rsidR="004A1397" w:rsidRPr="00F62DF5" w:rsidRDefault="004A1397" w:rsidP="007A53A2">
      <w:pPr>
        <w:pStyle w:val="BodyText"/>
        <w:numPr>
          <w:ilvl w:val="0"/>
          <w:numId w:val="12"/>
        </w:numPr>
        <w:tabs>
          <w:tab w:val="clear" w:pos="1980"/>
        </w:tabs>
        <w:spacing w:line="360" w:lineRule="auto"/>
        <w:ind w:left="0" w:firstLine="1440"/>
        <w:jc w:val="left"/>
        <w:rPr>
          <w:rFonts w:ascii="Times New Roman" w:hAnsi="Times New Roman"/>
          <w:szCs w:val="24"/>
        </w:rPr>
      </w:pPr>
      <w:r w:rsidRPr="00F62DF5">
        <w:rPr>
          <w:rFonts w:ascii="Times New Roman" w:hAnsi="Times New Roman"/>
          <w:szCs w:val="24"/>
        </w:rPr>
        <w:t xml:space="preserve">The Respondent in this proceeding is </w:t>
      </w:r>
      <w:r w:rsidR="00A5205F" w:rsidRPr="00F62DF5">
        <w:rPr>
          <w:rFonts w:ascii="Times New Roman" w:hAnsi="Times New Roman"/>
          <w:szCs w:val="24"/>
        </w:rPr>
        <w:t>the Philadelphia Gas Works</w:t>
      </w:r>
      <w:r w:rsidRPr="00F62DF5">
        <w:rPr>
          <w:rFonts w:ascii="Times New Roman" w:hAnsi="Times New Roman"/>
          <w:szCs w:val="24"/>
        </w:rPr>
        <w:t>.</w:t>
      </w:r>
    </w:p>
    <w:p w:rsidR="00DF2B3C" w:rsidRPr="00F62DF5" w:rsidRDefault="00DF2B3C" w:rsidP="00502FD5">
      <w:pPr>
        <w:pStyle w:val="ListParagraph"/>
        <w:spacing w:line="360" w:lineRule="auto"/>
        <w:rPr>
          <w:rFonts w:ascii="Times New Roman" w:hAnsi="Times New Roman"/>
          <w:szCs w:val="24"/>
        </w:rPr>
      </w:pPr>
    </w:p>
    <w:p w:rsidR="004A1397" w:rsidRPr="00F62DF5" w:rsidRDefault="004A1397" w:rsidP="007A53A2">
      <w:pPr>
        <w:pStyle w:val="BodyText"/>
        <w:numPr>
          <w:ilvl w:val="0"/>
          <w:numId w:val="12"/>
        </w:numPr>
        <w:tabs>
          <w:tab w:val="clear" w:pos="1980"/>
        </w:tabs>
        <w:spacing w:line="360" w:lineRule="auto"/>
        <w:ind w:left="0" w:firstLine="1440"/>
        <w:jc w:val="left"/>
        <w:rPr>
          <w:rFonts w:ascii="Times New Roman" w:hAnsi="Times New Roman"/>
          <w:szCs w:val="24"/>
        </w:rPr>
      </w:pPr>
      <w:r w:rsidRPr="00F62DF5">
        <w:rPr>
          <w:rFonts w:ascii="Times New Roman" w:hAnsi="Times New Roman"/>
          <w:szCs w:val="24"/>
        </w:rPr>
        <w:t xml:space="preserve">The Complainant </w:t>
      </w:r>
      <w:r w:rsidR="002B3A20" w:rsidRPr="00F62DF5">
        <w:rPr>
          <w:rFonts w:ascii="Times New Roman" w:hAnsi="Times New Roman"/>
          <w:szCs w:val="24"/>
        </w:rPr>
        <w:t>has a gas</w:t>
      </w:r>
      <w:r w:rsidR="00D93A61" w:rsidRPr="00F62DF5">
        <w:rPr>
          <w:rFonts w:ascii="Times New Roman" w:hAnsi="Times New Roman"/>
          <w:szCs w:val="24"/>
        </w:rPr>
        <w:t xml:space="preserve"> account with the </w:t>
      </w:r>
      <w:r w:rsidRPr="00F62DF5">
        <w:rPr>
          <w:rFonts w:ascii="Times New Roman" w:hAnsi="Times New Roman"/>
          <w:szCs w:val="24"/>
        </w:rPr>
        <w:t xml:space="preserve">Respondent </w:t>
      </w:r>
      <w:r w:rsidR="002B3A20" w:rsidRPr="00F62DF5">
        <w:rPr>
          <w:rFonts w:ascii="Times New Roman" w:hAnsi="Times New Roman"/>
          <w:szCs w:val="24"/>
        </w:rPr>
        <w:t>for the service address</w:t>
      </w:r>
      <w:r w:rsidR="00802024" w:rsidRPr="00F62DF5">
        <w:rPr>
          <w:rFonts w:ascii="Times New Roman" w:hAnsi="Times New Roman"/>
          <w:szCs w:val="24"/>
        </w:rPr>
        <w:t xml:space="preserve"> </w:t>
      </w:r>
      <w:r w:rsidRPr="00F62DF5">
        <w:rPr>
          <w:rFonts w:ascii="Times New Roman" w:hAnsi="Times New Roman"/>
          <w:szCs w:val="24"/>
        </w:rPr>
        <w:t>(</w:t>
      </w:r>
      <w:r w:rsidR="008C0D04" w:rsidRPr="00F62DF5">
        <w:rPr>
          <w:rFonts w:ascii="Times New Roman" w:hAnsi="Times New Roman"/>
          <w:szCs w:val="24"/>
        </w:rPr>
        <w:t xml:space="preserve">Tr. </w:t>
      </w:r>
      <w:r w:rsidR="00305839" w:rsidRPr="00F62DF5">
        <w:rPr>
          <w:rFonts w:ascii="Times New Roman" w:hAnsi="Times New Roman"/>
          <w:szCs w:val="24"/>
        </w:rPr>
        <w:t>18</w:t>
      </w:r>
      <w:r w:rsidR="008C0D04" w:rsidRPr="00F62DF5">
        <w:rPr>
          <w:rFonts w:ascii="Times New Roman" w:hAnsi="Times New Roman"/>
          <w:szCs w:val="24"/>
        </w:rPr>
        <w:t xml:space="preserve">; </w:t>
      </w:r>
      <w:r w:rsidR="003A138F" w:rsidRPr="00F62DF5">
        <w:rPr>
          <w:rFonts w:ascii="Times New Roman" w:hAnsi="Times New Roman"/>
          <w:szCs w:val="24"/>
        </w:rPr>
        <w:t>PGW</w:t>
      </w:r>
      <w:r w:rsidRPr="00F62DF5">
        <w:rPr>
          <w:rFonts w:ascii="Times New Roman" w:hAnsi="Times New Roman"/>
          <w:szCs w:val="24"/>
        </w:rPr>
        <w:t xml:space="preserve"> Ex. 1).</w:t>
      </w:r>
    </w:p>
    <w:p w:rsidR="002B3A20" w:rsidRPr="00F62DF5" w:rsidRDefault="002B3A20" w:rsidP="007A53A2">
      <w:pPr>
        <w:pStyle w:val="BodyText"/>
        <w:tabs>
          <w:tab w:val="clear" w:pos="1980"/>
        </w:tabs>
        <w:spacing w:line="360" w:lineRule="auto"/>
        <w:ind w:firstLine="1440"/>
        <w:jc w:val="left"/>
        <w:rPr>
          <w:rFonts w:ascii="Times New Roman" w:hAnsi="Times New Roman"/>
          <w:szCs w:val="24"/>
        </w:rPr>
      </w:pPr>
    </w:p>
    <w:p w:rsidR="000830F2" w:rsidRDefault="00934A5B"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Prior to June 2012, t</w:t>
      </w:r>
      <w:r w:rsidR="00745E14" w:rsidRPr="00F62DF5">
        <w:rPr>
          <w:rFonts w:ascii="Times New Roman" w:hAnsi="Times New Roman"/>
          <w:szCs w:val="24"/>
        </w:rPr>
        <w:t>he Complainant</w:t>
      </w:r>
      <w:r w:rsidR="00707341" w:rsidRPr="00F62DF5">
        <w:rPr>
          <w:rFonts w:ascii="Times New Roman" w:hAnsi="Times New Roman"/>
          <w:i/>
          <w:szCs w:val="24"/>
        </w:rPr>
        <w:t xml:space="preserve">, </w:t>
      </w:r>
      <w:r w:rsidR="00745E14" w:rsidRPr="00F62DF5">
        <w:rPr>
          <w:rFonts w:ascii="Times New Roman" w:hAnsi="Times New Roman"/>
          <w:szCs w:val="24"/>
        </w:rPr>
        <w:t xml:space="preserve">her </w:t>
      </w:r>
      <w:r w:rsidRPr="00F62DF5">
        <w:rPr>
          <w:rFonts w:ascii="Times New Roman" w:hAnsi="Times New Roman"/>
          <w:szCs w:val="24"/>
        </w:rPr>
        <w:t>ex-</w:t>
      </w:r>
      <w:r w:rsidR="00745E14" w:rsidRPr="00F62DF5">
        <w:rPr>
          <w:rFonts w:ascii="Times New Roman" w:hAnsi="Times New Roman"/>
          <w:szCs w:val="24"/>
        </w:rPr>
        <w:t>husband</w:t>
      </w:r>
      <w:r w:rsidR="00745E14" w:rsidRPr="00F62DF5">
        <w:rPr>
          <w:rFonts w:ascii="Times New Roman" w:hAnsi="Times New Roman"/>
          <w:i/>
          <w:szCs w:val="24"/>
        </w:rPr>
        <w:t xml:space="preserve"> </w:t>
      </w:r>
      <w:r w:rsidR="00707341" w:rsidRPr="00F62DF5">
        <w:rPr>
          <w:rFonts w:ascii="Times New Roman" w:hAnsi="Times New Roman"/>
          <w:szCs w:val="24"/>
        </w:rPr>
        <w:t>and her t</w:t>
      </w:r>
      <w:r w:rsidRPr="00F62DF5">
        <w:rPr>
          <w:rFonts w:ascii="Times New Roman" w:hAnsi="Times New Roman"/>
          <w:szCs w:val="24"/>
        </w:rPr>
        <w:t>wo sons were</w:t>
      </w:r>
      <w:r w:rsidR="002B3A20" w:rsidRPr="00F62DF5">
        <w:rPr>
          <w:rFonts w:ascii="Times New Roman" w:hAnsi="Times New Roman"/>
          <w:i/>
          <w:szCs w:val="24"/>
        </w:rPr>
        <w:t xml:space="preserve"> </w:t>
      </w:r>
      <w:r w:rsidR="00707341" w:rsidRPr="00F62DF5">
        <w:rPr>
          <w:rFonts w:ascii="Times New Roman" w:hAnsi="Times New Roman"/>
          <w:szCs w:val="24"/>
        </w:rPr>
        <w:t>liv</w:t>
      </w:r>
      <w:r w:rsidRPr="00F62DF5">
        <w:rPr>
          <w:rFonts w:ascii="Times New Roman" w:hAnsi="Times New Roman"/>
          <w:szCs w:val="24"/>
        </w:rPr>
        <w:t>ing</w:t>
      </w:r>
      <w:r w:rsidR="00707341" w:rsidRPr="00F62DF5">
        <w:rPr>
          <w:rFonts w:ascii="Times New Roman" w:hAnsi="Times New Roman"/>
          <w:szCs w:val="24"/>
        </w:rPr>
        <w:t xml:space="preserve"> at </w:t>
      </w:r>
      <w:r w:rsidR="00802024" w:rsidRPr="00F62DF5">
        <w:rPr>
          <w:rFonts w:ascii="Times New Roman" w:hAnsi="Times New Roman"/>
          <w:szCs w:val="24"/>
        </w:rPr>
        <w:t xml:space="preserve">the </w:t>
      </w:r>
      <w:r w:rsidR="00931B6A" w:rsidRPr="00F62DF5">
        <w:rPr>
          <w:rFonts w:ascii="Times New Roman" w:hAnsi="Times New Roman"/>
          <w:szCs w:val="24"/>
        </w:rPr>
        <w:t>service address</w:t>
      </w:r>
      <w:r w:rsidR="00707341" w:rsidRPr="00F62DF5">
        <w:rPr>
          <w:rFonts w:ascii="Times New Roman" w:hAnsi="Times New Roman"/>
          <w:szCs w:val="24"/>
        </w:rPr>
        <w:t xml:space="preserve"> (Tr. </w:t>
      </w:r>
      <w:r w:rsidRPr="00F62DF5">
        <w:rPr>
          <w:rFonts w:ascii="Times New Roman" w:hAnsi="Times New Roman"/>
          <w:szCs w:val="24"/>
        </w:rPr>
        <w:t>9</w:t>
      </w:r>
      <w:r w:rsidR="00E66A3F" w:rsidRPr="00F62DF5">
        <w:rPr>
          <w:rFonts w:ascii="Times New Roman" w:hAnsi="Times New Roman"/>
          <w:szCs w:val="24"/>
        </w:rPr>
        <w:t xml:space="preserve">). </w:t>
      </w:r>
      <w:r w:rsidR="00931B6A" w:rsidRPr="00F62DF5">
        <w:rPr>
          <w:rFonts w:ascii="Times New Roman" w:hAnsi="Times New Roman"/>
          <w:szCs w:val="24"/>
        </w:rPr>
        <w:t xml:space="preserve"> </w:t>
      </w:r>
    </w:p>
    <w:p w:rsidR="00AE4727" w:rsidRPr="00F62DF5" w:rsidRDefault="00AE4727" w:rsidP="00AE4727">
      <w:pPr>
        <w:pStyle w:val="BodyText"/>
        <w:tabs>
          <w:tab w:val="clear" w:pos="1980"/>
          <w:tab w:val="left" w:pos="0"/>
        </w:tabs>
        <w:spacing w:line="360" w:lineRule="auto"/>
        <w:ind w:left="1440"/>
        <w:jc w:val="left"/>
        <w:rPr>
          <w:rFonts w:ascii="Times New Roman" w:hAnsi="Times New Roman"/>
          <w:szCs w:val="24"/>
        </w:rPr>
      </w:pPr>
    </w:p>
    <w:p w:rsidR="000830F2" w:rsidRPr="00F62DF5" w:rsidRDefault="00AB7300"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The</w:t>
      </w:r>
      <w:r w:rsidR="00934A5B" w:rsidRPr="00F62DF5">
        <w:rPr>
          <w:rFonts w:ascii="Times New Roman" w:hAnsi="Times New Roman"/>
          <w:szCs w:val="24"/>
        </w:rPr>
        <w:t xml:space="preserve"> </w:t>
      </w:r>
      <w:r w:rsidR="009F1840" w:rsidRPr="00F62DF5">
        <w:rPr>
          <w:rFonts w:ascii="Times New Roman" w:hAnsi="Times New Roman"/>
          <w:szCs w:val="24"/>
        </w:rPr>
        <w:t xml:space="preserve">Complainant </w:t>
      </w:r>
      <w:r w:rsidR="00934A5B" w:rsidRPr="00F62DF5">
        <w:rPr>
          <w:rFonts w:ascii="Times New Roman" w:hAnsi="Times New Roman"/>
          <w:szCs w:val="24"/>
        </w:rPr>
        <w:t xml:space="preserve">has lived at the service address alone </w:t>
      </w:r>
      <w:r w:rsidRPr="00F62DF5">
        <w:rPr>
          <w:rFonts w:ascii="Times New Roman" w:hAnsi="Times New Roman"/>
          <w:szCs w:val="24"/>
        </w:rPr>
        <w:t xml:space="preserve">since June 2012, </w:t>
      </w:r>
      <w:r w:rsidR="00934A5B" w:rsidRPr="00F62DF5">
        <w:rPr>
          <w:rFonts w:ascii="Times New Roman" w:hAnsi="Times New Roman"/>
          <w:szCs w:val="24"/>
        </w:rPr>
        <w:t>(Tr. 9).</w:t>
      </w:r>
      <w:r w:rsidR="000830F2" w:rsidRPr="00F62DF5">
        <w:rPr>
          <w:rFonts w:ascii="Times New Roman" w:hAnsi="Times New Roman"/>
          <w:szCs w:val="24"/>
        </w:rPr>
        <w:t xml:space="preserve">  </w:t>
      </w:r>
    </w:p>
    <w:p w:rsidR="000830F2" w:rsidRPr="00F62DF5" w:rsidRDefault="000830F2" w:rsidP="00502FD5">
      <w:pPr>
        <w:pStyle w:val="ListParagraph"/>
        <w:spacing w:line="360" w:lineRule="auto"/>
        <w:rPr>
          <w:rFonts w:ascii="Times New Roman" w:hAnsi="Times New Roman"/>
          <w:szCs w:val="24"/>
        </w:rPr>
      </w:pPr>
    </w:p>
    <w:p w:rsidR="007523CF" w:rsidRDefault="00934A5B"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lastRenderedPageBreak/>
        <w:t xml:space="preserve">The Complainant has a gas stove and gas heat (Tr. 9, 10).  </w:t>
      </w:r>
    </w:p>
    <w:p w:rsidR="00C8098C" w:rsidRPr="00F62DF5" w:rsidRDefault="00C8098C" w:rsidP="00C8098C">
      <w:pPr>
        <w:pStyle w:val="BodyText"/>
        <w:tabs>
          <w:tab w:val="clear" w:pos="1980"/>
          <w:tab w:val="left" w:pos="0"/>
        </w:tabs>
        <w:spacing w:line="360" w:lineRule="auto"/>
        <w:ind w:left="1440"/>
        <w:jc w:val="left"/>
        <w:rPr>
          <w:rFonts w:ascii="Times New Roman" w:hAnsi="Times New Roman"/>
          <w:szCs w:val="24"/>
        </w:rPr>
      </w:pPr>
    </w:p>
    <w:p w:rsidR="000830F2" w:rsidRPr="00F62DF5" w:rsidRDefault="00D54B91"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All of the Complainant’s</w:t>
      </w:r>
      <w:r w:rsidR="00B77387" w:rsidRPr="00F62DF5">
        <w:rPr>
          <w:rFonts w:ascii="Times New Roman" w:hAnsi="Times New Roman"/>
          <w:szCs w:val="24"/>
        </w:rPr>
        <w:t xml:space="preserve"> </w:t>
      </w:r>
      <w:r w:rsidRPr="00F62DF5">
        <w:rPr>
          <w:rFonts w:ascii="Times New Roman" w:hAnsi="Times New Roman"/>
          <w:szCs w:val="24"/>
        </w:rPr>
        <w:t xml:space="preserve">bills </w:t>
      </w:r>
      <w:r w:rsidR="00AB7300" w:rsidRPr="00F62DF5">
        <w:rPr>
          <w:rFonts w:ascii="Times New Roman" w:hAnsi="Times New Roman"/>
          <w:szCs w:val="24"/>
        </w:rPr>
        <w:t xml:space="preserve">were based </w:t>
      </w:r>
      <w:r w:rsidR="005A2FB9" w:rsidRPr="00F62DF5">
        <w:rPr>
          <w:rFonts w:ascii="Times New Roman" w:hAnsi="Times New Roman"/>
          <w:szCs w:val="24"/>
        </w:rPr>
        <w:t xml:space="preserve">the Complainant’s </w:t>
      </w:r>
      <w:r w:rsidR="00AB7300" w:rsidRPr="00F62DF5">
        <w:rPr>
          <w:rFonts w:ascii="Times New Roman" w:hAnsi="Times New Roman"/>
          <w:szCs w:val="24"/>
        </w:rPr>
        <w:t xml:space="preserve">actual </w:t>
      </w:r>
      <w:r w:rsidR="005A2FB9" w:rsidRPr="00F62DF5">
        <w:rPr>
          <w:rFonts w:ascii="Times New Roman" w:hAnsi="Times New Roman"/>
          <w:szCs w:val="24"/>
        </w:rPr>
        <w:t xml:space="preserve">usage </w:t>
      </w:r>
      <w:r w:rsidR="00B77387" w:rsidRPr="00F62DF5">
        <w:rPr>
          <w:rFonts w:ascii="Times New Roman" w:hAnsi="Times New Roman"/>
          <w:szCs w:val="24"/>
        </w:rPr>
        <w:t xml:space="preserve">(Tr. </w:t>
      </w:r>
      <w:r w:rsidRPr="00F62DF5">
        <w:rPr>
          <w:rFonts w:ascii="Times New Roman" w:hAnsi="Times New Roman"/>
          <w:szCs w:val="24"/>
        </w:rPr>
        <w:t>37</w:t>
      </w:r>
      <w:r w:rsidR="004D229D" w:rsidRPr="00F62DF5">
        <w:rPr>
          <w:rFonts w:ascii="Times New Roman" w:hAnsi="Times New Roman"/>
          <w:szCs w:val="24"/>
        </w:rPr>
        <w:t>;</w:t>
      </w:r>
      <w:r w:rsidR="00B77387" w:rsidRPr="00F62DF5">
        <w:rPr>
          <w:rFonts w:ascii="Times New Roman" w:hAnsi="Times New Roman"/>
          <w:szCs w:val="24"/>
        </w:rPr>
        <w:t xml:space="preserve"> PGW Ex</w:t>
      </w:r>
      <w:r w:rsidRPr="00F62DF5">
        <w:rPr>
          <w:rFonts w:ascii="Times New Roman" w:hAnsi="Times New Roman"/>
          <w:szCs w:val="24"/>
        </w:rPr>
        <w:t>s</w:t>
      </w:r>
      <w:r w:rsidR="00B77387" w:rsidRPr="00F62DF5">
        <w:rPr>
          <w:rFonts w:ascii="Times New Roman" w:hAnsi="Times New Roman"/>
          <w:szCs w:val="24"/>
        </w:rPr>
        <w:t>. 1</w:t>
      </w:r>
      <w:r w:rsidRPr="00F62DF5">
        <w:rPr>
          <w:rFonts w:ascii="Times New Roman" w:hAnsi="Times New Roman"/>
          <w:szCs w:val="24"/>
        </w:rPr>
        <w:t>, 4, 5</w:t>
      </w:r>
      <w:r w:rsidR="00B77387" w:rsidRPr="00F62DF5">
        <w:rPr>
          <w:rFonts w:ascii="Times New Roman" w:hAnsi="Times New Roman"/>
          <w:szCs w:val="24"/>
        </w:rPr>
        <w:t>).</w:t>
      </w:r>
      <w:r w:rsidR="000830F2" w:rsidRPr="00F62DF5">
        <w:rPr>
          <w:rFonts w:ascii="Times New Roman" w:hAnsi="Times New Roman"/>
          <w:szCs w:val="24"/>
        </w:rPr>
        <w:t xml:space="preserve"> </w:t>
      </w:r>
    </w:p>
    <w:p w:rsidR="007F1BEF" w:rsidRPr="00F62DF5" w:rsidRDefault="007F1BEF" w:rsidP="007A53A2">
      <w:pPr>
        <w:pStyle w:val="BodyText"/>
        <w:tabs>
          <w:tab w:val="clear" w:pos="1980"/>
          <w:tab w:val="left" w:pos="0"/>
        </w:tabs>
        <w:spacing w:line="360" w:lineRule="auto"/>
        <w:jc w:val="left"/>
        <w:rPr>
          <w:rFonts w:ascii="Times New Roman" w:hAnsi="Times New Roman"/>
          <w:szCs w:val="24"/>
        </w:rPr>
      </w:pPr>
    </w:p>
    <w:p w:rsidR="00AB7300" w:rsidRPr="00F62DF5" w:rsidRDefault="00AB7300"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The Complainant was enrolled </w:t>
      </w:r>
      <w:r w:rsidR="00287BB0" w:rsidRPr="00F62DF5">
        <w:rPr>
          <w:rFonts w:ascii="Times New Roman" w:hAnsi="Times New Roman"/>
          <w:szCs w:val="24"/>
        </w:rPr>
        <w:t xml:space="preserve">in </w:t>
      </w:r>
      <w:r w:rsidRPr="00F62DF5">
        <w:rPr>
          <w:rFonts w:ascii="Times New Roman" w:hAnsi="Times New Roman"/>
          <w:szCs w:val="24"/>
        </w:rPr>
        <w:t>the</w:t>
      </w:r>
      <w:r w:rsidRPr="00F62DF5">
        <w:rPr>
          <w:rFonts w:ascii="Times New Roman" w:hAnsi="Times New Roman"/>
        </w:rPr>
        <w:t xml:space="preserve"> </w:t>
      </w:r>
      <w:r w:rsidRPr="00F62DF5">
        <w:rPr>
          <w:rFonts w:ascii="Times New Roman" w:hAnsi="Times New Roman"/>
          <w:szCs w:val="24"/>
        </w:rPr>
        <w:t>Respondent’s Customer Responsibility Program (“CRP”) from March 27, 1998 through May 17, 2003</w:t>
      </w:r>
      <w:r w:rsidR="00AC6C1E">
        <w:rPr>
          <w:rFonts w:ascii="Times New Roman" w:hAnsi="Times New Roman"/>
          <w:szCs w:val="24"/>
        </w:rPr>
        <w:t xml:space="preserve"> </w:t>
      </w:r>
      <w:r w:rsidRPr="00F62DF5">
        <w:rPr>
          <w:rFonts w:ascii="Times New Roman" w:hAnsi="Times New Roman"/>
          <w:szCs w:val="24"/>
        </w:rPr>
        <w:t>(Tr. 30).</w:t>
      </w:r>
    </w:p>
    <w:p w:rsidR="00AB7300" w:rsidRPr="00F62DF5" w:rsidRDefault="00AB7300" w:rsidP="00A427E0">
      <w:pPr>
        <w:pStyle w:val="BodyText"/>
        <w:tabs>
          <w:tab w:val="clear" w:pos="1980"/>
          <w:tab w:val="left" w:pos="0"/>
        </w:tabs>
        <w:spacing w:line="360" w:lineRule="auto"/>
        <w:jc w:val="left"/>
        <w:rPr>
          <w:rFonts w:ascii="Times New Roman" w:hAnsi="Times New Roman"/>
          <w:szCs w:val="24"/>
        </w:rPr>
      </w:pPr>
    </w:p>
    <w:p w:rsidR="00B77387" w:rsidRPr="00F62DF5" w:rsidRDefault="00B77387"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The </w:t>
      </w:r>
      <w:r w:rsidR="00AB7300" w:rsidRPr="00F62DF5">
        <w:rPr>
          <w:rFonts w:ascii="Times New Roman" w:hAnsi="Times New Roman"/>
          <w:szCs w:val="24"/>
        </w:rPr>
        <w:t xml:space="preserve">Respondent gave the </w:t>
      </w:r>
      <w:r w:rsidRPr="00F62DF5">
        <w:rPr>
          <w:rFonts w:ascii="Times New Roman" w:hAnsi="Times New Roman"/>
          <w:szCs w:val="24"/>
        </w:rPr>
        <w:t xml:space="preserve">Complainant payment arrangements </w:t>
      </w:r>
      <w:r w:rsidR="00AB7300" w:rsidRPr="00F62DF5">
        <w:rPr>
          <w:rFonts w:ascii="Times New Roman" w:hAnsi="Times New Roman"/>
          <w:szCs w:val="24"/>
        </w:rPr>
        <w:t xml:space="preserve">on </w:t>
      </w:r>
      <w:r w:rsidRPr="00F62DF5">
        <w:rPr>
          <w:rFonts w:ascii="Times New Roman" w:hAnsi="Times New Roman"/>
          <w:szCs w:val="24"/>
        </w:rPr>
        <w:t>May 20, 2009, August 11, 2009</w:t>
      </w:r>
      <w:r w:rsidR="00AB7300" w:rsidRPr="00F62DF5">
        <w:rPr>
          <w:rFonts w:ascii="Times New Roman" w:hAnsi="Times New Roman"/>
          <w:szCs w:val="24"/>
        </w:rPr>
        <w:t xml:space="preserve"> and</w:t>
      </w:r>
      <w:r w:rsidRPr="00F62DF5">
        <w:rPr>
          <w:rFonts w:ascii="Times New Roman" w:hAnsi="Times New Roman"/>
          <w:szCs w:val="24"/>
        </w:rPr>
        <w:t xml:space="preserve"> June 16, 2014 (Tr. 20; PGW Ex</w:t>
      </w:r>
      <w:r w:rsidR="004D229D" w:rsidRPr="00F62DF5">
        <w:rPr>
          <w:rFonts w:ascii="Times New Roman" w:hAnsi="Times New Roman"/>
          <w:szCs w:val="24"/>
        </w:rPr>
        <w:t>s</w:t>
      </w:r>
      <w:r w:rsidRPr="00F62DF5">
        <w:rPr>
          <w:rFonts w:ascii="Times New Roman" w:hAnsi="Times New Roman"/>
          <w:szCs w:val="24"/>
        </w:rPr>
        <w:t>. 2</w:t>
      </w:r>
      <w:r w:rsidR="004D229D" w:rsidRPr="00F62DF5">
        <w:rPr>
          <w:rFonts w:ascii="Times New Roman" w:hAnsi="Times New Roman"/>
          <w:szCs w:val="24"/>
        </w:rPr>
        <w:t>, 3</w:t>
      </w:r>
      <w:r w:rsidRPr="00F62DF5">
        <w:rPr>
          <w:rFonts w:ascii="Times New Roman" w:hAnsi="Times New Roman"/>
          <w:szCs w:val="24"/>
        </w:rPr>
        <w:t>)</w:t>
      </w:r>
      <w:r w:rsidR="004D229D" w:rsidRPr="00F62DF5">
        <w:rPr>
          <w:rFonts w:ascii="Times New Roman" w:hAnsi="Times New Roman"/>
          <w:szCs w:val="24"/>
        </w:rPr>
        <w:t>.</w:t>
      </w:r>
    </w:p>
    <w:p w:rsidR="001177CC" w:rsidRPr="00F62DF5" w:rsidRDefault="001177CC" w:rsidP="00AE4727">
      <w:pPr>
        <w:pStyle w:val="ListParagraph"/>
        <w:spacing w:line="360" w:lineRule="auto"/>
        <w:rPr>
          <w:rFonts w:ascii="Times New Roman" w:hAnsi="Times New Roman"/>
          <w:szCs w:val="24"/>
        </w:rPr>
      </w:pPr>
    </w:p>
    <w:p w:rsidR="001177CC" w:rsidRPr="00F62DF5" w:rsidRDefault="001177CC"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The </w:t>
      </w:r>
      <w:r w:rsidR="00287BB0" w:rsidRPr="00F62DF5">
        <w:rPr>
          <w:rFonts w:ascii="Times New Roman" w:hAnsi="Times New Roman"/>
          <w:szCs w:val="24"/>
        </w:rPr>
        <w:t xml:space="preserve">$54.72 </w:t>
      </w:r>
      <w:r w:rsidRPr="00F62DF5">
        <w:rPr>
          <w:rFonts w:ascii="Times New Roman" w:hAnsi="Times New Roman"/>
          <w:szCs w:val="24"/>
        </w:rPr>
        <w:t xml:space="preserve">bill dated December </w:t>
      </w:r>
      <w:r w:rsidR="006B3AF3" w:rsidRPr="00F62DF5">
        <w:rPr>
          <w:rFonts w:ascii="Times New Roman" w:hAnsi="Times New Roman"/>
          <w:szCs w:val="24"/>
        </w:rPr>
        <w:t xml:space="preserve">5, </w:t>
      </w:r>
      <w:r w:rsidRPr="00F62DF5">
        <w:rPr>
          <w:rFonts w:ascii="Times New Roman" w:hAnsi="Times New Roman"/>
          <w:szCs w:val="24"/>
        </w:rPr>
        <w:t>2014</w:t>
      </w:r>
      <w:r w:rsidR="006B3AF3" w:rsidRPr="00F62DF5">
        <w:rPr>
          <w:rFonts w:ascii="Times New Roman" w:hAnsi="Times New Roman"/>
          <w:szCs w:val="24"/>
        </w:rPr>
        <w:t>,</w:t>
      </w:r>
      <w:r w:rsidRPr="00F62DF5">
        <w:rPr>
          <w:rFonts w:ascii="Times New Roman" w:hAnsi="Times New Roman"/>
          <w:szCs w:val="24"/>
        </w:rPr>
        <w:t xml:space="preserve"> for the period from October 31, 2014 to December 3, 2014, was for 30 ccfs of gas (Tr. 37, 38; PGW Ex. 1, 4).</w:t>
      </w:r>
    </w:p>
    <w:p w:rsidR="003F4123" w:rsidRPr="00F62DF5" w:rsidRDefault="003F4123" w:rsidP="00502FD5">
      <w:pPr>
        <w:pStyle w:val="ListParagraph"/>
        <w:spacing w:line="360" w:lineRule="auto"/>
        <w:rPr>
          <w:rFonts w:ascii="Times New Roman" w:hAnsi="Times New Roman"/>
          <w:szCs w:val="24"/>
        </w:rPr>
      </w:pPr>
    </w:p>
    <w:p w:rsidR="003F4123" w:rsidRPr="00F62DF5" w:rsidRDefault="003F4123"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The Respondent responded to the Complainant’s dispute about her December 2014 bill by letter dated December 16, 2014 (PGW Ex. 4).</w:t>
      </w:r>
    </w:p>
    <w:p w:rsidR="001177CC" w:rsidRPr="00F62DF5" w:rsidRDefault="001177CC" w:rsidP="00502FD5">
      <w:pPr>
        <w:pStyle w:val="ListParagraph"/>
        <w:spacing w:line="360" w:lineRule="auto"/>
        <w:rPr>
          <w:rFonts w:ascii="Times New Roman" w:hAnsi="Times New Roman"/>
          <w:szCs w:val="24"/>
        </w:rPr>
      </w:pPr>
    </w:p>
    <w:p w:rsidR="001177CC" w:rsidRPr="00F62DF5" w:rsidRDefault="001177CC" w:rsidP="007A53A2">
      <w:pPr>
        <w:pStyle w:val="BodyText"/>
        <w:numPr>
          <w:ilvl w:val="0"/>
          <w:numId w:val="12"/>
        </w:numPr>
        <w:tabs>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The </w:t>
      </w:r>
      <w:r w:rsidR="006B3AF3" w:rsidRPr="00F62DF5">
        <w:rPr>
          <w:rFonts w:ascii="Times New Roman" w:hAnsi="Times New Roman"/>
          <w:szCs w:val="24"/>
        </w:rPr>
        <w:t xml:space="preserve">Complainant’s </w:t>
      </w:r>
      <w:r w:rsidRPr="00F62DF5">
        <w:rPr>
          <w:rFonts w:ascii="Times New Roman" w:hAnsi="Times New Roman"/>
          <w:szCs w:val="24"/>
        </w:rPr>
        <w:t xml:space="preserve">December 2014 </w:t>
      </w:r>
      <w:r w:rsidR="006B3AF3" w:rsidRPr="00F62DF5">
        <w:rPr>
          <w:rFonts w:ascii="Times New Roman" w:hAnsi="Times New Roman"/>
          <w:szCs w:val="24"/>
        </w:rPr>
        <w:t xml:space="preserve">bill was similar to her December 2013 bill </w:t>
      </w:r>
      <w:r w:rsidRPr="00F62DF5">
        <w:rPr>
          <w:rFonts w:ascii="Times New Roman" w:hAnsi="Times New Roman"/>
          <w:szCs w:val="24"/>
        </w:rPr>
        <w:t>in the amount of $4</w:t>
      </w:r>
      <w:r w:rsidR="006B3AF3" w:rsidRPr="00F62DF5">
        <w:rPr>
          <w:rFonts w:ascii="Times New Roman" w:hAnsi="Times New Roman"/>
          <w:szCs w:val="24"/>
        </w:rPr>
        <w:t>7</w:t>
      </w:r>
      <w:r w:rsidRPr="00F62DF5">
        <w:rPr>
          <w:rFonts w:ascii="Times New Roman" w:hAnsi="Times New Roman"/>
          <w:szCs w:val="24"/>
        </w:rPr>
        <w:t>.7</w:t>
      </w:r>
      <w:r w:rsidR="006B3AF3" w:rsidRPr="00F62DF5">
        <w:rPr>
          <w:rFonts w:ascii="Times New Roman" w:hAnsi="Times New Roman"/>
          <w:szCs w:val="24"/>
        </w:rPr>
        <w:t>5</w:t>
      </w:r>
      <w:r w:rsidRPr="00F62DF5">
        <w:rPr>
          <w:rFonts w:ascii="Times New Roman" w:hAnsi="Times New Roman"/>
          <w:szCs w:val="24"/>
        </w:rPr>
        <w:t xml:space="preserve">, for </w:t>
      </w:r>
      <w:r w:rsidR="006B3AF3" w:rsidRPr="00F62DF5">
        <w:rPr>
          <w:rFonts w:ascii="Times New Roman" w:hAnsi="Times New Roman"/>
          <w:szCs w:val="24"/>
        </w:rPr>
        <w:t>25</w:t>
      </w:r>
      <w:r w:rsidRPr="00F62DF5">
        <w:rPr>
          <w:rFonts w:ascii="Times New Roman" w:hAnsi="Times New Roman"/>
          <w:szCs w:val="24"/>
        </w:rPr>
        <w:t xml:space="preserve"> ccfs of gas</w:t>
      </w:r>
      <w:r w:rsidR="006B3AF3" w:rsidRPr="00F62DF5">
        <w:rPr>
          <w:rFonts w:ascii="Times New Roman" w:hAnsi="Times New Roman"/>
          <w:szCs w:val="24"/>
        </w:rPr>
        <w:t xml:space="preserve"> and to her December 2012 bill in the amount of $57.93, for 33 ccfs of gas</w:t>
      </w:r>
      <w:r w:rsidRPr="00F62DF5">
        <w:rPr>
          <w:rFonts w:ascii="Times New Roman" w:hAnsi="Times New Roman"/>
          <w:szCs w:val="24"/>
        </w:rPr>
        <w:t xml:space="preserve"> (Tr. 37, 38; PGW Ex</w:t>
      </w:r>
      <w:r w:rsidR="00DE47C2" w:rsidRPr="00F62DF5">
        <w:rPr>
          <w:rFonts w:ascii="Times New Roman" w:hAnsi="Times New Roman"/>
          <w:szCs w:val="24"/>
        </w:rPr>
        <w:t>s</w:t>
      </w:r>
      <w:r w:rsidRPr="00F62DF5">
        <w:rPr>
          <w:rFonts w:ascii="Times New Roman" w:hAnsi="Times New Roman"/>
          <w:szCs w:val="24"/>
        </w:rPr>
        <w:t>. 1, 4).</w:t>
      </w:r>
    </w:p>
    <w:p w:rsidR="005A2FB9" w:rsidRPr="00F62DF5" w:rsidRDefault="005A2FB9" w:rsidP="007A53A2">
      <w:pPr>
        <w:pStyle w:val="BodyText"/>
        <w:tabs>
          <w:tab w:val="left" w:pos="0"/>
        </w:tabs>
        <w:spacing w:line="360" w:lineRule="auto"/>
        <w:jc w:val="left"/>
        <w:rPr>
          <w:rFonts w:ascii="Times New Roman" w:hAnsi="Times New Roman"/>
          <w:szCs w:val="24"/>
        </w:rPr>
      </w:pPr>
    </w:p>
    <w:p w:rsidR="00B101A4" w:rsidRPr="00F62DF5" w:rsidRDefault="005A2FB9" w:rsidP="007A53A2">
      <w:pPr>
        <w:pStyle w:val="BodyText"/>
        <w:numPr>
          <w:ilvl w:val="0"/>
          <w:numId w:val="12"/>
        </w:numPr>
        <w:tabs>
          <w:tab w:val="left" w:pos="720"/>
        </w:tabs>
        <w:spacing w:line="360" w:lineRule="auto"/>
        <w:ind w:left="0" w:firstLine="1440"/>
        <w:jc w:val="left"/>
        <w:rPr>
          <w:rFonts w:ascii="Times New Roman" w:hAnsi="Times New Roman"/>
          <w:szCs w:val="24"/>
        </w:rPr>
      </w:pPr>
      <w:r w:rsidRPr="00F62DF5">
        <w:rPr>
          <w:rFonts w:ascii="Times New Roman" w:hAnsi="Times New Roman"/>
          <w:szCs w:val="24"/>
        </w:rPr>
        <w:t>The Complainant’s April 7</w:t>
      </w:r>
      <w:r w:rsidR="00B101A4" w:rsidRPr="00F62DF5">
        <w:rPr>
          <w:rFonts w:ascii="Times New Roman" w:hAnsi="Times New Roman"/>
          <w:szCs w:val="24"/>
        </w:rPr>
        <w:t xml:space="preserve">, 2015 bill </w:t>
      </w:r>
      <w:r w:rsidRPr="00F62DF5">
        <w:rPr>
          <w:rFonts w:ascii="Times New Roman" w:hAnsi="Times New Roman"/>
          <w:szCs w:val="24"/>
        </w:rPr>
        <w:t xml:space="preserve">in the amount of $395.99 included a </w:t>
      </w:r>
      <w:r w:rsidR="00B101A4" w:rsidRPr="00F62DF5">
        <w:rPr>
          <w:rFonts w:ascii="Times New Roman" w:hAnsi="Times New Roman"/>
          <w:szCs w:val="24"/>
        </w:rPr>
        <w:t>past due amount $</w:t>
      </w:r>
      <w:r w:rsidRPr="00F62DF5">
        <w:rPr>
          <w:rFonts w:ascii="Times New Roman" w:hAnsi="Times New Roman"/>
          <w:szCs w:val="24"/>
        </w:rPr>
        <w:t>28</w:t>
      </w:r>
      <w:r w:rsidR="00B101A4" w:rsidRPr="00F62DF5">
        <w:rPr>
          <w:rFonts w:ascii="Times New Roman" w:hAnsi="Times New Roman"/>
          <w:szCs w:val="24"/>
        </w:rPr>
        <w:t>7.</w:t>
      </w:r>
      <w:r w:rsidRPr="00F62DF5">
        <w:rPr>
          <w:rFonts w:ascii="Times New Roman" w:hAnsi="Times New Roman"/>
          <w:szCs w:val="24"/>
        </w:rPr>
        <w:t>96</w:t>
      </w:r>
      <w:r w:rsidR="00B101A4" w:rsidRPr="00F62DF5">
        <w:rPr>
          <w:rFonts w:ascii="Times New Roman" w:hAnsi="Times New Roman"/>
          <w:szCs w:val="24"/>
        </w:rPr>
        <w:t xml:space="preserve"> (Tr. 12, 33; C. Ex. 2; PGW Ex. 1).</w:t>
      </w:r>
    </w:p>
    <w:p w:rsidR="005A2FB9" w:rsidRPr="00F62DF5" w:rsidRDefault="005A2FB9" w:rsidP="00502FD5">
      <w:pPr>
        <w:pStyle w:val="ListParagraph"/>
        <w:spacing w:line="360" w:lineRule="auto"/>
        <w:rPr>
          <w:rFonts w:ascii="Times New Roman" w:hAnsi="Times New Roman"/>
          <w:szCs w:val="24"/>
        </w:rPr>
      </w:pPr>
    </w:p>
    <w:p w:rsidR="005A2FB9" w:rsidRPr="00F62DF5" w:rsidRDefault="005A2FB9" w:rsidP="007A53A2">
      <w:pPr>
        <w:pStyle w:val="BodyText"/>
        <w:numPr>
          <w:ilvl w:val="0"/>
          <w:numId w:val="12"/>
        </w:numPr>
        <w:tabs>
          <w:tab w:val="left" w:pos="720"/>
        </w:tabs>
        <w:spacing w:line="360" w:lineRule="auto"/>
        <w:ind w:left="0" w:firstLine="1440"/>
        <w:jc w:val="left"/>
        <w:rPr>
          <w:rFonts w:ascii="Times New Roman" w:hAnsi="Times New Roman"/>
          <w:szCs w:val="24"/>
        </w:rPr>
      </w:pPr>
      <w:r w:rsidRPr="00F62DF5">
        <w:rPr>
          <w:rFonts w:ascii="Times New Roman" w:hAnsi="Times New Roman"/>
          <w:szCs w:val="24"/>
        </w:rPr>
        <w:t>After the Complainant paid $78.21, the past due amount was reduced to $209.75 (PGW Ex. 1).</w:t>
      </w:r>
    </w:p>
    <w:p w:rsidR="005A2FB9" w:rsidRPr="00F62DF5" w:rsidRDefault="005A2FB9" w:rsidP="00502FD5">
      <w:pPr>
        <w:pStyle w:val="ListParagraph"/>
        <w:spacing w:line="360" w:lineRule="auto"/>
        <w:rPr>
          <w:rFonts w:ascii="Times New Roman" w:hAnsi="Times New Roman"/>
          <w:szCs w:val="24"/>
        </w:rPr>
      </w:pPr>
    </w:p>
    <w:p w:rsidR="005A2FB9" w:rsidRDefault="005A2FB9" w:rsidP="007A53A2">
      <w:pPr>
        <w:pStyle w:val="BodyText"/>
        <w:numPr>
          <w:ilvl w:val="0"/>
          <w:numId w:val="12"/>
        </w:numPr>
        <w:tabs>
          <w:tab w:val="left" w:pos="720"/>
        </w:tabs>
        <w:spacing w:line="360" w:lineRule="auto"/>
        <w:ind w:left="0" w:firstLine="1440"/>
        <w:jc w:val="left"/>
        <w:rPr>
          <w:rFonts w:ascii="Times New Roman" w:hAnsi="Times New Roman"/>
          <w:szCs w:val="24"/>
        </w:rPr>
      </w:pPr>
      <w:r w:rsidRPr="00F62DF5">
        <w:rPr>
          <w:rFonts w:ascii="Times New Roman" w:hAnsi="Times New Roman"/>
          <w:szCs w:val="24"/>
        </w:rPr>
        <w:t>On May 18, 2015, the Respondent sent the Complainant a past due reminder notice requesting her to pay $209.75 (Tr. 7, 31-33; C. Ex. 1)</w:t>
      </w:r>
      <w:r w:rsidR="00FF0567" w:rsidRPr="00F62DF5">
        <w:rPr>
          <w:rFonts w:ascii="Times New Roman" w:hAnsi="Times New Roman"/>
          <w:szCs w:val="24"/>
        </w:rPr>
        <w:t>.</w:t>
      </w:r>
    </w:p>
    <w:p w:rsidR="00AE4727" w:rsidRPr="00F62DF5" w:rsidRDefault="00AE4727" w:rsidP="00AE4727">
      <w:pPr>
        <w:pStyle w:val="BodyText"/>
        <w:tabs>
          <w:tab w:val="left" w:pos="720"/>
        </w:tabs>
        <w:spacing w:line="360" w:lineRule="auto"/>
        <w:ind w:left="1440"/>
        <w:jc w:val="left"/>
        <w:rPr>
          <w:rFonts w:ascii="Times New Roman" w:hAnsi="Times New Roman"/>
          <w:szCs w:val="24"/>
        </w:rPr>
      </w:pPr>
    </w:p>
    <w:p w:rsidR="005A2FB9" w:rsidRPr="00F62DF5" w:rsidRDefault="005A2FB9" w:rsidP="007A53A2">
      <w:pPr>
        <w:pStyle w:val="BodyText"/>
        <w:numPr>
          <w:ilvl w:val="0"/>
          <w:numId w:val="12"/>
        </w:numPr>
        <w:tabs>
          <w:tab w:val="left" w:pos="720"/>
        </w:tabs>
        <w:spacing w:line="360" w:lineRule="auto"/>
        <w:ind w:left="0" w:firstLine="1440"/>
        <w:jc w:val="left"/>
        <w:rPr>
          <w:rFonts w:ascii="Times New Roman" w:hAnsi="Times New Roman"/>
          <w:szCs w:val="24"/>
        </w:rPr>
      </w:pPr>
      <w:r w:rsidRPr="00F62DF5">
        <w:rPr>
          <w:rFonts w:ascii="Times New Roman" w:hAnsi="Times New Roman"/>
          <w:szCs w:val="24"/>
        </w:rPr>
        <w:lastRenderedPageBreak/>
        <w:t>When t</w:t>
      </w:r>
      <w:r w:rsidR="00B101A4" w:rsidRPr="00F62DF5">
        <w:rPr>
          <w:rFonts w:ascii="Times New Roman" w:hAnsi="Times New Roman"/>
          <w:szCs w:val="24"/>
        </w:rPr>
        <w:t>he Complainant paid $40.00</w:t>
      </w:r>
      <w:r w:rsidRPr="00F62DF5">
        <w:rPr>
          <w:rFonts w:ascii="Times New Roman" w:hAnsi="Times New Roman"/>
          <w:szCs w:val="24"/>
        </w:rPr>
        <w:t xml:space="preserve">, the past due amount was reduced to $169.75 </w:t>
      </w:r>
      <w:r w:rsidR="00B101A4" w:rsidRPr="00F62DF5">
        <w:rPr>
          <w:rFonts w:ascii="Times New Roman" w:hAnsi="Times New Roman"/>
          <w:szCs w:val="24"/>
        </w:rPr>
        <w:t xml:space="preserve">(C. Ex. </w:t>
      </w:r>
      <w:r w:rsidR="00FF0567" w:rsidRPr="00F62DF5">
        <w:rPr>
          <w:rFonts w:ascii="Times New Roman" w:hAnsi="Times New Roman"/>
          <w:szCs w:val="24"/>
        </w:rPr>
        <w:t>1</w:t>
      </w:r>
      <w:r w:rsidR="00B101A4" w:rsidRPr="00F62DF5">
        <w:rPr>
          <w:rFonts w:ascii="Times New Roman" w:hAnsi="Times New Roman"/>
          <w:szCs w:val="24"/>
        </w:rPr>
        <w:t>; PGW Ex. 1).</w:t>
      </w:r>
    </w:p>
    <w:p w:rsidR="00B101A4" w:rsidRPr="00F62DF5" w:rsidRDefault="00B101A4" w:rsidP="007A53A2">
      <w:pPr>
        <w:pStyle w:val="BodyText"/>
        <w:tabs>
          <w:tab w:val="left" w:pos="720"/>
        </w:tabs>
        <w:spacing w:line="360" w:lineRule="auto"/>
        <w:ind w:firstLine="1440"/>
        <w:jc w:val="left"/>
        <w:rPr>
          <w:rFonts w:ascii="Times New Roman" w:hAnsi="Times New Roman"/>
          <w:szCs w:val="24"/>
        </w:rPr>
      </w:pPr>
    </w:p>
    <w:p w:rsidR="005A2FB9" w:rsidRPr="00F62DF5" w:rsidRDefault="005A2FB9" w:rsidP="007A53A2">
      <w:pPr>
        <w:pStyle w:val="BodyText"/>
        <w:numPr>
          <w:ilvl w:val="0"/>
          <w:numId w:val="12"/>
        </w:numPr>
        <w:tabs>
          <w:tab w:val="left" w:pos="720"/>
        </w:tabs>
        <w:spacing w:line="360" w:lineRule="auto"/>
        <w:ind w:left="0" w:firstLine="1440"/>
        <w:jc w:val="left"/>
        <w:rPr>
          <w:rFonts w:ascii="Times New Roman" w:hAnsi="Times New Roman"/>
          <w:szCs w:val="24"/>
        </w:rPr>
      </w:pPr>
      <w:r w:rsidRPr="00F62DF5">
        <w:rPr>
          <w:rFonts w:ascii="Times New Roman" w:hAnsi="Times New Roman"/>
          <w:szCs w:val="24"/>
        </w:rPr>
        <w:t>On May 28, 2015, the Respondent sent the Complainant a past due reminder notice requesting her to pay $169.75 (Tr. 7, 31-33; C. Ex. 1).</w:t>
      </w:r>
    </w:p>
    <w:p w:rsidR="005A2FB9" w:rsidRPr="00F62DF5" w:rsidRDefault="005A2FB9" w:rsidP="007A53A2">
      <w:pPr>
        <w:pStyle w:val="BodyText"/>
        <w:tabs>
          <w:tab w:val="left" w:pos="720"/>
        </w:tabs>
        <w:spacing w:line="360" w:lineRule="auto"/>
        <w:jc w:val="left"/>
        <w:rPr>
          <w:rFonts w:ascii="Times New Roman" w:hAnsi="Times New Roman"/>
          <w:szCs w:val="24"/>
        </w:rPr>
      </w:pPr>
    </w:p>
    <w:p w:rsidR="006B3AF3" w:rsidRPr="00F62DF5" w:rsidRDefault="006B3AF3" w:rsidP="007A53A2">
      <w:pPr>
        <w:pStyle w:val="BodyText"/>
        <w:numPr>
          <w:ilvl w:val="0"/>
          <w:numId w:val="12"/>
        </w:numPr>
        <w:tabs>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The </w:t>
      </w:r>
      <w:r w:rsidR="00287BB0" w:rsidRPr="00F62DF5">
        <w:rPr>
          <w:rFonts w:ascii="Times New Roman" w:hAnsi="Times New Roman"/>
          <w:szCs w:val="24"/>
        </w:rPr>
        <w:t xml:space="preserve">$34.55 </w:t>
      </w:r>
      <w:r w:rsidRPr="00F62DF5">
        <w:rPr>
          <w:rFonts w:ascii="Times New Roman" w:hAnsi="Times New Roman"/>
          <w:szCs w:val="24"/>
        </w:rPr>
        <w:t xml:space="preserve">bill dated </w:t>
      </w:r>
      <w:r w:rsidR="00E71D47" w:rsidRPr="00F62DF5">
        <w:rPr>
          <w:rFonts w:ascii="Times New Roman" w:hAnsi="Times New Roman"/>
          <w:szCs w:val="24"/>
        </w:rPr>
        <w:t>June 4, 2015</w:t>
      </w:r>
      <w:r w:rsidRPr="00F62DF5">
        <w:rPr>
          <w:rFonts w:ascii="Times New Roman" w:hAnsi="Times New Roman"/>
          <w:szCs w:val="24"/>
        </w:rPr>
        <w:t xml:space="preserve">, for the period from </w:t>
      </w:r>
      <w:r w:rsidR="00773054">
        <w:rPr>
          <w:rFonts w:ascii="Times New Roman" w:hAnsi="Times New Roman"/>
          <w:szCs w:val="24"/>
        </w:rPr>
        <w:t>May 4, 2015 to June </w:t>
      </w:r>
      <w:r w:rsidR="00E71D47" w:rsidRPr="00F62DF5">
        <w:rPr>
          <w:rFonts w:ascii="Times New Roman" w:hAnsi="Times New Roman"/>
          <w:szCs w:val="24"/>
        </w:rPr>
        <w:t>3, 2015</w:t>
      </w:r>
      <w:r w:rsidR="00287BB0" w:rsidRPr="00F62DF5">
        <w:rPr>
          <w:rFonts w:ascii="Times New Roman" w:hAnsi="Times New Roman"/>
          <w:szCs w:val="24"/>
        </w:rPr>
        <w:t>,</w:t>
      </w:r>
      <w:r w:rsidR="00DE47C2" w:rsidRPr="00F62DF5">
        <w:rPr>
          <w:rFonts w:ascii="Times New Roman" w:hAnsi="Times New Roman"/>
          <w:szCs w:val="24"/>
        </w:rPr>
        <w:t xml:space="preserve"> was for 15</w:t>
      </w:r>
      <w:r w:rsidRPr="00F62DF5">
        <w:rPr>
          <w:rFonts w:ascii="Times New Roman" w:hAnsi="Times New Roman"/>
          <w:szCs w:val="24"/>
        </w:rPr>
        <w:t xml:space="preserve"> ccfs of gas (Tr. 37, 38; PGW Ex</w:t>
      </w:r>
      <w:r w:rsidR="00DE47C2" w:rsidRPr="00F62DF5">
        <w:rPr>
          <w:rFonts w:ascii="Times New Roman" w:hAnsi="Times New Roman"/>
          <w:szCs w:val="24"/>
        </w:rPr>
        <w:t>s</w:t>
      </w:r>
      <w:r w:rsidRPr="00F62DF5">
        <w:rPr>
          <w:rFonts w:ascii="Times New Roman" w:hAnsi="Times New Roman"/>
          <w:szCs w:val="24"/>
        </w:rPr>
        <w:t>. 1, 4).</w:t>
      </w:r>
    </w:p>
    <w:p w:rsidR="003F4123" w:rsidRPr="00F62DF5" w:rsidRDefault="003F4123" w:rsidP="00502FD5">
      <w:pPr>
        <w:pStyle w:val="ListParagraph"/>
        <w:spacing w:line="360" w:lineRule="auto"/>
        <w:rPr>
          <w:rFonts w:ascii="Times New Roman" w:hAnsi="Times New Roman"/>
          <w:szCs w:val="24"/>
        </w:rPr>
      </w:pPr>
    </w:p>
    <w:p w:rsidR="003F4123" w:rsidRPr="00F62DF5" w:rsidRDefault="003F4123" w:rsidP="007A53A2">
      <w:pPr>
        <w:pStyle w:val="BodyText"/>
        <w:numPr>
          <w:ilvl w:val="0"/>
          <w:numId w:val="12"/>
        </w:numPr>
        <w:tabs>
          <w:tab w:val="left" w:pos="0"/>
        </w:tabs>
        <w:spacing w:line="360" w:lineRule="auto"/>
        <w:ind w:left="0" w:firstLine="1440"/>
        <w:jc w:val="left"/>
        <w:rPr>
          <w:rFonts w:ascii="Times New Roman" w:hAnsi="Times New Roman"/>
          <w:szCs w:val="24"/>
        </w:rPr>
      </w:pPr>
      <w:r w:rsidRPr="00F62DF5">
        <w:rPr>
          <w:rFonts w:ascii="Times New Roman" w:hAnsi="Times New Roman"/>
          <w:szCs w:val="24"/>
        </w:rPr>
        <w:t>The Respondent responded to the Complainant’s dispute about her June 2015 bill by letter dated July 13, 2015 (PGW Ex. 5).</w:t>
      </w:r>
    </w:p>
    <w:p w:rsidR="003F4123" w:rsidRPr="00F62DF5" w:rsidRDefault="003F4123" w:rsidP="007A53A2">
      <w:pPr>
        <w:pStyle w:val="BodyText"/>
        <w:tabs>
          <w:tab w:val="left" w:pos="0"/>
        </w:tabs>
        <w:spacing w:line="360" w:lineRule="auto"/>
        <w:jc w:val="left"/>
        <w:rPr>
          <w:rFonts w:ascii="Times New Roman" w:hAnsi="Times New Roman"/>
          <w:szCs w:val="24"/>
        </w:rPr>
      </w:pPr>
    </w:p>
    <w:p w:rsidR="006B3AF3" w:rsidRPr="00F62DF5" w:rsidRDefault="006B3AF3" w:rsidP="007A53A2">
      <w:pPr>
        <w:pStyle w:val="BodyText"/>
        <w:numPr>
          <w:ilvl w:val="0"/>
          <w:numId w:val="12"/>
        </w:numPr>
        <w:tabs>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The Complainant’s </w:t>
      </w:r>
      <w:r w:rsidR="00E71D47" w:rsidRPr="00F62DF5">
        <w:rPr>
          <w:rFonts w:ascii="Times New Roman" w:hAnsi="Times New Roman"/>
          <w:szCs w:val="24"/>
        </w:rPr>
        <w:t>June 2015</w:t>
      </w:r>
      <w:r w:rsidRPr="00F62DF5">
        <w:rPr>
          <w:rFonts w:ascii="Times New Roman" w:hAnsi="Times New Roman"/>
          <w:szCs w:val="24"/>
        </w:rPr>
        <w:t xml:space="preserve"> bill was similar to her </w:t>
      </w:r>
      <w:r w:rsidR="00E71D47" w:rsidRPr="00F62DF5">
        <w:rPr>
          <w:rFonts w:ascii="Times New Roman" w:hAnsi="Times New Roman"/>
          <w:szCs w:val="24"/>
        </w:rPr>
        <w:t xml:space="preserve">June </w:t>
      </w:r>
      <w:r w:rsidRPr="00F62DF5">
        <w:rPr>
          <w:rFonts w:ascii="Times New Roman" w:hAnsi="Times New Roman"/>
          <w:szCs w:val="24"/>
        </w:rPr>
        <w:t>201</w:t>
      </w:r>
      <w:r w:rsidR="00DE47C2" w:rsidRPr="00F62DF5">
        <w:rPr>
          <w:rFonts w:ascii="Times New Roman" w:hAnsi="Times New Roman"/>
          <w:szCs w:val="24"/>
        </w:rPr>
        <w:t>4</w:t>
      </w:r>
      <w:r w:rsidRPr="00F62DF5">
        <w:rPr>
          <w:rFonts w:ascii="Times New Roman" w:hAnsi="Times New Roman"/>
          <w:szCs w:val="24"/>
        </w:rPr>
        <w:t xml:space="preserve"> bill in the amount of $</w:t>
      </w:r>
      <w:r w:rsidR="00DE47C2" w:rsidRPr="00F62DF5">
        <w:rPr>
          <w:rFonts w:ascii="Times New Roman" w:hAnsi="Times New Roman"/>
          <w:szCs w:val="24"/>
        </w:rPr>
        <w:t>35</w:t>
      </w:r>
      <w:r w:rsidRPr="00F62DF5">
        <w:rPr>
          <w:rFonts w:ascii="Times New Roman" w:hAnsi="Times New Roman"/>
          <w:szCs w:val="24"/>
        </w:rPr>
        <w:t>.</w:t>
      </w:r>
      <w:r w:rsidR="00DE47C2" w:rsidRPr="00F62DF5">
        <w:rPr>
          <w:rFonts w:ascii="Times New Roman" w:hAnsi="Times New Roman"/>
          <w:szCs w:val="24"/>
        </w:rPr>
        <w:t>48</w:t>
      </w:r>
      <w:r w:rsidRPr="00F62DF5">
        <w:rPr>
          <w:rFonts w:ascii="Times New Roman" w:hAnsi="Times New Roman"/>
          <w:szCs w:val="24"/>
        </w:rPr>
        <w:t xml:space="preserve">, for </w:t>
      </w:r>
      <w:r w:rsidR="00DE47C2" w:rsidRPr="00F62DF5">
        <w:rPr>
          <w:rFonts w:ascii="Times New Roman" w:hAnsi="Times New Roman"/>
          <w:szCs w:val="24"/>
        </w:rPr>
        <w:t>14</w:t>
      </w:r>
      <w:r w:rsidRPr="00F62DF5">
        <w:rPr>
          <w:rFonts w:ascii="Times New Roman" w:hAnsi="Times New Roman"/>
          <w:szCs w:val="24"/>
        </w:rPr>
        <w:t xml:space="preserve"> ccfs of gas and to her </w:t>
      </w:r>
      <w:r w:rsidR="00DE47C2" w:rsidRPr="00F62DF5">
        <w:rPr>
          <w:rFonts w:ascii="Times New Roman" w:hAnsi="Times New Roman"/>
          <w:szCs w:val="24"/>
        </w:rPr>
        <w:t>June</w:t>
      </w:r>
      <w:r w:rsidRPr="00F62DF5">
        <w:rPr>
          <w:rFonts w:ascii="Times New Roman" w:hAnsi="Times New Roman"/>
          <w:szCs w:val="24"/>
        </w:rPr>
        <w:t xml:space="preserve"> 201</w:t>
      </w:r>
      <w:r w:rsidR="00DE47C2" w:rsidRPr="00F62DF5">
        <w:rPr>
          <w:rFonts w:ascii="Times New Roman" w:hAnsi="Times New Roman"/>
          <w:szCs w:val="24"/>
        </w:rPr>
        <w:t>3</w:t>
      </w:r>
      <w:r w:rsidRPr="00F62DF5">
        <w:rPr>
          <w:rFonts w:ascii="Times New Roman" w:hAnsi="Times New Roman"/>
          <w:szCs w:val="24"/>
        </w:rPr>
        <w:t xml:space="preserve"> bill in the amount of $</w:t>
      </w:r>
      <w:r w:rsidR="00DE47C2" w:rsidRPr="00F62DF5">
        <w:rPr>
          <w:rFonts w:ascii="Times New Roman" w:hAnsi="Times New Roman"/>
          <w:szCs w:val="24"/>
        </w:rPr>
        <w:t>36</w:t>
      </w:r>
      <w:r w:rsidRPr="00F62DF5">
        <w:rPr>
          <w:rFonts w:ascii="Times New Roman" w:hAnsi="Times New Roman"/>
          <w:szCs w:val="24"/>
        </w:rPr>
        <w:t>.</w:t>
      </w:r>
      <w:r w:rsidR="00DE47C2" w:rsidRPr="00F62DF5">
        <w:rPr>
          <w:rFonts w:ascii="Times New Roman" w:hAnsi="Times New Roman"/>
          <w:szCs w:val="24"/>
        </w:rPr>
        <w:t>6</w:t>
      </w:r>
      <w:r w:rsidRPr="00F62DF5">
        <w:rPr>
          <w:rFonts w:ascii="Times New Roman" w:hAnsi="Times New Roman"/>
          <w:szCs w:val="24"/>
        </w:rPr>
        <w:t xml:space="preserve">9, for </w:t>
      </w:r>
      <w:r w:rsidR="00DE47C2" w:rsidRPr="00F62DF5">
        <w:rPr>
          <w:rFonts w:ascii="Times New Roman" w:hAnsi="Times New Roman"/>
          <w:szCs w:val="24"/>
        </w:rPr>
        <w:t>16</w:t>
      </w:r>
      <w:r w:rsidRPr="00F62DF5">
        <w:rPr>
          <w:rFonts w:ascii="Times New Roman" w:hAnsi="Times New Roman"/>
          <w:szCs w:val="24"/>
        </w:rPr>
        <w:t xml:space="preserve"> ccfs of gas (Tr. 37, 38; PGW Ex</w:t>
      </w:r>
      <w:r w:rsidR="00DE47C2" w:rsidRPr="00F62DF5">
        <w:rPr>
          <w:rFonts w:ascii="Times New Roman" w:hAnsi="Times New Roman"/>
          <w:szCs w:val="24"/>
        </w:rPr>
        <w:t>s</w:t>
      </w:r>
      <w:r w:rsidRPr="00F62DF5">
        <w:rPr>
          <w:rFonts w:ascii="Times New Roman" w:hAnsi="Times New Roman"/>
          <w:szCs w:val="24"/>
        </w:rPr>
        <w:t>. 1, 4</w:t>
      </w:r>
      <w:r w:rsidR="00DE47C2" w:rsidRPr="00F62DF5">
        <w:rPr>
          <w:rFonts w:ascii="Times New Roman" w:hAnsi="Times New Roman"/>
          <w:szCs w:val="24"/>
        </w:rPr>
        <w:t>, 5</w:t>
      </w:r>
      <w:r w:rsidRPr="00F62DF5">
        <w:rPr>
          <w:rFonts w:ascii="Times New Roman" w:hAnsi="Times New Roman"/>
          <w:szCs w:val="24"/>
        </w:rPr>
        <w:t>).</w:t>
      </w:r>
    </w:p>
    <w:p w:rsidR="00B101A4" w:rsidRPr="00F62DF5" w:rsidRDefault="00B101A4" w:rsidP="007A53A2">
      <w:pPr>
        <w:pStyle w:val="ListParagraph"/>
        <w:spacing w:line="360" w:lineRule="auto"/>
        <w:ind w:left="0" w:firstLine="1440"/>
        <w:rPr>
          <w:rFonts w:ascii="Times New Roman" w:hAnsi="Times New Roman"/>
          <w:szCs w:val="24"/>
        </w:rPr>
      </w:pPr>
    </w:p>
    <w:p w:rsidR="00B101A4" w:rsidRPr="00F62DF5" w:rsidRDefault="00B101A4" w:rsidP="007A53A2">
      <w:pPr>
        <w:pStyle w:val="BodyText"/>
        <w:numPr>
          <w:ilvl w:val="0"/>
          <w:numId w:val="12"/>
        </w:numPr>
        <w:tabs>
          <w:tab w:val="left" w:pos="0"/>
        </w:tabs>
        <w:spacing w:line="360" w:lineRule="auto"/>
        <w:ind w:left="0" w:firstLine="1440"/>
        <w:jc w:val="left"/>
        <w:rPr>
          <w:rFonts w:ascii="Times New Roman" w:hAnsi="Times New Roman"/>
          <w:szCs w:val="24"/>
        </w:rPr>
      </w:pPr>
      <w:r w:rsidRPr="00F62DF5">
        <w:rPr>
          <w:rFonts w:ascii="Times New Roman" w:hAnsi="Times New Roman"/>
          <w:szCs w:val="24"/>
        </w:rPr>
        <w:t>The Complainant filed an informal complaint with the Bureau of Consumer Services on July 22, 2015 (PGW Ex. 3).</w:t>
      </w:r>
    </w:p>
    <w:p w:rsidR="001177CC" w:rsidRPr="00F62DF5" w:rsidRDefault="001177CC" w:rsidP="007A53A2">
      <w:pPr>
        <w:pStyle w:val="BodyText"/>
        <w:tabs>
          <w:tab w:val="clear" w:pos="1980"/>
          <w:tab w:val="left" w:pos="0"/>
        </w:tabs>
        <w:spacing w:line="360" w:lineRule="auto"/>
        <w:ind w:firstLine="1440"/>
        <w:jc w:val="left"/>
        <w:rPr>
          <w:rFonts w:ascii="Times New Roman" w:hAnsi="Times New Roman"/>
          <w:szCs w:val="24"/>
        </w:rPr>
      </w:pPr>
    </w:p>
    <w:p w:rsidR="004D229D" w:rsidRPr="00F62DF5" w:rsidRDefault="004D229D" w:rsidP="007A53A2">
      <w:pPr>
        <w:pStyle w:val="BodyText"/>
        <w:numPr>
          <w:ilvl w:val="0"/>
          <w:numId w:val="12"/>
        </w:numPr>
        <w:tabs>
          <w:tab w:val="left" w:pos="0"/>
        </w:tabs>
        <w:spacing w:line="360" w:lineRule="auto"/>
        <w:ind w:left="0" w:firstLine="1440"/>
        <w:jc w:val="left"/>
        <w:rPr>
          <w:rFonts w:ascii="Times New Roman" w:hAnsi="Times New Roman"/>
          <w:szCs w:val="24"/>
        </w:rPr>
      </w:pPr>
      <w:r w:rsidRPr="00F62DF5">
        <w:rPr>
          <w:rFonts w:ascii="Times New Roman" w:hAnsi="Times New Roman"/>
          <w:szCs w:val="24"/>
        </w:rPr>
        <w:t>The Complainant was given a payment arrangement in t</w:t>
      </w:r>
      <w:r w:rsidR="0038002A" w:rsidRPr="00F62DF5">
        <w:rPr>
          <w:rFonts w:ascii="Times New Roman" w:hAnsi="Times New Roman"/>
          <w:szCs w:val="24"/>
        </w:rPr>
        <w:t>he Bureau of Consumer Services Decision Report</w:t>
      </w:r>
      <w:r w:rsidRPr="00F62DF5">
        <w:rPr>
          <w:rFonts w:ascii="Times New Roman" w:hAnsi="Times New Roman"/>
          <w:szCs w:val="24"/>
        </w:rPr>
        <w:t xml:space="preserve"> </w:t>
      </w:r>
      <w:r w:rsidR="00D139A7">
        <w:rPr>
          <w:rFonts w:ascii="Times New Roman" w:hAnsi="Times New Roman"/>
          <w:szCs w:val="24"/>
        </w:rPr>
        <w:t>(</w:t>
      </w:r>
      <w:r w:rsidR="008A7C31">
        <w:rPr>
          <w:rFonts w:ascii="Times New Roman" w:hAnsi="Times New Roman"/>
          <w:szCs w:val="24"/>
        </w:rPr>
        <w:t>#</w:t>
      </w:r>
      <w:r w:rsidR="00D139A7">
        <w:rPr>
          <w:rFonts w:ascii="Times New Roman" w:hAnsi="Times New Roman"/>
          <w:szCs w:val="24"/>
        </w:rPr>
        <w:t xml:space="preserve">3367483) </w:t>
      </w:r>
      <w:r w:rsidRPr="00F62DF5">
        <w:rPr>
          <w:rFonts w:ascii="Times New Roman" w:hAnsi="Times New Roman"/>
          <w:szCs w:val="24"/>
        </w:rPr>
        <w:t>issued on</w:t>
      </w:r>
      <w:r w:rsidR="0038002A" w:rsidRPr="00F62DF5">
        <w:rPr>
          <w:rFonts w:ascii="Times New Roman" w:hAnsi="Times New Roman"/>
          <w:szCs w:val="24"/>
        </w:rPr>
        <w:t xml:space="preserve"> August 3, 2015</w:t>
      </w:r>
      <w:r w:rsidRPr="00F62DF5">
        <w:rPr>
          <w:rFonts w:ascii="Times New Roman" w:hAnsi="Times New Roman"/>
          <w:b/>
          <w:szCs w:val="24"/>
        </w:rPr>
        <w:t xml:space="preserve"> </w:t>
      </w:r>
      <w:r w:rsidRPr="00F62DF5">
        <w:rPr>
          <w:rFonts w:ascii="Times New Roman" w:hAnsi="Times New Roman"/>
          <w:szCs w:val="24"/>
        </w:rPr>
        <w:t>(Tr. 24; PGW Exs. 2, 3)</w:t>
      </w:r>
      <w:r w:rsidR="005A2FB9" w:rsidRPr="00F62DF5">
        <w:rPr>
          <w:rFonts w:ascii="Times New Roman" w:hAnsi="Times New Roman"/>
          <w:szCs w:val="24"/>
        </w:rPr>
        <w:t>.</w:t>
      </w:r>
    </w:p>
    <w:p w:rsidR="005A2FB9" w:rsidRPr="00F62DF5" w:rsidRDefault="005A2FB9" w:rsidP="007A53A2">
      <w:pPr>
        <w:pStyle w:val="BodyText"/>
        <w:tabs>
          <w:tab w:val="left" w:pos="0"/>
        </w:tabs>
        <w:spacing w:line="360" w:lineRule="auto"/>
        <w:jc w:val="left"/>
        <w:rPr>
          <w:rFonts w:ascii="Times New Roman" w:hAnsi="Times New Roman"/>
          <w:szCs w:val="24"/>
        </w:rPr>
      </w:pPr>
    </w:p>
    <w:p w:rsidR="00E95F45" w:rsidRPr="00F62DF5" w:rsidRDefault="00E95F45" w:rsidP="007A53A2">
      <w:pPr>
        <w:pStyle w:val="BodyText"/>
        <w:numPr>
          <w:ilvl w:val="0"/>
          <w:numId w:val="12"/>
        </w:numPr>
        <w:tabs>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The </w:t>
      </w:r>
      <w:r w:rsidR="004D229D" w:rsidRPr="00F62DF5">
        <w:rPr>
          <w:rFonts w:ascii="Times New Roman" w:hAnsi="Times New Roman"/>
          <w:szCs w:val="24"/>
        </w:rPr>
        <w:t>Commission</w:t>
      </w:r>
      <w:r w:rsidR="007F0AD7" w:rsidRPr="00F62DF5">
        <w:rPr>
          <w:rFonts w:ascii="Times New Roman" w:hAnsi="Times New Roman"/>
          <w:szCs w:val="24"/>
        </w:rPr>
        <w:t>-</w:t>
      </w:r>
      <w:r w:rsidR="004D229D" w:rsidRPr="00F62DF5">
        <w:rPr>
          <w:rFonts w:ascii="Times New Roman" w:hAnsi="Times New Roman"/>
          <w:szCs w:val="24"/>
        </w:rPr>
        <w:t xml:space="preserve">issued </w:t>
      </w:r>
      <w:r w:rsidRPr="00F62DF5">
        <w:rPr>
          <w:rFonts w:ascii="Times New Roman" w:hAnsi="Times New Roman"/>
          <w:szCs w:val="24"/>
        </w:rPr>
        <w:t>pay</w:t>
      </w:r>
      <w:r w:rsidR="00AC6C1E">
        <w:rPr>
          <w:rFonts w:ascii="Times New Roman" w:hAnsi="Times New Roman"/>
          <w:szCs w:val="24"/>
        </w:rPr>
        <w:t>ment arrangement was based on a gross monthly</w:t>
      </w:r>
      <w:r w:rsidRPr="00F62DF5">
        <w:rPr>
          <w:rFonts w:ascii="Times New Roman" w:hAnsi="Times New Roman"/>
          <w:szCs w:val="24"/>
        </w:rPr>
        <w:t xml:space="preserve"> income of $1,080.00</w:t>
      </w:r>
      <w:r w:rsidR="00D54B91" w:rsidRPr="00F62DF5">
        <w:rPr>
          <w:rFonts w:ascii="Times New Roman" w:hAnsi="Times New Roman"/>
          <w:szCs w:val="24"/>
        </w:rPr>
        <w:t>, for one person in the household, level one</w:t>
      </w:r>
      <w:r w:rsidRPr="00F62DF5">
        <w:rPr>
          <w:rFonts w:ascii="Times New Roman" w:hAnsi="Times New Roman"/>
          <w:szCs w:val="24"/>
        </w:rPr>
        <w:t xml:space="preserve"> (Tr. </w:t>
      </w:r>
      <w:r w:rsidR="00D54B91" w:rsidRPr="00F62DF5">
        <w:rPr>
          <w:rFonts w:ascii="Times New Roman" w:hAnsi="Times New Roman"/>
          <w:szCs w:val="24"/>
        </w:rPr>
        <w:t xml:space="preserve">8, 9, </w:t>
      </w:r>
      <w:r w:rsidRPr="00F62DF5">
        <w:rPr>
          <w:rFonts w:ascii="Times New Roman" w:hAnsi="Times New Roman"/>
          <w:szCs w:val="24"/>
        </w:rPr>
        <w:t>22</w:t>
      </w:r>
      <w:r w:rsidR="004D229D" w:rsidRPr="00F62DF5">
        <w:rPr>
          <w:rFonts w:ascii="Times New Roman" w:hAnsi="Times New Roman"/>
          <w:szCs w:val="24"/>
        </w:rPr>
        <w:t>; PGW Exs. 2, 3</w:t>
      </w:r>
      <w:r w:rsidRPr="00F62DF5">
        <w:rPr>
          <w:rFonts w:ascii="Times New Roman" w:hAnsi="Times New Roman"/>
          <w:szCs w:val="24"/>
        </w:rPr>
        <w:t>).</w:t>
      </w:r>
    </w:p>
    <w:p w:rsidR="005A2FB9" w:rsidRPr="00F62DF5" w:rsidRDefault="005A2FB9" w:rsidP="007A53A2">
      <w:pPr>
        <w:pStyle w:val="BodyText"/>
        <w:tabs>
          <w:tab w:val="left" w:pos="0"/>
        </w:tabs>
        <w:spacing w:line="360" w:lineRule="auto"/>
        <w:jc w:val="left"/>
        <w:rPr>
          <w:rFonts w:ascii="Times New Roman" w:hAnsi="Times New Roman"/>
          <w:szCs w:val="24"/>
        </w:rPr>
      </w:pPr>
    </w:p>
    <w:p w:rsidR="00E95F45" w:rsidRDefault="00B101A4" w:rsidP="007A53A2">
      <w:pPr>
        <w:pStyle w:val="BodyText"/>
        <w:numPr>
          <w:ilvl w:val="0"/>
          <w:numId w:val="12"/>
        </w:numPr>
        <w:tabs>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On September 14, 2015, the Complainant filed a formal complaint with the Commission against the </w:t>
      </w:r>
      <w:r w:rsidR="00C84400" w:rsidRPr="00F62DF5">
        <w:rPr>
          <w:rFonts w:ascii="Times New Roman" w:hAnsi="Times New Roman"/>
          <w:szCs w:val="24"/>
        </w:rPr>
        <w:t>Respondent, which</w:t>
      </w:r>
      <w:r w:rsidRPr="00F62DF5">
        <w:rPr>
          <w:rFonts w:ascii="Times New Roman" w:hAnsi="Times New Roman"/>
          <w:szCs w:val="24"/>
        </w:rPr>
        <w:t xml:space="preserve"> was a </w:t>
      </w:r>
      <w:r w:rsidR="00DA5010">
        <w:rPr>
          <w:rFonts w:ascii="Times New Roman" w:hAnsi="Times New Roman"/>
          <w:szCs w:val="24"/>
        </w:rPr>
        <w:t>timely appeal of the Commission-</w:t>
      </w:r>
      <w:r w:rsidRPr="00F62DF5">
        <w:rPr>
          <w:rFonts w:ascii="Times New Roman" w:hAnsi="Times New Roman"/>
          <w:szCs w:val="24"/>
        </w:rPr>
        <w:t xml:space="preserve">issued payment arrangement </w:t>
      </w:r>
      <w:r w:rsidR="00E95F45" w:rsidRPr="00F62DF5">
        <w:rPr>
          <w:rFonts w:ascii="Times New Roman" w:hAnsi="Times New Roman"/>
          <w:szCs w:val="24"/>
        </w:rPr>
        <w:t>(Tr. 22</w:t>
      </w:r>
      <w:r w:rsidR="004D229D" w:rsidRPr="00F62DF5">
        <w:rPr>
          <w:rFonts w:ascii="Times New Roman" w:hAnsi="Times New Roman"/>
          <w:szCs w:val="24"/>
        </w:rPr>
        <w:t>; PGW Ex. 2</w:t>
      </w:r>
      <w:r w:rsidR="00E95F45" w:rsidRPr="00F62DF5">
        <w:rPr>
          <w:rFonts w:ascii="Times New Roman" w:hAnsi="Times New Roman"/>
          <w:szCs w:val="24"/>
        </w:rPr>
        <w:t xml:space="preserve">).  </w:t>
      </w:r>
    </w:p>
    <w:p w:rsidR="0044097A" w:rsidRPr="00F62DF5" w:rsidRDefault="0044097A" w:rsidP="0044097A">
      <w:pPr>
        <w:pStyle w:val="BodyText"/>
        <w:tabs>
          <w:tab w:val="left" w:pos="0"/>
        </w:tabs>
        <w:spacing w:line="360" w:lineRule="auto"/>
        <w:ind w:left="1440"/>
        <w:jc w:val="left"/>
        <w:rPr>
          <w:rFonts w:ascii="Times New Roman" w:hAnsi="Times New Roman"/>
          <w:szCs w:val="24"/>
        </w:rPr>
      </w:pPr>
    </w:p>
    <w:p w:rsidR="005C23D1" w:rsidRDefault="005C23D1" w:rsidP="007A53A2">
      <w:pPr>
        <w:pStyle w:val="BodyText"/>
        <w:numPr>
          <w:ilvl w:val="0"/>
          <w:numId w:val="12"/>
        </w:numPr>
        <w:tabs>
          <w:tab w:val="left" w:pos="720"/>
        </w:tabs>
        <w:spacing w:line="360" w:lineRule="auto"/>
        <w:ind w:left="0" w:firstLine="1440"/>
        <w:jc w:val="left"/>
        <w:rPr>
          <w:rFonts w:ascii="Times New Roman" w:hAnsi="Times New Roman"/>
          <w:szCs w:val="24"/>
        </w:rPr>
      </w:pPr>
      <w:r w:rsidRPr="00F62DF5">
        <w:rPr>
          <w:rFonts w:ascii="Times New Roman" w:hAnsi="Times New Roman"/>
          <w:szCs w:val="24"/>
        </w:rPr>
        <w:lastRenderedPageBreak/>
        <w:t xml:space="preserve">During the </w:t>
      </w:r>
      <w:r w:rsidR="00D54B91" w:rsidRPr="00F62DF5">
        <w:rPr>
          <w:rFonts w:ascii="Times New Roman" w:hAnsi="Times New Roman"/>
          <w:szCs w:val="24"/>
        </w:rPr>
        <w:t xml:space="preserve">December 2, 2015 </w:t>
      </w:r>
      <w:r w:rsidRPr="00F62DF5">
        <w:rPr>
          <w:rFonts w:ascii="Times New Roman" w:hAnsi="Times New Roman"/>
          <w:szCs w:val="24"/>
        </w:rPr>
        <w:t>hearing, the Complainant reported that her gross monthly household income was $1,088.00</w:t>
      </w:r>
      <w:r w:rsidR="00D54B91" w:rsidRPr="00F62DF5">
        <w:rPr>
          <w:rFonts w:ascii="Times New Roman" w:hAnsi="Times New Roman"/>
          <w:szCs w:val="24"/>
        </w:rPr>
        <w:t xml:space="preserve"> for one person in the household</w:t>
      </w:r>
      <w:r w:rsidR="007F0AD7" w:rsidRPr="00F62DF5">
        <w:rPr>
          <w:rFonts w:ascii="Times New Roman" w:hAnsi="Times New Roman"/>
          <w:szCs w:val="24"/>
        </w:rPr>
        <w:t xml:space="preserve"> </w:t>
      </w:r>
      <w:r w:rsidR="00D54B91" w:rsidRPr="00F62DF5">
        <w:rPr>
          <w:rFonts w:ascii="Times New Roman" w:hAnsi="Times New Roman"/>
          <w:szCs w:val="24"/>
        </w:rPr>
        <w:t>(Tr. 8, 9, 22</w:t>
      </w:r>
      <w:r w:rsidRPr="00F62DF5">
        <w:rPr>
          <w:rFonts w:ascii="Times New Roman" w:hAnsi="Times New Roman"/>
          <w:szCs w:val="24"/>
        </w:rPr>
        <w:t>).</w:t>
      </w:r>
    </w:p>
    <w:p w:rsidR="00502FD5" w:rsidRPr="00F62DF5" w:rsidRDefault="00502FD5" w:rsidP="00502FD5">
      <w:pPr>
        <w:pStyle w:val="BodyText"/>
        <w:tabs>
          <w:tab w:val="left" w:pos="720"/>
        </w:tabs>
        <w:spacing w:line="360" w:lineRule="auto"/>
        <w:ind w:left="1440"/>
        <w:jc w:val="left"/>
        <w:rPr>
          <w:rFonts w:ascii="Times New Roman" w:hAnsi="Times New Roman"/>
          <w:szCs w:val="24"/>
        </w:rPr>
      </w:pPr>
    </w:p>
    <w:p w:rsidR="00D54B91" w:rsidRDefault="00D54B91"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At the time of the </w:t>
      </w:r>
      <w:r w:rsidR="001177CC" w:rsidRPr="00F62DF5">
        <w:rPr>
          <w:rFonts w:ascii="Times New Roman" w:hAnsi="Times New Roman"/>
          <w:szCs w:val="24"/>
        </w:rPr>
        <w:t xml:space="preserve">December 2, 2015 </w:t>
      </w:r>
      <w:r w:rsidRPr="00F62DF5">
        <w:rPr>
          <w:rFonts w:ascii="Times New Roman" w:hAnsi="Times New Roman"/>
          <w:szCs w:val="24"/>
        </w:rPr>
        <w:t xml:space="preserve">hearing, the Complainant’s CRP payment would </w:t>
      </w:r>
      <w:r w:rsidR="001177CC" w:rsidRPr="00F62DF5">
        <w:rPr>
          <w:rFonts w:ascii="Times New Roman" w:hAnsi="Times New Roman"/>
          <w:szCs w:val="24"/>
        </w:rPr>
        <w:t xml:space="preserve">have </w:t>
      </w:r>
      <w:r w:rsidRPr="00F62DF5">
        <w:rPr>
          <w:rFonts w:ascii="Times New Roman" w:hAnsi="Times New Roman"/>
          <w:szCs w:val="24"/>
        </w:rPr>
        <w:t>be</w:t>
      </w:r>
      <w:r w:rsidR="001177CC" w:rsidRPr="00F62DF5">
        <w:rPr>
          <w:rFonts w:ascii="Times New Roman" w:hAnsi="Times New Roman"/>
          <w:szCs w:val="24"/>
        </w:rPr>
        <w:t>en</w:t>
      </w:r>
      <w:r w:rsidRPr="00F62DF5">
        <w:rPr>
          <w:rFonts w:ascii="Times New Roman" w:hAnsi="Times New Roman"/>
          <w:szCs w:val="24"/>
        </w:rPr>
        <w:t xml:space="preserve"> $108.00 plus $5.00 for a total of $113.00 a month (Tr. 31).</w:t>
      </w:r>
    </w:p>
    <w:p w:rsidR="00AE4727" w:rsidRPr="00F62DF5" w:rsidRDefault="00AE4727" w:rsidP="00AE4727">
      <w:pPr>
        <w:pStyle w:val="BodyText"/>
        <w:tabs>
          <w:tab w:val="clear" w:pos="1980"/>
          <w:tab w:val="left" w:pos="0"/>
        </w:tabs>
        <w:spacing w:line="360" w:lineRule="auto"/>
        <w:ind w:left="1440"/>
        <w:jc w:val="left"/>
        <w:rPr>
          <w:rFonts w:ascii="Times New Roman" w:hAnsi="Times New Roman"/>
          <w:szCs w:val="24"/>
        </w:rPr>
      </w:pPr>
    </w:p>
    <w:p w:rsidR="00D54B91" w:rsidRPr="00F62DF5" w:rsidRDefault="001177CC"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Since the Complainant’s usage is low, the CRP payment exceeds the </w:t>
      </w:r>
      <w:r w:rsidR="00B101A4" w:rsidRPr="00F62DF5">
        <w:rPr>
          <w:rFonts w:ascii="Times New Roman" w:hAnsi="Times New Roman"/>
          <w:szCs w:val="24"/>
        </w:rPr>
        <w:t xml:space="preserve">Complainant’s budget bill and her </w:t>
      </w:r>
      <w:r w:rsidRPr="00F62DF5">
        <w:rPr>
          <w:rFonts w:ascii="Times New Roman" w:hAnsi="Times New Roman"/>
          <w:szCs w:val="24"/>
        </w:rPr>
        <w:t xml:space="preserve">monthly payment required in the </w:t>
      </w:r>
      <w:r w:rsidR="005725DC">
        <w:rPr>
          <w:rFonts w:ascii="Times New Roman" w:hAnsi="Times New Roman"/>
          <w:szCs w:val="24"/>
        </w:rPr>
        <w:t>Commission-</w:t>
      </w:r>
      <w:r w:rsidR="00B101A4" w:rsidRPr="00F62DF5">
        <w:rPr>
          <w:rFonts w:ascii="Times New Roman" w:hAnsi="Times New Roman"/>
          <w:szCs w:val="24"/>
        </w:rPr>
        <w:t xml:space="preserve">issued </w:t>
      </w:r>
      <w:r w:rsidRPr="00F62DF5">
        <w:rPr>
          <w:rFonts w:ascii="Times New Roman" w:hAnsi="Times New Roman"/>
          <w:szCs w:val="24"/>
        </w:rPr>
        <w:t xml:space="preserve">payment arrangement (Tr. 23). </w:t>
      </w:r>
    </w:p>
    <w:p w:rsidR="00E71D47" w:rsidRPr="00F62DF5" w:rsidRDefault="00E71D47" w:rsidP="007A53A2">
      <w:pPr>
        <w:pStyle w:val="BodyText"/>
        <w:tabs>
          <w:tab w:val="clear" w:pos="1980"/>
          <w:tab w:val="left" w:pos="0"/>
        </w:tabs>
        <w:spacing w:line="360" w:lineRule="auto"/>
        <w:ind w:firstLine="1440"/>
        <w:jc w:val="left"/>
        <w:rPr>
          <w:rFonts w:ascii="Times New Roman" w:hAnsi="Times New Roman"/>
          <w:szCs w:val="24"/>
        </w:rPr>
      </w:pPr>
    </w:p>
    <w:p w:rsidR="00D67A5B" w:rsidRPr="00F62DF5" w:rsidRDefault="00E71D47"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 xml:space="preserve">The Respondent received </w:t>
      </w:r>
      <w:r w:rsidR="00D67A5B" w:rsidRPr="00F62DF5">
        <w:rPr>
          <w:rFonts w:ascii="Times New Roman" w:hAnsi="Times New Roman"/>
          <w:szCs w:val="24"/>
        </w:rPr>
        <w:t xml:space="preserve">LIHEAP grants of $157.00 and $70.00 </w:t>
      </w:r>
      <w:r w:rsidRPr="00F62DF5">
        <w:rPr>
          <w:rFonts w:ascii="Times New Roman" w:hAnsi="Times New Roman"/>
          <w:szCs w:val="24"/>
        </w:rPr>
        <w:t xml:space="preserve">for the Complainant </w:t>
      </w:r>
      <w:r w:rsidR="00D67A5B" w:rsidRPr="00F62DF5">
        <w:rPr>
          <w:rFonts w:ascii="Times New Roman" w:hAnsi="Times New Roman"/>
          <w:szCs w:val="24"/>
        </w:rPr>
        <w:t>on December 30, 2015 (PGW Ex</w:t>
      </w:r>
      <w:r w:rsidR="00BA4ECD" w:rsidRPr="00F62DF5">
        <w:rPr>
          <w:rFonts w:ascii="Times New Roman" w:hAnsi="Times New Roman"/>
          <w:szCs w:val="24"/>
        </w:rPr>
        <w:t>.</w:t>
      </w:r>
      <w:r w:rsidR="00D67A5B" w:rsidRPr="00F62DF5">
        <w:rPr>
          <w:rFonts w:ascii="Times New Roman" w:hAnsi="Times New Roman"/>
          <w:szCs w:val="24"/>
        </w:rPr>
        <w:t xml:space="preserve"> 6).</w:t>
      </w:r>
    </w:p>
    <w:p w:rsidR="00E71D47" w:rsidRPr="00F62DF5" w:rsidRDefault="00E71D47" w:rsidP="007A53A2">
      <w:pPr>
        <w:pStyle w:val="BodyText"/>
        <w:tabs>
          <w:tab w:val="clear" w:pos="1980"/>
          <w:tab w:val="left" w:pos="0"/>
        </w:tabs>
        <w:spacing w:line="360" w:lineRule="auto"/>
        <w:ind w:firstLine="1440"/>
        <w:jc w:val="left"/>
        <w:rPr>
          <w:rFonts w:ascii="Times New Roman" w:hAnsi="Times New Roman"/>
          <w:szCs w:val="24"/>
        </w:rPr>
      </w:pPr>
    </w:p>
    <w:p w:rsidR="00A236AC" w:rsidRPr="00F62DF5" w:rsidRDefault="00A236AC" w:rsidP="007A53A2">
      <w:pPr>
        <w:pStyle w:val="BodyText"/>
        <w:numPr>
          <w:ilvl w:val="0"/>
          <w:numId w:val="12"/>
        </w:numPr>
        <w:tabs>
          <w:tab w:val="left" w:pos="720"/>
        </w:tabs>
        <w:spacing w:line="360" w:lineRule="auto"/>
        <w:ind w:left="0" w:firstLine="1440"/>
        <w:jc w:val="left"/>
        <w:rPr>
          <w:rFonts w:ascii="Times New Roman" w:hAnsi="Times New Roman"/>
          <w:szCs w:val="24"/>
        </w:rPr>
      </w:pPr>
      <w:r w:rsidRPr="00F62DF5">
        <w:rPr>
          <w:rFonts w:ascii="Times New Roman" w:hAnsi="Times New Roman"/>
          <w:szCs w:val="24"/>
        </w:rPr>
        <w:t>On May 19, 2016, the Complainant paid the Respondent $449.65</w:t>
      </w:r>
      <w:r w:rsidR="00D67A5B" w:rsidRPr="00F62DF5">
        <w:rPr>
          <w:rFonts w:ascii="Times New Roman" w:hAnsi="Times New Roman"/>
          <w:szCs w:val="24"/>
        </w:rPr>
        <w:t xml:space="preserve"> (Tr. 66; PGW Ex. 7)</w:t>
      </w:r>
      <w:r w:rsidRPr="00F62DF5">
        <w:rPr>
          <w:rFonts w:ascii="Times New Roman" w:hAnsi="Times New Roman"/>
          <w:szCs w:val="24"/>
        </w:rPr>
        <w:t>.</w:t>
      </w:r>
    </w:p>
    <w:p w:rsidR="00D67A5B" w:rsidRPr="00F62DF5" w:rsidRDefault="00D67A5B" w:rsidP="007A53A2">
      <w:pPr>
        <w:pStyle w:val="BodyText"/>
        <w:tabs>
          <w:tab w:val="left" w:pos="720"/>
        </w:tabs>
        <w:spacing w:line="360" w:lineRule="auto"/>
        <w:ind w:firstLine="1440"/>
        <w:jc w:val="left"/>
        <w:rPr>
          <w:rFonts w:ascii="Times New Roman" w:hAnsi="Times New Roman"/>
          <w:szCs w:val="24"/>
        </w:rPr>
      </w:pPr>
    </w:p>
    <w:p w:rsidR="005628A0" w:rsidRPr="00F62DF5" w:rsidRDefault="00D67A5B"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On June 4, 2016, the Respondent issued the Complainant a bill for $16.50, which was due on June 28, 2016 (Tr. 66; PGW Ex. 7).</w:t>
      </w:r>
    </w:p>
    <w:p w:rsidR="005628A0" w:rsidRPr="00F62DF5" w:rsidRDefault="005628A0" w:rsidP="007A53A2">
      <w:pPr>
        <w:pStyle w:val="ListParagraph"/>
        <w:spacing w:line="360" w:lineRule="auto"/>
        <w:ind w:left="0" w:firstLine="1440"/>
        <w:rPr>
          <w:rFonts w:ascii="Times New Roman" w:hAnsi="Times New Roman"/>
          <w:szCs w:val="24"/>
        </w:rPr>
      </w:pPr>
    </w:p>
    <w:p w:rsidR="00BA4ECD" w:rsidRPr="00F62DF5" w:rsidRDefault="00BA4ECD" w:rsidP="007A53A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F62DF5">
        <w:rPr>
          <w:rFonts w:ascii="Times New Roman" w:hAnsi="Times New Roman"/>
          <w:szCs w:val="24"/>
        </w:rPr>
        <w:t>At the time of the June 13, 2016 hearing, the Complainant’s did not have a past due balance (Tr. 66; PGW Ex. 7).</w:t>
      </w:r>
    </w:p>
    <w:p w:rsidR="00D67A5B" w:rsidRPr="00F62DF5" w:rsidRDefault="00D67A5B" w:rsidP="007A53A2">
      <w:pPr>
        <w:pStyle w:val="BodyText"/>
        <w:tabs>
          <w:tab w:val="left" w:pos="0"/>
        </w:tabs>
        <w:spacing w:line="360" w:lineRule="auto"/>
        <w:jc w:val="left"/>
        <w:rPr>
          <w:rFonts w:ascii="Times New Roman" w:hAnsi="Times New Roman"/>
          <w:szCs w:val="24"/>
        </w:rPr>
      </w:pPr>
    </w:p>
    <w:p w:rsidR="004A1397" w:rsidRPr="00F62DF5" w:rsidRDefault="004A1397" w:rsidP="007A53A2">
      <w:pPr>
        <w:pStyle w:val="Heading1"/>
        <w:rPr>
          <w:rFonts w:ascii="Times New Roman" w:hAnsi="Times New Roman"/>
          <w:b w:val="0"/>
          <w:szCs w:val="24"/>
        </w:rPr>
      </w:pPr>
      <w:r w:rsidRPr="00F62DF5">
        <w:rPr>
          <w:rFonts w:ascii="Times New Roman" w:hAnsi="Times New Roman"/>
          <w:b w:val="0"/>
          <w:szCs w:val="24"/>
        </w:rPr>
        <w:t>DISCUSSION</w:t>
      </w:r>
    </w:p>
    <w:p w:rsidR="004A1397" w:rsidRPr="00F62DF5" w:rsidRDefault="004A1397" w:rsidP="007A53A2">
      <w:pPr>
        <w:rPr>
          <w:szCs w:val="24"/>
        </w:rPr>
      </w:pPr>
    </w:p>
    <w:p w:rsidR="004A1397" w:rsidRDefault="004A1397" w:rsidP="007A53A2">
      <w:pPr>
        <w:pStyle w:val="BodyText"/>
        <w:tabs>
          <w:tab w:val="clear" w:pos="198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F62DF5">
        <w:rPr>
          <w:rFonts w:ascii="Times New Roman" w:hAnsi="Times New Roman"/>
          <w:i/>
          <w:iCs/>
          <w:szCs w:val="24"/>
        </w:rPr>
        <w:t>Se-Ling Hosiery v. Margulies</w:t>
      </w:r>
      <w:r w:rsidRPr="00F62DF5">
        <w:rPr>
          <w:rFonts w:ascii="Times New Roman" w:hAnsi="Times New Roman"/>
          <w:szCs w:val="24"/>
        </w:rPr>
        <w:t xml:space="preserve">, 364 Pa. 45, 70 A.2d 854 (1950).  The Complainant must show that the utility is responsible or accountable for the </w:t>
      </w:r>
      <w:r w:rsidRPr="00F62DF5">
        <w:rPr>
          <w:rFonts w:ascii="Times New Roman" w:hAnsi="Times New Roman"/>
          <w:szCs w:val="24"/>
        </w:rPr>
        <w:lastRenderedPageBreak/>
        <w:t xml:space="preserve">problem described in the complaint.  </w:t>
      </w:r>
      <w:proofErr w:type="gramStart"/>
      <w:r w:rsidRPr="00F62DF5">
        <w:rPr>
          <w:rFonts w:ascii="Times New Roman" w:hAnsi="Times New Roman"/>
          <w:i/>
          <w:iCs/>
          <w:szCs w:val="24"/>
        </w:rPr>
        <w:t>Feinstein v. Philadelphia Suburban Water Company</w:t>
      </w:r>
      <w:r w:rsidR="00EF65E8" w:rsidRPr="00F62DF5">
        <w:rPr>
          <w:rFonts w:ascii="Times New Roman" w:hAnsi="Times New Roman"/>
          <w:szCs w:val="24"/>
        </w:rPr>
        <w:t>, 50 Pa. P</w:t>
      </w:r>
      <w:r w:rsidRPr="00F62DF5">
        <w:rPr>
          <w:rFonts w:ascii="Times New Roman" w:hAnsi="Times New Roman"/>
          <w:szCs w:val="24"/>
        </w:rPr>
        <w:t>UC 300 (1976).</w:t>
      </w:r>
      <w:proofErr w:type="gramEnd"/>
    </w:p>
    <w:p w:rsidR="00AE4727" w:rsidRPr="00F62DF5" w:rsidRDefault="00AE4727" w:rsidP="007A53A2">
      <w:pPr>
        <w:pStyle w:val="BodyText"/>
        <w:tabs>
          <w:tab w:val="clear" w:pos="1980"/>
        </w:tabs>
        <w:spacing w:line="360" w:lineRule="auto"/>
        <w:jc w:val="left"/>
        <w:rPr>
          <w:rFonts w:ascii="Times New Roman" w:hAnsi="Times New Roman"/>
          <w:szCs w:val="24"/>
        </w:rPr>
      </w:pPr>
    </w:p>
    <w:p w:rsidR="004A1397" w:rsidRPr="00F62DF5" w:rsidRDefault="004A1397" w:rsidP="007A53A2">
      <w:pPr>
        <w:pStyle w:val="BodyText"/>
        <w:tabs>
          <w:tab w:val="clear" w:pos="1980"/>
          <w:tab w:val="left" w:pos="-162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 xml:space="preserve">The record in this proceeding must be reviewed to determine whether the Complainant has satisfied </w:t>
      </w:r>
      <w:r w:rsidR="00B850DF" w:rsidRPr="00F62DF5">
        <w:rPr>
          <w:rFonts w:ascii="Times New Roman" w:hAnsi="Times New Roman"/>
          <w:szCs w:val="24"/>
        </w:rPr>
        <w:t>her</w:t>
      </w:r>
      <w:r w:rsidRPr="00F62DF5">
        <w:rPr>
          <w:rFonts w:ascii="Times New Roman" w:hAnsi="Times New Roman"/>
          <w:szCs w:val="24"/>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F62DF5">
        <w:rPr>
          <w:rFonts w:ascii="Times New Roman" w:hAnsi="Times New Roman"/>
          <w:i/>
          <w:iCs/>
          <w:szCs w:val="24"/>
        </w:rPr>
        <w:t>Morrissey v. Pa. Dept. of</w:t>
      </w:r>
      <w:r w:rsidRPr="00F62DF5">
        <w:rPr>
          <w:rFonts w:ascii="Times New Roman" w:hAnsi="Times New Roman"/>
          <w:szCs w:val="24"/>
          <w:u w:val="single"/>
        </w:rPr>
        <w:t xml:space="preserve"> </w:t>
      </w:r>
      <w:r w:rsidRPr="00F62DF5">
        <w:rPr>
          <w:rFonts w:ascii="Times New Roman" w:hAnsi="Times New Roman"/>
          <w:i/>
          <w:iCs/>
          <w:szCs w:val="24"/>
        </w:rPr>
        <w:t>Highways</w:t>
      </w:r>
      <w:r w:rsidRPr="00F62DF5">
        <w:rPr>
          <w:rFonts w:ascii="Times New Roman" w:hAnsi="Times New Roman"/>
          <w:szCs w:val="24"/>
        </w:rPr>
        <w:t>, 424 Pa. 87, 225 A.2d 895 (1967).</w:t>
      </w:r>
    </w:p>
    <w:p w:rsidR="0038002A" w:rsidRPr="00F62DF5" w:rsidRDefault="0038002A" w:rsidP="007A53A2">
      <w:pPr>
        <w:pStyle w:val="BodyText"/>
        <w:tabs>
          <w:tab w:val="clear" w:pos="1980"/>
          <w:tab w:val="left" w:pos="-1710"/>
          <w:tab w:val="left" w:pos="-1620"/>
        </w:tabs>
        <w:spacing w:line="360" w:lineRule="auto"/>
        <w:jc w:val="left"/>
        <w:rPr>
          <w:rFonts w:ascii="Times New Roman" w:hAnsi="Times New Roman"/>
          <w:szCs w:val="24"/>
        </w:rPr>
      </w:pPr>
    </w:p>
    <w:p w:rsidR="004A1397" w:rsidRPr="00F62DF5" w:rsidRDefault="004A1397" w:rsidP="007A53A2">
      <w:pPr>
        <w:pStyle w:val="BodyText"/>
        <w:tabs>
          <w:tab w:val="clear" w:pos="1980"/>
          <w:tab w:val="left" w:pos="-1710"/>
          <w:tab w:val="left" w:pos="-162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r>
      <w:r w:rsidR="00110C0C" w:rsidRPr="00F62DF5">
        <w:rPr>
          <w:rFonts w:ascii="Times New Roman" w:hAnsi="Times New Roman"/>
          <w:szCs w:val="24"/>
        </w:rPr>
        <w:t>The Commission’s decision must be supported by substantial evidence.</w:t>
      </w:r>
      <w:r w:rsidRPr="00F62DF5">
        <w:rPr>
          <w:rFonts w:ascii="Times New Roman" w:hAnsi="Times New Roman"/>
          <w:szCs w:val="24"/>
        </w:rPr>
        <w:t xml:space="preserv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F62DF5">
        <w:rPr>
          <w:rFonts w:ascii="Times New Roman" w:hAnsi="Times New Roman"/>
          <w:i/>
          <w:iCs/>
          <w:szCs w:val="24"/>
        </w:rPr>
        <w:t>Norfolk &amp; Western Ry. Co. v. Pa</w:t>
      </w:r>
      <w:r w:rsidRPr="00F62DF5">
        <w:rPr>
          <w:rFonts w:ascii="Times New Roman" w:hAnsi="Times New Roman"/>
          <w:szCs w:val="24"/>
        </w:rPr>
        <w:t>.</w:t>
      </w:r>
      <w:r w:rsidRPr="00F62DF5">
        <w:rPr>
          <w:rFonts w:ascii="Times New Roman" w:hAnsi="Times New Roman"/>
          <w:szCs w:val="24"/>
          <w:u w:val="single"/>
        </w:rPr>
        <w:t xml:space="preserve"> </w:t>
      </w:r>
      <w:r w:rsidRPr="00F62DF5">
        <w:rPr>
          <w:rFonts w:ascii="Times New Roman" w:hAnsi="Times New Roman"/>
          <w:i/>
          <w:iCs/>
          <w:szCs w:val="24"/>
        </w:rPr>
        <w:t>P.U.C.,</w:t>
      </w:r>
      <w:r w:rsidRPr="00F62DF5">
        <w:rPr>
          <w:rFonts w:ascii="Times New Roman" w:hAnsi="Times New Roman"/>
          <w:szCs w:val="24"/>
        </w:rPr>
        <w:t xml:space="preserve"> 489 Pa.109, 413 A. 2d 1037 (1980); </w:t>
      </w:r>
      <w:r w:rsidRPr="00F62DF5">
        <w:rPr>
          <w:rFonts w:ascii="Times New Roman" w:hAnsi="Times New Roman"/>
          <w:i/>
          <w:iCs/>
          <w:szCs w:val="24"/>
        </w:rPr>
        <w:t>Murphy v. Dept. of Public Welfare</w:t>
      </w:r>
      <w:r w:rsidRPr="00F62DF5">
        <w:rPr>
          <w:rFonts w:ascii="Times New Roman" w:hAnsi="Times New Roman"/>
          <w:szCs w:val="24"/>
        </w:rPr>
        <w:t>, 85 Pa. Cmwlth. 23, 480 A.2d 382 (1984).</w:t>
      </w:r>
    </w:p>
    <w:p w:rsidR="00C97FEB" w:rsidRPr="00F62DF5" w:rsidRDefault="00C97FEB" w:rsidP="007A53A2">
      <w:pPr>
        <w:pStyle w:val="BodyText"/>
        <w:tabs>
          <w:tab w:val="clear" w:pos="1980"/>
          <w:tab w:val="left" w:pos="0"/>
        </w:tabs>
        <w:spacing w:line="360" w:lineRule="auto"/>
        <w:jc w:val="left"/>
        <w:rPr>
          <w:rFonts w:ascii="Times New Roman" w:hAnsi="Times New Roman"/>
          <w:szCs w:val="24"/>
          <w:u w:val="single"/>
        </w:rPr>
      </w:pPr>
    </w:p>
    <w:p w:rsidR="007E343C" w:rsidRPr="00F62DF5" w:rsidRDefault="007E343C" w:rsidP="007A53A2">
      <w:pPr>
        <w:pStyle w:val="BodyText"/>
        <w:tabs>
          <w:tab w:val="clear" w:pos="1980"/>
          <w:tab w:val="left" w:pos="0"/>
        </w:tabs>
        <w:spacing w:line="360" w:lineRule="auto"/>
        <w:jc w:val="left"/>
        <w:rPr>
          <w:rFonts w:ascii="Times New Roman" w:hAnsi="Times New Roman"/>
          <w:szCs w:val="24"/>
          <w:u w:val="single"/>
        </w:rPr>
      </w:pPr>
      <w:r w:rsidRPr="00F62DF5">
        <w:rPr>
          <w:rFonts w:ascii="Times New Roman" w:hAnsi="Times New Roman"/>
          <w:szCs w:val="24"/>
          <w:u w:val="single"/>
        </w:rPr>
        <w:t>Incorrect charges</w:t>
      </w:r>
    </w:p>
    <w:p w:rsidR="007E343C" w:rsidRPr="00F62DF5" w:rsidRDefault="007E343C" w:rsidP="007A53A2">
      <w:pPr>
        <w:pStyle w:val="BodyText"/>
        <w:tabs>
          <w:tab w:val="clear" w:pos="1980"/>
          <w:tab w:val="left" w:pos="0"/>
        </w:tabs>
        <w:spacing w:line="360" w:lineRule="auto"/>
        <w:jc w:val="left"/>
        <w:rPr>
          <w:rFonts w:ascii="Times New Roman" w:hAnsi="Times New Roman"/>
          <w:szCs w:val="24"/>
          <w:u w:val="single"/>
        </w:rPr>
      </w:pPr>
    </w:p>
    <w:p w:rsidR="00333B2E" w:rsidRPr="00F62DF5" w:rsidRDefault="000C0722"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r>
      <w:r w:rsidR="00333B2E" w:rsidRPr="00F62DF5">
        <w:rPr>
          <w:rFonts w:ascii="Times New Roman" w:hAnsi="Times New Roman"/>
          <w:szCs w:val="24"/>
        </w:rPr>
        <w:t xml:space="preserve">The Complainant testified that she does not understand </w:t>
      </w:r>
      <w:r w:rsidR="000830F2" w:rsidRPr="00F62DF5">
        <w:rPr>
          <w:rFonts w:ascii="Times New Roman" w:hAnsi="Times New Roman"/>
          <w:szCs w:val="24"/>
        </w:rPr>
        <w:t xml:space="preserve">her bills </w:t>
      </w:r>
      <w:r w:rsidR="00333B2E" w:rsidRPr="00F62DF5">
        <w:rPr>
          <w:rFonts w:ascii="Times New Roman" w:hAnsi="Times New Roman"/>
          <w:szCs w:val="24"/>
        </w:rPr>
        <w:t xml:space="preserve">because the bills had different payment amounts (Tr. 6).  </w:t>
      </w:r>
      <w:r w:rsidR="005628A0" w:rsidRPr="00F62DF5">
        <w:rPr>
          <w:rFonts w:ascii="Times New Roman" w:hAnsi="Times New Roman"/>
          <w:szCs w:val="24"/>
        </w:rPr>
        <w:t xml:space="preserve">She produced a </w:t>
      </w:r>
      <w:r w:rsidR="00333B2E" w:rsidRPr="00F62DF5">
        <w:rPr>
          <w:rFonts w:ascii="Times New Roman" w:hAnsi="Times New Roman"/>
          <w:szCs w:val="24"/>
        </w:rPr>
        <w:t xml:space="preserve">May 18, 2015 </w:t>
      </w:r>
      <w:r w:rsidR="007E343C" w:rsidRPr="00F62DF5">
        <w:rPr>
          <w:rFonts w:ascii="Times New Roman" w:hAnsi="Times New Roman"/>
          <w:szCs w:val="24"/>
        </w:rPr>
        <w:t xml:space="preserve">past due reminder </w:t>
      </w:r>
      <w:r w:rsidR="00333B2E" w:rsidRPr="00F62DF5">
        <w:rPr>
          <w:rFonts w:ascii="Times New Roman" w:hAnsi="Times New Roman"/>
          <w:szCs w:val="24"/>
        </w:rPr>
        <w:t xml:space="preserve">for $209.00 and a May 28, 2015 </w:t>
      </w:r>
      <w:r w:rsidR="007E343C" w:rsidRPr="00F62DF5">
        <w:rPr>
          <w:rFonts w:ascii="Times New Roman" w:hAnsi="Times New Roman"/>
          <w:szCs w:val="24"/>
        </w:rPr>
        <w:t xml:space="preserve">past due reminder notice </w:t>
      </w:r>
      <w:r w:rsidR="00333B2E" w:rsidRPr="00F62DF5">
        <w:rPr>
          <w:rFonts w:ascii="Times New Roman" w:hAnsi="Times New Roman"/>
          <w:szCs w:val="24"/>
        </w:rPr>
        <w:t>for $169.75 (Tr. 6).</w:t>
      </w:r>
      <w:r w:rsidR="005628A0" w:rsidRPr="00F62DF5">
        <w:rPr>
          <w:rFonts w:ascii="Times New Roman" w:hAnsi="Times New Roman"/>
          <w:szCs w:val="24"/>
        </w:rPr>
        <w:t xml:space="preserve">  </w:t>
      </w:r>
      <w:r w:rsidR="00F117F6" w:rsidRPr="00F62DF5">
        <w:rPr>
          <w:rFonts w:ascii="Times New Roman" w:hAnsi="Times New Roman"/>
          <w:szCs w:val="24"/>
        </w:rPr>
        <w:t xml:space="preserve">She stated that the </w:t>
      </w:r>
      <w:r w:rsidR="007F0AD7" w:rsidRPr="00F62DF5">
        <w:rPr>
          <w:rFonts w:ascii="Times New Roman" w:hAnsi="Times New Roman"/>
          <w:szCs w:val="24"/>
        </w:rPr>
        <w:t>documents did not have a</w:t>
      </w:r>
      <w:r w:rsidR="00F117F6" w:rsidRPr="00F62DF5">
        <w:rPr>
          <w:rFonts w:ascii="Times New Roman" w:hAnsi="Times New Roman"/>
          <w:szCs w:val="24"/>
        </w:rPr>
        <w:t xml:space="preserve"> due date </w:t>
      </w:r>
      <w:r w:rsidR="00333B2E" w:rsidRPr="00F62DF5">
        <w:rPr>
          <w:rFonts w:ascii="Times New Roman" w:hAnsi="Times New Roman"/>
          <w:szCs w:val="24"/>
        </w:rPr>
        <w:t>(Tr. 7</w:t>
      </w:r>
      <w:r w:rsidR="004E31DC" w:rsidRPr="00F62DF5">
        <w:rPr>
          <w:rFonts w:ascii="Times New Roman" w:hAnsi="Times New Roman"/>
          <w:szCs w:val="24"/>
        </w:rPr>
        <w:t>, 31-33; C. Ex. 1</w:t>
      </w:r>
      <w:r w:rsidR="00333B2E" w:rsidRPr="00F62DF5">
        <w:rPr>
          <w:rFonts w:ascii="Times New Roman" w:hAnsi="Times New Roman"/>
          <w:szCs w:val="24"/>
        </w:rPr>
        <w:t>).</w:t>
      </w:r>
    </w:p>
    <w:p w:rsidR="007E343C" w:rsidRPr="00F62DF5" w:rsidRDefault="007E343C" w:rsidP="007A53A2">
      <w:pPr>
        <w:pStyle w:val="BodyText"/>
        <w:tabs>
          <w:tab w:val="clear" w:pos="1980"/>
          <w:tab w:val="left" w:pos="0"/>
        </w:tabs>
        <w:spacing w:line="360" w:lineRule="auto"/>
        <w:jc w:val="left"/>
        <w:rPr>
          <w:rFonts w:ascii="Times New Roman" w:hAnsi="Times New Roman"/>
          <w:szCs w:val="24"/>
        </w:rPr>
      </w:pPr>
    </w:p>
    <w:p w:rsidR="007523CF" w:rsidRDefault="00F117F6"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 xml:space="preserve">Joyshalyn Moore, a customer review officer for the Respondent, </w:t>
      </w:r>
      <w:r w:rsidR="005628A0" w:rsidRPr="00F62DF5">
        <w:rPr>
          <w:rFonts w:ascii="Times New Roman" w:hAnsi="Times New Roman"/>
          <w:szCs w:val="24"/>
        </w:rPr>
        <w:t>explained that t</w:t>
      </w:r>
      <w:r w:rsidR="004E31DC" w:rsidRPr="00F62DF5">
        <w:rPr>
          <w:rFonts w:ascii="Times New Roman" w:hAnsi="Times New Roman"/>
          <w:szCs w:val="24"/>
        </w:rPr>
        <w:t>he reminder notices are not bills</w:t>
      </w:r>
      <w:r w:rsidR="007F0AD7" w:rsidRPr="00F62DF5">
        <w:rPr>
          <w:rFonts w:ascii="Times New Roman" w:hAnsi="Times New Roman"/>
          <w:szCs w:val="24"/>
        </w:rPr>
        <w:t xml:space="preserve">.  The notices indicate that the past due amount is due </w:t>
      </w:r>
      <w:r w:rsidR="009973F0" w:rsidRPr="00F62DF5">
        <w:rPr>
          <w:rFonts w:ascii="Times New Roman" w:hAnsi="Times New Roman"/>
          <w:szCs w:val="24"/>
        </w:rPr>
        <w:t>immediately</w:t>
      </w:r>
      <w:r w:rsidR="004E31DC" w:rsidRPr="00F62DF5">
        <w:rPr>
          <w:rFonts w:ascii="Times New Roman" w:hAnsi="Times New Roman"/>
          <w:szCs w:val="24"/>
        </w:rPr>
        <w:t xml:space="preserve"> (Tr. 32; C. Ex. 1).</w:t>
      </w:r>
      <w:r w:rsidRPr="00F62DF5">
        <w:rPr>
          <w:rFonts w:ascii="Times New Roman" w:hAnsi="Times New Roman"/>
          <w:szCs w:val="24"/>
        </w:rPr>
        <w:t xml:space="preserve">  </w:t>
      </w:r>
      <w:r w:rsidR="007E343C" w:rsidRPr="00F62DF5">
        <w:rPr>
          <w:rFonts w:ascii="Times New Roman" w:hAnsi="Times New Roman"/>
          <w:szCs w:val="24"/>
        </w:rPr>
        <w:t xml:space="preserve">The past due amount on the April 7, 2015 bill was $287.96.  After the </w:t>
      </w:r>
      <w:r w:rsidRPr="00F62DF5">
        <w:rPr>
          <w:rFonts w:ascii="Times New Roman" w:hAnsi="Times New Roman"/>
          <w:szCs w:val="24"/>
        </w:rPr>
        <w:t>Complainant</w:t>
      </w:r>
      <w:r w:rsidR="007E343C" w:rsidRPr="00F62DF5">
        <w:rPr>
          <w:rFonts w:ascii="Times New Roman" w:hAnsi="Times New Roman"/>
          <w:szCs w:val="24"/>
        </w:rPr>
        <w:t xml:space="preserve"> paid $78.21, she received the past due reminder notice dated May 18, 2015, asking her to pay the past due amount of $209.75</w:t>
      </w:r>
      <w:r w:rsidR="007523CF" w:rsidRPr="00F62DF5">
        <w:rPr>
          <w:rFonts w:ascii="Times New Roman" w:hAnsi="Times New Roman"/>
          <w:szCs w:val="24"/>
        </w:rPr>
        <w:t xml:space="preserve"> (Tr. </w:t>
      </w:r>
      <w:r w:rsidR="007F0AD7" w:rsidRPr="00F62DF5">
        <w:rPr>
          <w:rFonts w:ascii="Times New Roman" w:hAnsi="Times New Roman"/>
          <w:szCs w:val="24"/>
        </w:rPr>
        <w:t>7</w:t>
      </w:r>
      <w:r w:rsidR="004E31DC" w:rsidRPr="00F62DF5">
        <w:rPr>
          <w:rFonts w:ascii="Times New Roman" w:hAnsi="Times New Roman"/>
          <w:szCs w:val="24"/>
        </w:rPr>
        <w:t>, 33</w:t>
      </w:r>
      <w:r w:rsidR="007523CF" w:rsidRPr="00F62DF5">
        <w:rPr>
          <w:rFonts w:ascii="Times New Roman" w:hAnsi="Times New Roman"/>
          <w:szCs w:val="24"/>
        </w:rPr>
        <w:t xml:space="preserve">; C. Ex. </w:t>
      </w:r>
      <w:r w:rsidR="007F0AD7" w:rsidRPr="00F62DF5">
        <w:rPr>
          <w:rFonts w:ascii="Times New Roman" w:hAnsi="Times New Roman"/>
          <w:szCs w:val="24"/>
        </w:rPr>
        <w:t>1</w:t>
      </w:r>
      <w:r w:rsidR="00834B9B" w:rsidRPr="00F62DF5">
        <w:rPr>
          <w:rFonts w:ascii="Times New Roman" w:hAnsi="Times New Roman"/>
          <w:szCs w:val="24"/>
        </w:rPr>
        <w:t>; PGW Ex. 1</w:t>
      </w:r>
      <w:r w:rsidR="007523CF" w:rsidRPr="00F62DF5">
        <w:rPr>
          <w:rFonts w:ascii="Times New Roman" w:hAnsi="Times New Roman"/>
          <w:szCs w:val="24"/>
        </w:rPr>
        <w:t>).</w:t>
      </w:r>
      <w:r w:rsidRPr="00F62DF5">
        <w:rPr>
          <w:rFonts w:ascii="Times New Roman" w:hAnsi="Times New Roman"/>
          <w:szCs w:val="24"/>
        </w:rPr>
        <w:t xml:space="preserve">  After the Complainant paid $40.00</w:t>
      </w:r>
      <w:r w:rsidR="007E343C" w:rsidRPr="00F62DF5">
        <w:rPr>
          <w:rFonts w:ascii="Times New Roman" w:hAnsi="Times New Roman"/>
          <w:szCs w:val="24"/>
        </w:rPr>
        <w:t xml:space="preserve">, she received </w:t>
      </w:r>
      <w:r w:rsidRPr="00F62DF5">
        <w:rPr>
          <w:rFonts w:ascii="Times New Roman" w:hAnsi="Times New Roman"/>
          <w:szCs w:val="24"/>
        </w:rPr>
        <w:t xml:space="preserve">the </w:t>
      </w:r>
      <w:r w:rsidR="007E343C" w:rsidRPr="00F62DF5">
        <w:rPr>
          <w:rFonts w:ascii="Times New Roman" w:hAnsi="Times New Roman"/>
          <w:szCs w:val="24"/>
        </w:rPr>
        <w:t xml:space="preserve">past due reminder notice </w:t>
      </w:r>
      <w:r w:rsidRPr="00F62DF5">
        <w:rPr>
          <w:rFonts w:ascii="Times New Roman" w:hAnsi="Times New Roman"/>
          <w:szCs w:val="24"/>
        </w:rPr>
        <w:t xml:space="preserve">dated May 28, 2015, </w:t>
      </w:r>
      <w:r w:rsidR="007E343C" w:rsidRPr="00F62DF5">
        <w:rPr>
          <w:rFonts w:ascii="Times New Roman" w:hAnsi="Times New Roman"/>
          <w:szCs w:val="24"/>
        </w:rPr>
        <w:t>asking</w:t>
      </w:r>
      <w:r w:rsidRPr="00F62DF5">
        <w:rPr>
          <w:rFonts w:ascii="Times New Roman" w:hAnsi="Times New Roman"/>
          <w:szCs w:val="24"/>
        </w:rPr>
        <w:t xml:space="preserve"> her to pay the past due amount of $169.75 (Tr. 7, </w:t>
      </w:r>
      <w:r w:rsidR="007E343C" w:rsidRPr="00F62DF5">
        <w:rPr>
          <w:rFonts w:ascii="Times New Roman" w:hAnsi="Times New Roman"/>
          <w:szCs w:val="24"/>
        </w:rPr>
        <w:t xml:space="preserve">12; </w:t>
      </w:r>
      <w:r w:rsidRPr="00F62DF5">
        <w:rPr>
          <w:rFonts w:ascii="Times New Roman" w:hAnsi="Times New Roman"/>
          <w:szCs w:val="24"/>
        </w:rPr>
        <w:t>31-33; C. Ex. 1</w:t>
      </w:r>
      <w:r w:rsidR="007E343C" w:rsidRPr="00F62DF5">
        <w:rPr>
          <w:rFonts w:ascii="Times New Roman" w:hAnsi="Times New Roman"/>
          <w:szCs w:val="24"/>
        </w:rPr>
        <w:t>; PGW Ex. 1</w:t>
      </w:r>
      <w:r w:rsidRPr="00F62DF5">
        <w:rPr>
          <w:rFonts w:ascii="Times New Roman" w:hAnsi="Times New Roman"/>
          <w:szCs w:val="24"/>
        </w:rPr>
        <w:t xml:space="preserve">). </w:t>
      </w:r>
    </w:p>
    <w:p w:rsidR="00F117F6" w:rsidRDefault="00F117F6"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lastRenderedPageBreak/>
        <w:tab/>
      </w:r>
      <w:r w:rsidRPr="00F62DF5">
        <w:rPr>
          <w:rFonts w:ascii="Times New Roman" w:hAnsi="Times New Roman"/>
          <w:szCs w:val="24"/>
        </w:rPr>
        <w:tab/>
        <w:t xml:space="preserve">Therefore, the Respondent was not sending the Complainant numerous bills each month with different amounts.  </w:t>
      </w:r>
      <w:r w:rsidR="007E343C" w:rsidRPr="00F62DF5">
        <w:rPr>
          <w:rFonts w:ascii="Times New Roman" w:hAnsi="Times New Roman"/>
          <w:szCs w:val="24"/>
        </w:rPr>
        <w:t>She was receiving reminders that she had a past due balance.</w:t>
      </w:r>
    </w:p>
    <w:p w:rsidR="00AE4727" w:rsidRDefault="00AE4727" w:rsidP="007A53A2">
      <w:pPr>
        <w:pStyle w:val="BodyText"/>
        <w:tabs>
          <w:tab w:val="clear" w:pos="1980"/>
          <w:tab w:val="left" w:pos="0"/>
        </w:tabs>
        <w:spacing w:line="360" w:lineRule="auto"/>
        <w:jc w:val="left"/>
        <w:rPr>
          <w:rFonts w:ascii="Times New Roman" w:hAnsi="Times New Roman"/>
          <w:szCs w:val="24"/>
        </w:rPr>
      </w:pPr>
    </w:p>
    <w:p w:rsidR="00B81454" w:rsidRPr="00F62DF5" w:rsidRDefault="00E338FF" w:rsidP="007A53A2">
      <w:pPr>
        <w:pStyle w:val="BodyText"/>
        <w:tabs>
          <w:tab w:val="clear" w:pos="1980"/>
          <w:tab w:val="left" w:pos="-1710"/>
          <w:tab w:val="left" w:pos="-162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 xml:space="preserve">The Complainant specifically disputed her December 2014 and May 2015 bills with the Respondent.  </w:t>
      </w:r>
      <w:r w:rsidR="00B81454" w:rsidRPr="00F62DF5">
        <w:rPr>
          <w:rFonts w:ascii="Times New Roman" w:hAnsi="Times New Roman"/>
          <w:szCs w:val="24"/>
        </w:rPr>
        <w:t xml:space="preserve">The following chart lists the amount of the bills and payments between </w:t>
      </w:r>
      <w:r w:rsidR="00116825" w:rsidRPr="00F62DF5">
        <w:rPr>
          <w:rFonts w:ascii="Times New Roman" w:hAnsi="Times New Roman"/>
          <w:szCs w:val="24"/>
        </w:rPr>
        <w:t>January 2014</w:t>
      </w:r>
      <w:r w:rsidR="00B81454" w:rsidRPr="00F62DF5">
        <w:rPr>
          <w:rFonts w:ascii="Times New Roman" w:hAnsi="Times New Roman"/>
          <w:szCs w:val="24"/>
        </w:rPr>
        <w:t xml:space="preserve"> and </w:t>
      </w:r>
      <w:r w:rsidR="00116825" w:rsidRPr="00F62DF5">
        <w:rPr>
          <w:rFonts w:ascii="Times New Roman" w:hAnsi="Times New Roman"/>
          <w:szCs w:val="24"/>
        </w:rPr>
        <w:t>November</w:t>
      </w:r>
      <w:r w:rsidR="00B81454" w:rsidRPr="00F62DF5">
        <w:rPr>
          <w:rFonts w:ascii="Times New Roman" w:hAnsi="Times New Roman"/>
          <w:szCs w:val="24"/>
        </w:rPr>
        <w:t xml:space="preserve"> 2015.</w:t>
      </w:r>
    </w:p>
    <w:p w:rsidR="00116825" w:rsidRPr="00F62DF5" w:rsidRDefault="00116825" w:rsidP="007A53A2">
      <w:pPr>
        <w:pStyle w:val="BodyText"/>
        <w:tabs>
          <w:tab w:val="left" w:pos="-1710"/>
          <w:tab w:val="left" w:pos="-1620"/>
          <w:tab w:val="left" w:pos="0"/>
        </w:tabs>
        <w:spacing w:line="360" w:lineRule="auto"/>
        <w:jc w:val="left"/>
        <w:rPr>
          <w:rFonts w:ascii="Times New Roman" w:hAnsi="Times New Roman"/>
          <w:szCs w:val="24"/>
        </w:rPr>
      </w:pPr>
    </w:p>
    <w:tbl>
      <w:tblPr>
        <w:tblStyle w:val="TableGrid"/>
        <w:tblW w:w="0" w:type="auto"/>
        <w:tblLook w:val="04A0" w:firstRow="1" w:lastRow="0" w:firstColumn="1" w:lastColumn="0" w:noHBand="0" w:noVBand="1"/>
      </w:tblPr>
      <w:tblGrid>
        <w:gridCol w:w="2178"/>
        <w:gridCol w:w="1165"/>
        <w:gridCol w:w="1625"/>
        <w:gridCol w:w="1890"/>
        <w:gridCol w:w="1083"/>
        <w:gridCol w:w="1635"/>
      </w:tblGrid>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center"/>
              <w:rPr>
                <w:rFonts w:ascii="Times New Roman" w:hAnsi="Times New Roman"/>
                <w:szCs w:val="24"/>
              </w:rPr>
            </w:pPr>
            <w:r w:rsidRPr="00F62DF5">
              <w:rPr>
                <w:rFonts w:ascii="Times New Roman" w:hAnsi="Times New Roman"/>
                <w:szCs w:val="24"/>
              </w:rPr>
              <w:t>Month</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center"/>
              <w:rPr>
                <w:rFonts w:ascii="Times New Roman" w:hAnsi="Times New Roman"/>
                <w:szCs w:val="24"/>
              </w:rPr>
            </w:pPr>
            <w:r w:rsidRPr="00F62DF5">
              <w:rPr>
                <w:rFonts w:ascii="Times New Roman" w:hAnsi="Times New Roman"/>
                <w:szCs w:val="24"/>
              </w:rPr>
              <w:t>Bill</w:t>
            </w:r>
          </w:p>
        </w:tc>
        <w:tc>
          <w:tcPr>
            <w:tcW w:w="162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center"/>
              <w:rPr>
                <w:rFonts w:ascii="Times New Roman" w:hAnsi="Times New Roman"/>
                <w:szCs w:val="24"/>
              </w:rPr>
            </w:pPr>
            <w:r w:rsidRPr="00F62DF5">
              <w:rPr>
                <w:rFonts w:ascii="Times New Roman" w:hAnsi="Times New Roman"/>
                <w:szCs w:val="24"/>
              </w:rPr>
              <w:t>Payment</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center"/>
              <w:rPr>
                <w:rFonts w:ascii="Times New Roman" w:hAnsi="Times New Roman"/>
                <w:szCs w:val="24"/>
              </w:rPr>
            </w:pPr>
            <w:r w:rsidRPr="00F62DF5">
              <w:rPr>
                <w:rFonts w:ascii="Times New Roman" w:hAnsi="Times New Roman"/>
                <w:szCs w:val="24"/>
              </w:rPr>
              <w:t>LIHEAP/ Crisis</w:t>
            </w: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center"/>
              <w:rPr>
                <w:rFonts w:ascii="Times New Roman" w:hAnsi="Times New Roman"/>
                <w:szCs w:val="24"/>
              </w:rPr>
            </w:pPr>
            <w:r w:rsidRPr="00F62DF5">
              <w:rPr>
                <w:rFonts w:ascii="Times New Roman" w:hAnsi="Times New Roman"/>
                <w:szCs w:val="24"/>
              </w:rPr>
              <w:t>Ccfs</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center"/>
              <w:rPr>
                <w:rFonts w:ascii="Times New Roman" w:hAnsi="Times New Roman"/>
                <w:szCs w:val="24"/>
              </w:rPr>
            </w:pPr>
            <w:r w:rsidRPr="00F62DF5">
              <w:rPr>
                <w:rFonts w:ascii="Times New Roman" w:hAnsi="Times New Roman"/>
                <w:szCs w:val="24"/>
              </w:rPr>
              <w:t>Balance</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January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$79.23</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47</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$84.05</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February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$181.76</w:t>
            </w:r>
          </w:p>
        </w:tc>
        <w:tc>
          <w:tcPr>
            <w:tcW w:w="162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123</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$225.81</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March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$170.25</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116</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$366.06</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April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$103.24</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62</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$469.30</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May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$39.32</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18</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$468.62</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June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$35.48</w:t>
            </w:r>
          </w:p>
        </w:tc>
        <w:tc>
          <w:tcPr>
            <w:tcW w:w="162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$100.82</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$195.81</w:t>
            </w:r>
          </w:p>
        </w:tc>
        <w:tc>
          <w:tcPr>
            <w:tcW w:w="1083"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14</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$207.47</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July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$30.77</w:t>
            </w:r>
          </w:p>
        </w:tc>
        <w:tc>
          <w:tcPr>
            <w:tcW w:w="162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$30.77</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12</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$207.47</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August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$29.69</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11</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$197.16</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September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$28.02</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E338FF"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w:t>
            </w:r>
            <w:r w:rsidR="009C798E" w:rsidRPr="00F62DF5">
              <w:rPr>
                <w:rFonts w:ascii="Times New Roman" w:hAnsi="Times New Roman"/>
                <w:szCs w:val="24"/>
              </w:rPr>
              <w:t>28.02</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10</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$197.16</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October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$26.95</w:t>
            </w:r>
          </w:p>
        </w:tc>
        <w:tc>
          <w:tcPr>
            <w:tcW w:w="162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$32.00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$182.00</w:t>
            </w: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w:t>
            </w:r>
            <w:r w:rsidR="00C4790D" w:rsidRPr="00F62DF5">
              <w:rPr>
                <w:rFonts w:ascii="Times New Roman" w:hAnsi="Times New Roman"/>
                <w:szCs w:val="24"/>
              </w:rPr>
              <w:t>0</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$10.11</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November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$30.05</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w:t>
            </w:r>
            <w:r w:rsidR="00C4790D" w:rsidRPr="00F62DF5">
              <w:rPr>
                <w:rFonts w:ascii="Times New Roman" w:hAnsi="Times New Roman"/>
                <w:szCs w:val="24"/>
              </w:rPr>
              <w:t>2</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$40.16</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b/>
                <w:szCs w:val="24"/>
              </w:rPr>
            </w:pPr>
            <w:r w:rsidRPr="00F62DF5">
              <w:rPr>
                <w:rFonts w:ascii="Times New Roman" w:hAnsi="Times New Roman"/>
                <w:b/>
                <w:szCs w:val="24"/>
              </w:rPr>
              <w:t>December 2014</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b/>
                <w:szCs w:val="24"/>
              </w:rPr>
            </w:pPr>
            <w:r w:rsidRPr="00F62DF5">
              <w:rPr>
                <w:rFonts w:ascii="Times New Roman" w:hAnsi="Times New Roman"/>
                <w:b/>
                <w:szCs w:val="24"/>
              </w:rPr>
              <w:t>$54.72</w:t>
            </w:r>
          </w:p>
        </w:tc>
        <w:tc>
          <w:tcPr>
            <w:tcW w:w="162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b/>
                <w:szCs w:val="24"/>
              </w:rPr>
            </w:pPr>
            <w:r w:rsidRPr="00F62DF5">
              <w:rPr>
                <w:rFonts w:ascii="Times New Roman" w:hAnsi="Times New Roman"/>
                <w:b/>
                <w:szCs w:val="24"/>
              </w:rPr>
              <w:t>$42.00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b/>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C4790D" w:rsidP="00F203EE">
            <w:pPr>
              <w:pStyle w:val="BodyText"/>
              <w:tabs>
                <w:tab w:val="left" w:pos="-1710"/>
                <w:tab w:val="left" w:pos="-1620"/>
              </w:tabs>
              <w:spacing w:line="240" w:lineRule="auto"/>
              <w:jc w:val="right"/>
              <w:rPr>
                <w:rFonts w:ascii="Times New Roman" w:hAnsi="Times New Roman"/>
                <w:b/>
                <w:szCs w:val="24"/>
              </w:rPr>
            </w:pPr>
            <w:r w:rsidRPr="00F62DF5">
              <w:rPr>
                <w:rFonts w:ascii="Times New Roman" w:hAnsi="Times New Roman"/>
                <w:b/>
                <w:szCs w:val="24"/>
              </w:rPr>
              <w:t>30</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b/>
                <w:szCs w:val="24"/>
              </w:rPr>
            </w:pPr>
            <w:r w:rsidRPr="00F62DF5">
              <w:rPr>
                <w:rFonts w:ascii="Times New Roman" w:hAnsi="Times New Roman"/>
                <w:b/>
                <w:szCs w:val="24"/>
              </w:rPr>
              <w:t>$52.88</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January 2015</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$75.33</w:t>
            </w:r>
          </w:p>
        </w:tc>
        <w:tc>
          <w:tcPr>
            <w:tcW w:w="162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$50.00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C4790D"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43</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$78.21</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February 2015</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$142.64</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$54.00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C4790D"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97</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$166.85</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March 2015</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$181.11</w:t>
            </w:r>
          </w:p>
        </w:tc>
        <w:tc>
          <w:tcPr>
            <w:tcW w:w="162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$60.00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w:t>
            </w:r>
            <w:r w:rsidR="00C4790D" w:rsidRPr="00F62DF5">
              <w:rPr>
                <w:rFonts w:ascii="Times New Roman" w:hAnsi="Times New Roman"/>
                <w:szCs w:val="24"/>
              </w:rPr>
              <w:t>36</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$287.96</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April 2015</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$108.03</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E338FF"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w:t>
            </w:r>
            <w:r w:rsidR="009C798E" w:rsidRPr="00F62DF5">
              <w:rPr>
                <w:rFonts w:ascii="Times New Roman" w:hAnsi="Times New Roman"/>
                <w:szCs w:val="24"/>
              </w:rPr>
              <w:t>78.21</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C4790D"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80</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$317.78</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May 2015</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$37.33</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C4790D"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19</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$315.11</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b/>
                <w:szCs w:val="24"/>
              </w:rPr>
            </w:pPr>
            <w:r w:rsidRPr="00F62DF5">
              <w:rPr>
                <w:rFonts w:ascii="Times New Roman" w:hAnsi="Times New Roman"/>
                <w:b/>
                <w:szCs w:val="24"/>
              </w:rPr>
              <w:t>June 2015</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b/>
                <w:szCs w:val="24"/>
              </w:rPr>
            </w:pPr>
            <w:r w:rsidRPr="00F62DF5">
              <w:rPr>
                <w:rFonts w:ascii="Times New Roman" w:hAnsi="Times New Roman"/>
                <w:b/>
                <w:szCs w:val="24"/>
              </w:rPr>
              <w:t>$34.55</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b/>
                <w:szCs w:val="24"/>
              </w:rPr>
            </w:pPr>
            <w:r w:rsidRPr="00F62DF5">
              <w:rPr>
                <w:rFonts w:ascii="Times New Roman" w:hAnsi="Times New Roman"/>
                <w:b/>
                <w:szCs w:val="24"/>
              </w:rPr>
              <w:t>1</w:t>
            </w:r>
            <w:r w:rsidR="00C4790D" w:rsidRPr="00F62DF5">
              <w:rPr>
                <w:rFonts w:ascii="Times New Roman" w:hAnsi="Times New Roman"/>
                <w:b/>
                <w:szCs w:val="24"/>
              </w:rPr>
              <w:t>5</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$349.66</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July 2015</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$25.86</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$27.00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w:t>
            </w:r>
            <w:r w:rsidR="00C4790D" w:rsidRPr="00F62DF5">
              <w:rPr>
                <w:rFonts w:ascii="Times New Roman" w:hAnsi="Times New Roman"/>
                <w:szCs w:val="24"/>
              </w:rPr>
              <w:t>1</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$375.52</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August 4, 2015</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$27.01</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$40.00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hideMark/>
          </w:tcPr>
          <w:p w:rsidR="009C798E" w:rsidRPr="00F62DF5" w:rsidRDefault="00C4790D"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12</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$335.53</w:t>
            </w:r>
          </w:p>
        </w:tc>
      </w:tr>
      <w:tr w:rsidR="009C798E" w:rsidRPr="00F62DF5" w:rsidTr="009C798E">
        <w:tc>
          <w:tcPr>
            <w:tcW w:w="2178"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September 2015</w:t>
            </w:r>
          </w:p>
        </w:tc>
        <w:tc>
          <w:tcPr>
            <w:tcW w:w="116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$24.52</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$38.00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tcPr>
          <w:p w:rsidR="009C798E" w:rsidRPr="00F62DF5" w:rsidRDefault="00C4790D"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w:t>
            </w:r>
            <w:r w:rsidR="009C798E" w:rsidRPr="00F62DF5">
              <w:rPr>
                <w:rFonts w:ascii="Times New Roman" w:hAnsi="Times New Roman"/>
                <w:szCs w:val="24"/>
              </w:rPr>
              <w:t>0</w:t>
            </w:r>
          </w:p>
        </w:tc>
        <w:tc>
          <w:tcPr>
            <w:tcW w:w="1635" w:type="dxa"/>
            <w:tcBorders>
              <w:top w:val="single" w:sz="4" w:space="0" w:color="auto"/>
              <w:left w:val="single" w:sz="4" w:space="0" w:color="auto"/>
              <w:bottom w:val="single" w:sz="4" w:space="0" w:color="auto"/>
              <w:right w:val="single" w:sz="4" w:space="0" w:color="auto"/>
            </w:tcBorders>
            <w:hideMark/>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$322.05</w:t>
            </w:r>
          </w:p>
        </w:tc>
      </w:tr>
      <w:tr w:rsidR="009C798E" w:rsidRPr="00F62DF5" w:rsidTr="00235516">
        <w:tc>
          <w:tcPr>
            <w:tcW w:w="2178"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October 2015</w:t>
            </w:r>
          </w:p>
        </w:tc>
        <w:tc>
          <w:tcPr>
            <w:tcW w:w="116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$24.34</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$60.00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w:t>
            </w:r>
            <w:r w:rsidR="00C4790D" w:rsidRPr="00F62DF5">
              <w:rPr>
                <w:rFonts w:ascii="Times New Roman" w:hAnsi="Times New Roman"/>
                <w:szCs w:val="24"/>
              </w:rPr>
              <w:t>0</w:t>
            </w:r>
          </w:p>
        </w:tc>
        <w:tc>
          <w:tcPr>
            <w:tcW w:w="163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$286.39</w:t>
            </w:r>
          </w:p>
        </w:tc>
      </w:tr>
      <w:tr w:rsidR="009C798E" w:rsidRPr="00F62DF5" w:rsidTr="00235516">
        <w:tc>
          <w:tcPr>
            <w:tcW w:w="2178"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left"/>
              <w:rPr>
                <w:rFonts w:ascii="Times New Roman" w:hAnsi="Times New Roman"/>
                <w:szCs w:val="24"/>
              </w:rPr>
            </w:pPr>
            <w:r w:rsidRPr="00F62DF5">
              <w:rPr>
                <w:rFonts w:ascii="Times New Roman" w:hAnsi="Times New Roman"/>
                <w:szCs w:val="24"/>
              </w:rPr>
              <w:t>November 2015</w:t>
            </w:r>
          </w:p>
        </w:tc>
        <w:tc>
          <w:tcPr>
            <w:tcW w:w="116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$28.94</w:t>
            </w:r>
          </w:p>
        </w:tc>
        <w:tc>
          <w:tcPr>
            <w:tcW w:w="162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$100.00</w:t>
            </w:r>
          </w:p>
        </w:tc>
        <w:tc>
          <w:tcPr>
            <w:tcW w:w="1890"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p>
        </w:tc>
        <w:tc>
          <w:tcPr>
            <w:tcW w:w="1083" w:type="dxa"/>
            <w:tcBorders>
              <w:top w:val="single" w:sz="4" w:space="0" w:color="auto"/>
              <w:left w:val="single" w:sz="4" w:space="0" w:color="auto"/>
              <w:bottom w:val="single" w:sz="4" w:space="0" w:color="auto"/>
              <w:right w:val="single" w:sz="4" w:space="0" w:color="auto"/>
            </w:tcBorders>
          </w:tcPr>
          <w:p w:rsidR="009C798E" w:rsidRPr="00F62DF5" w:rsidRDefault="00C4790D"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13</w:t>
            </w:r>
          </w:p>
        </w:tc>
        <w:tc>
          <w:tcPr>
            <w:tcW w:w="1635" w:type="dxa"/>
            <w:tcBorders>
              <w:top w:val="single" w:sz="4" w:space="0" w:color="auto"/>
              <w:left w:val="single" w:sz="4" w:space="0" w:color="auto"/>
              <w:bottom w:val="single" w:sz="4" w:space="0" w:color="auto"/>
              <w:right w:val="single" w:sz="4" w:space="0" w:color="auto"/>
            </w:tcBorders>
          </w:tcPr>
          <w:p w:rsidR="009C798E" w:rsidRPr="00F62DF5" w:rsidRDefault="009C798E" w:rsidP="00F203EE">
            <w:pPr>
              <w:pStyle w:val="BodyText"/>
              <w:tabs>
                <w:tab w:val="left" w:pos="-1710"/>
                <w:tab w:val="left" w:pos="-1620"/>
              </w:tabs>
              <w:spacing w:line="240" w:lineRule="auto"/>
              <w:jc w:val="right"/>
              <w:rPr>
                <w:rFonts w:ascii="Times New Roman" w:hAnsi="Times New Roman"/>
                <w:szCs w:val="24"/>
              </w:rPr>
            </w:pPr>
            <w:r w:rsidRPr="00F62DF5">
              <w:rPr>
                <w:rFonts w:ascii="Times New Roman" w:hAnsi="Times New Roman"/>
                <w:szCs w:val="24"/>
              </w:rPr>
              <w:t>$315.33</w:t>
            </w:r>
          </w:p>
        </w:tc>
      </w:tr>
    </w:tbl>
    <w:p w:rsidR="00235516" w:rsidRPr="00F62DF5" w:rsidRDefault="00235516"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 xml:space="preserve">Disputed bills </w:t>
      </w:r>
      <w:r w:rsidR="00E338FF" w:rsidRPr="00F62DF5">
        <w:rPr>
          <w:rFonts w:ascii="Times New Roman" w:hAnsi="Times New Roman"/>
          <w:szCs w:val="24"/>
        </w:rPr>
        <w:t xml:space="preserve">are </w:t>
      </w:r>
      <w:r w:rsidRPr="00F62DF5">
        <w:rPr>
          <w:rFonts w:ascii="Times New Roman" w:hAnsi="Times New Roman"/>
          <w:szCs w:val="24"/>
        </w:rPr>
        <w:t>in bold</w:t>
      </w:r>
      <w:r w:rsidR="00E338FF" w:rsidRPr="00F62DF5">
        <w:rPr>
          <w:rFonts w:ascii="Times New Roman" w:hAnsi="Times New Roman"/>
          <w:szCs w:val="24"/>
        </w:rPr>
        <w:t>.</w:t>
      </w:r>
    </w:p>
    <w:p w:rsidR="00910938" w:rsidRPr="00F62DF5" w:rsidRDefault="00910938" w:rsidP="007A53A2">
      <w:pPr>
        <w:pStyle w:val="ListParagraph"/>
        <w:spacing w:line="360" w:lineRule="auto"/>
        <w:ind w:left="0"/>
        <w:rPr>
          <w:rFonts w:ascii="Times New Roman" w:eastAsia="Batang" w:hAnsi="Times New Roman"/>
          <w:szCs w:val="24"/>
        </w:rPr>
      </w:pPr>
      <w:r w:rsidRPr="00F62DF5">
        <w:rPr>
          <w:rFonts w:ascii="Times New Roman" w:eastAsia="Batang" w:hAnsi="Times New Roman"/>
          <w:szCs w:val="24"/>
        </w:rPr>
        <w:t>(PGW Ex. 1)</w:t>
      </w:r>
    </w:p>
    <w:p w:rsidR="00BC56D0" w:rsidRDefault="00BC56D0">
      <w:pPr>
        <w:spacing w:line="240" w:lineRule="auto"/>
        <w:rPr>
          <w:rFonts w:eastAsia="Batang"/>
          <w:szCs w:val="24"/>
        </w:rPr>
      </w:pPr>
    </w:p>
    <w:p w:rsidR="009973F0" w:rsidRDefault="00910938" w:rsidP="007A53A2">
      <w:pPr>
        <w:pStyle w:val="ListParagraph"/>
        <w:spacing w:line="360" w:lineRule="auto"/>
        <w:ind w:left="0"/>
        <w:rPr>
          <w:rFonts w:ascii="Times New Roman" w:eastAsia="Batang" w:hAnsi="Times New Roman"/>
          <w:szCs w:val="24"/>
        </w:rPr>
      </w:pPr>
      <w:r w:rsidRPr="00F62DF5">
        <w:rPr>
          <w:rFonts w:ascii="Times New Roman" w:eastAsia="Batang" w:hAnsi="Times New Roman"/>
          <w:szCs w:val="24"/>
        </w:rPr>
        <w:tab/>
      </w:r>
      <w:r w:rsidRPr="00F62DF5">
        <w:rPr>
          <w:rFonts w:ascii="Times New Roman" w:eastAsia="Batang" w:hAnsi="Times New Roman"/>
          <w:szCs w:val="24"/>
        </w:rPr>
        <w:tab/>
        <w:t xml:space="preserve">A review of the chart shows that the Complainant’s usage has been consistent </w:t>
      </w:r>
    </w:p>
    <w:p w:rsidR="00910938" w:rsidRPr="00F62DF5" w:rsidRDefault="00910938" w:rsidP="007A53A2">
      <w:pPr>
        <w:pStyle w:val="ListParagraph"/>
        <w:spacing w:line="360" w:lineRule="auto"/>
        <w:ind w:left="0"/>
        <w:rPr>
          <w:rFonts w:ascii="Times New Roman" w:eastAsia="Batang" w:hAnsi="Times New Roman"/>
          <w:szCs w:val="24"/>
        </w:rPr>
      </w:pPr>
      <w:r w:rsidRPr="00F62DF5">
        <w:rPr>
          <w:rFonts w:ascii="Times New Roman" w:eastAsia="Batang" w:hAnsi="Times New Roman"/>
          <w:szCs w:val="24"/>
        </w:rPr>
        <w:t xml:space="preserve">(Tr. </w:t>
      </w:r>
      <w:r w:rsidR="00E338FF" w:rsidRPr="00F62DF5">
        <w:rPr>
          <w:rFonts w:ascii="Times New Roman" w:eastAsia="Batang" w:hAnsi="Times New Roman"/>
          <w:szCs w:val="24"/>
        </w:rPr>
        <w:t>37-42;</w:t>
      </w:r>
      <w:r w:rsidRPr="00F62DF5">
        <w:rPr>
          <w:rFonts w:ascii="Times New Roman" w:eastAsia="Batang" w:hAnsi="Times New Roman"/>
          <w:szCs w:val="24"/>
        </w:rPr>
        <w:t xml:space="preserve"> PGW Ex</w:t>
      </w:r>
      <w:r w:rsidR="00E338FF" w:rsidRPr="00F62DF5">
        <w:rPr>
          <w:rFonts w:ascii="Times New Roman" w:eastAsia="Batang" w:hAnsi="Times New Roman"/>
          <w:szCs w:val="24"/>
        </w:rPr>
        <w:t>s</w:t>
      </w:r>
      <w:r w:rsidRPr="00F62DF5">
        <w:rPr>
          <w:rFonts w:ascii="Times New Roman" w:eastAsia="Batang" w:hAnsi="Times New Roman"/>
          <w:szCs w:val="24"/>
        </w:rPr>
        <w:t>. 1</w:t>
      </w:r>
      <w:r w:rsidR="00E338FF" w:rsidRPr="00F62DF5">
        <w:rPr>
          <w:rFonts w:ascii="Times New Roman" w:eastAsia="Batang" w:hAnsi="Times New Roman"/>
          <w:szCs w:val="24"/>
        </w:rPr>
        <w:t>, 4, 5</w:t>
      </w:r>
      <w:r w:rsidRPr="00F62DF5">
        <w:rPr>
          <w:rFonts w:ascii="Times New Roman" w:eastAsia="Batang" w:hAnsi="Times New Roman"/>
          <w:szCs w:val="24"/>
        </w:rPr>
        <w:t xml:space="preserve">).  </w:t>
      </w:r>
    </w:p>
    <w:p w:rsidR="009973F0" w:rsidRDefault="009973F0" w:rsidP="007A53A2">
      <w:pPr>
        <w:pStyle w:val="ListParagraph"/>
        <w:spacing w:line="360" w:lineRule="auto"/>
        <w:ind w:left="0"/>
        <w:rPr>
          <w:rFonts w:ascii="Times New Roman" w:hAnsi="Times New Roman"/>
          <w:szCs w:val="24"/>
        </w:rPr>
      </w:pPr>
    </w:p>
    <w:p w:rsidR="00F5295F" w:rsidRPr="00F62DF5" w:rsidRDefault="009973F0" w:rsidP="007A53A2">
      <w:pPr>
        <w:pStyle w:val="ListParagraph"/>
        <w:spacing w:line="360" w:lineRule="auto"/>
        <w:ind w:left="0"/>
        <w:rPr>
          <w:rFonts w:ascii="Times New Roman" w:hAnsi="Times New Roman"/>
          <w:szCs w:val="24"/>
        </w:rPr>
      </w:pPr>
      <w:r>
        <w:rPr>
          <w:rFonts w:ascii="Times New Roman" w:hAnsi="Times New Roman"/>
          <w:szCs w:val="24"/>
        </w:rPr>
        <w:tab/>
      </w:r>
      <w:r>
        <w:rPr>
          <w:rFonts w:ascii="Times New Roman" w:hAnsi="Times New Roman"/>
          <w:szCs w:val="24"/>
        </w:rPr>
        <w:tab/>
      </w:r>
      <w:r w:rsidR="00F5295F" w:rsidRPr="00F62DF5">
        <w:rPr>
          <w:rFonts w:ascii="Times New Roman" w:hAnsi="Times New Roman"/>
          <w:szCs w:val="24"/>
        </w:rPr>
        <w:t xml:space="preserve">The Complainant disputed her $54.72 bill dated December 5, 2014, for the period from October 31, 2014 to December 3, 2014.  The usage was 30 ccfs of gas (Tr. 37, 38; PGW </w:t>
      </w:r>
      <w:r w:rsidR="00F5295F" w:rsidRPr="00F62DF5">
        <w:rPr>
          <w:rFonts w:ascii="Times New Roman" w:hAnsi="Times New Roman"/>
          <w:szCs w:val="24"/>
        </w:rPr>
        <w:lastRenderedPageBreak/>
        <w:t xml:space="preserve">Ex. 1, 4).  The Respondent responded to the Complainant’s dispute about her December 2014 bill by letter dated December 16, 2014. </w:t>
      </w:r>
      <w:r>
        <w:rPr>
          <w:rFonts w:ascii="Times New Roman" w:hAnsi="Times New Roman"/>
          <w:szCs w:val="24"/>
        </w:rPr>
        <w:t xml:space="preserve"> </w:t>
      </w:r>
      <w:r w:rsidR="00F5295F" w:rsidRPr="00F62DF5">
        <w:rPr>
          <w:rFonts w:ascii="Times New Roman" w:hAnsi="Times New Roman"/>
          <w:szCs w:val="24"/>
        </w:rPr>
        <w:t>The Respondent attached the relevant account statement and the historical usage (Tr. 37-42; PGW Ex. 4).</w:t>
      </w:r>
    </w:p>
    <w:p w:rsidR="00F5295F" w:rsidRPr="00F62DF5" w:rsidRDefault="00F5295F" w:rsidP="007A53A2">
      <w:pPr>
        <w:pStyle w:val="ListParagraph"/>
        <w:rPr>
          <w:rFonts w:ascii="Times New Roman" w:hAnsi="Times New Roman"/>
          <w:szCs w:val="24"/>
        </w:rPr>
      </w:pPr>
    </w:p>
    <w:p w:rsidR="00F5295F" w:rsidRPr="00F62DF5" w:rsidRDefault="009973F0" w:rsidP="007A53A2">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5295F" w:rsidRPr="00F62DF5">
        <w:rPr>
          <w:rFonts w:ascii="Times New Roman" w:hAnsi="Times New Roman"/>
          <w:szCs w:val="24"/>
        </w:rPr>
        <w:t>The record demonstrates that the Complainant’s December 2014 bill was similar to her December 2013 bill in the amount of $47.75, for 25 ccfs of gas and to her December 2012 bill in the amount of $57.93, for 33 ccfs of gas (Tr. 37, 38; PGW Exs. 1, 4).</w:t>
      </w:r>
    </w:p>
    <w:p w:rsidR="00E338FF" w:rsidRPr="00F62DF5" w:rsidRDefault="00E338FF" w:rsidP="007A53A2">
      <w:pPr>
        <w:pStyle w:val="ListParagraph"/>
        <w:spacing w:line="360" w:lineRule="auto"/>
        <w:ind w:left="0"/>
        <w:rPr>
          <w:rFonts w:ascii="Times New Roman" w:eastAsia="Batang" w:hAnsi="Times New Roman"/>
          <w:szCs w:val="24"/>
        </w:rPr>
      </w:pPr>
    </w:p>
    <w:p w:rsidR="00F5295F" w:rsidRPr="00F62DF5" w:rsidRDefault="00E338FF" w:rsidP="007A53A2">
      <w:pPr>
        <w:pStyle w:val="ListParagraph"/>
        <w:spacing w:line="360" w:lineRule="auto"/>
        <w:ind w:left="0"/>
        <w:rPr>
          <w:rFonts w:ascii="Times New Roman" w:hAnsi="Times New Roman"/>
          <w:szCs w:val="24"/>
        </w:rPr>
      </w:pPr>
      <w:r w:rsidRPr="00F62DF5">
        <w:rPr>
          <w:rFonts w:ascii="Times New Roman" w:eastAsia="Batang" w:hAnsi="Times New Roman"/>
          <w:szCs w:val="24"/>
        </w:rPr>
        <w:tab/>
      </w:r>
      <w:r w:rsidRPr="00F62DF5">
        <w:rPr>
          <w:rFonts w:ascii="Times New Roman" w:eastAsia="Batang" w:hAnsi="Times New Roman"/>
          <w:szCs w:val="24"/>
        </w:rPr>
        <w:tab/>
      </w:r>
      <w:r w:rsidRPr="00F62DF5">
        <w:rPr>
          <w:rFonts w:ascii="Times New Roman" w:hAnsi="Times New Roman"/>
          <w:szCs w:val="24"/>
        </w:rPr>
        <w:t xml:space="preserve">The Complainant </w:t>
      </w:r>
      <w:r w:rsidR="00F5295F" w:rsidRPr="00F62DF5">
        <w:rPr>
          <w:rFonts w:ascii="Times New Roman" w:hAnsi="Times New Roman"/>
          <w:szCs w:val="24"/>
        </w:rPr>
        <w:t xml:space="preserve">also </w:t>
      </w:r>
      <w:r w:rsidRPr="00F62DF5">
        <w:rPr>
          <w:rFonts w:ascii="Times New Roman" w:hAnsi="Times New Roman"/>
          <w:szCs w:val="24"/>
        </w:rPr>
        <w:t xml:space="preserve">disputed her $34.55 bill dated June 4, 2015, for the period from May 4, 2015 to June 3, 2015.  The usage was 15 ccfs of gas (Tr. 37, 38; PGW Exs. 1, 4).  The Respondent responded to the Complainant’s dispute about her June 2015 bill by letter dated July 13, 2015. </w:t>
      </w:r>
      <w:r w:rsidR="00F5295F" w:rsidRPr="00F62DF5">
        <w:rPr>
          <w:rFonts w:ascii="Times New Roman" w:hAnsi="Times New Roman"/>
          <w:szCs w:val="24"/>
        </w:rPr>
        <w:t xml:space="preserve"> </w:t>
      </w:r>
      <w:r w:rsidRPr="00F62DF5">
        <w:rPr>
          <w:rFonts w:ascii="Times New Roman" w:hAnsi="Times New Roman"/>
          <w:szCs w:val="24"/>
        </w:rPr>
        <w:t xml:space="preserve">The Respondent </w:t>
      </w:r>
      <w:r w:rsidR="00F5295F" w:rsidRPr="00F62DF5">
        <w:rPr>
          <w:rFonts w:ascii="Times New Roman" w:hAnsi="Times New Roman"/>
          <w:szCs w:val="24"/>
        </w:rPr>
        <w:t xml:space="preserve">attached </w:t>
      </w:r>
      <w:r w:rsidRPr="00F62DF5">
        <w:rPr>
          <w:rFonts w:ascii="Times New Roman" w:hAnsi="Times New Roman"/>
          <w:szCs w:val="24"/>
        </w:rPr>
        <w:t xml:space="preserve">the </w:t>
      </w:r>
      <w:r w:rsidR="00F5295F" w:rsidRPr="00F62DF5">
        <w:rPr>
          <w:rFonts w:ascii="Times New Roman" w:hAnsi="Times New Roman"/>
          <w:szCs w:val="24"/>
        </w:rPr>
        <w:t xml:space="preserve">relevant </w:t>
      </w:r>
      <w:r w:rsidRPr="00F62DF5">
        <w:rPr>
          <w:rFonts w:ascii="Times New Roman" w:hAnsi="Times New Roman"/>
          <w:szCs w:val="24"/>
        </w:rPr>
        <w:t xml:space="preserve">account statement and the historical usage </w:t>
      </w:r>
    </w:p>
    <w:p w:rsidR="00E338FF" w:rsidRPr="00F62DF5" w:rsidRDefault="00E338FF" w:rsidP="007A53A2">
      <w:pPr>
        <w:pStyle w:val="ListParagraph"/>
        <w:spacing w:line="360" w:lineRule="auto"/>
        <w:ind w:left="0"/>
        <w:rPr>
          <w:rFonts w:ascii="Times New Roman" w:hAnsi="Times New Roman"/>
          <w:szCs w:val="24"/>
        </w:rPr>
      </w:pPr>
      <w:r w:rsidRPr="00F62DF5">
        <w:rPr>
          <w:rFonts w:ascii="Times New Roman" w:hAnsi="Times New Roman"/>
          <w:szCs w:val="24"/>
        </w:rPr>
        <w:t>(Tr. 37-42; PGW Ex. 5).</w:t>
      </w:r>
    </w:p>
    <w:p w:rsidR="00F5295F" w:rsidRPr="00F62DF5" w:rsidRDefault="00F5295F" w:rsidP="007A53A2">
      <w:pPr>
        <w:pStyle w:val="ListParagraph"/>
        <w:spacing w:line="360" w:lineRule="auto"/>
        <w:ind w:left="0"/>
        <w:rPr>
          <w:rFonts w:ascii="Times New Roman" w:hAnsi="Times New Roman"/>
          <w:szCs w:val="24"/>
        </w:rPr>
      </w:pPr>
    </w:p>
    <w:p w:rsidR="00E338FF" w:rsidRPr="00F62DF5" w:rsidRDefault="00F5295F" w:rsidP="007A53A2">
      <w:pPr>
        <w:pStyle w:val="ListParagraph"/>
        <w:spacing w:line="360" w:lineRule="auto"/>
        <w:ind w:left="0"/>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The record shows that t</w:t>
      </w:r>
      <w:r w:rsidR="00E338FF" w:rsidRPr="00F62DF5">
        <w:rPr>
          <w:rFonts w:ascii="Times New Roman" w:hAnsi="Times New Roman"/>
          <w:szCs w:val="24"/>
        </w:rPr>
        <w:t>he Complainant’s June 2015 bill was similar to her June 2014 bill in the amount of $35.48, for 14 ccfs of gas and to her June 2013 bill in the amount of $36.69, for 16 ccfs of gas (Tr. 37, 38; PGW Exs. 1, 4, 5).</w:t>
      </w:r>
    </w:p>
    <w:p w:rsidR="00C97FEB" w:rsidRPr="00F62DF5" w:rsidRDefault="00C97FEB" w:rsidP="007A53A2">
      <w:pPr>
        <w:pStyle w:val="BodyText"/>
        <w:tabs>
          <w:tab w:val="clear" w:pos="1980"/>
          <w:tab w:val="left" w:pos="0"/>
        </w:tabs>
        <w:spacing w:line="360" w:lineRule="auto"/>
        <w:jc w:val="left"/>
        <w:rPr>
          <w:rFonts w:ascii="Times New Roman" w:hAnsi="Times New Roman"/>
          <w:szCs w:val="24"/>
        </w:rPr>
      </w:pPr>
    </w:p>
    <w:p w:rsidR="00F5295F" w:rsidRPr="00F62DF5" w:rsidRDefault="00F5295F"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In light of the evidence in the record, the Complainant has failed to show that there were incorrect charges on her bill</w:t>
      </w:r>
      <w:r w:rsidR="009973F0">
        <w:rPr>
          <w:rFonts w:ascii="Times New Roman" w:hAnsi="Times New Roman"/>
          <w:szCs w:val="24"/>
        </w:rPr>
        <w:t>s</w:t>
      </w:r>
      <w:r w:rsidRPr="00F62DF5">
        <w:rPr>
          <w:rFonts w:ascii="Times New Roman" w:hAnsi="Times New Roman"/>
          <w:szCs w:val="24"/>
        </w:rPr>
        <w:t>.</w:t>
      </w:r>
    </w:p>
    <w:p w:rsidR="00041BE7" w:rsidRDefault="00041BE7">
      <w:pPr>
        <w:spacing w:line="240" w:lineRule="auto"/>
        <w:rPr>
          <w:szCs w:val="24"/>
        </w:rPr>
      </w:pPr>
    </w:p>
    <w:p w:rsidR="00C97FEB" w:rsidRPr="00F62DF5" w:rsidRDefault="0044097A" w:rsidP="007A53A2">
      <w:pPr>
        <w:pStyle w:val="BodyText"/>
        <w:tabs>
          <w:tab w:val="clear" w:pos="1980"/>
          <w:tab w:val="left" w:pos="0"/>
        </w:tabs>
        <w:spacing w:line="360" w:lineRule="auto"/>
        <w:jc w:val="left"/>
        <w:rPr>
          <w:rFonts w:ascii="Times New Roman" w:hAnsi="Times New Roman"/>
          <w:szCs w:val="24"/>
          <w:u w:val="single"/>
        </w:rPr>
      </w:pPr>
      <w:r>
        <w:rPr>
          <w:rFonts w:ascii="Times New Roman" w:hAnsi="Times New Roman"/>
          <w:szCs w:val="24"/>
          <w:u w:val="single"/>
        </w:rPr>
        <w:t>Payment Arrangement</w:t>
      </w:r>
    </w:p>
    <w:p w:rsidR="00C97FEB" w:rsidRPr="00F62DF5" w:rsidRDefault="00C97FEB" w:rsidP="007A53A2">
      <w:pPr>
        <w:pStyle w:val="BodyText"/>
        <w:tabs>
          <w:tab w:val="clear" w:pos="1980"/>
          <w:tab w:val="left" w:pos="0"/>
        </w:tabs>
        <w:spacing w:line="360" w:lineRule="auto"/>
        <w:jc w:val="left"/>
        <w:rPr>
          <w:rFonts w:ascii="Times New Roman" w:hAnsi="Times New Roman"/>
          <w:szCs w:val="24"/>
        </w:rPr>
      </w:pPr>
    </w:p>
    <w:p w:rsidR="007E343C" w:rsidRPr="00F62DF5" w:rsidRDefault="007E343C"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 xml:space="preserve">During the hearing, the Complainant reported that her gross monthly household income was $1,088.00, which is between 100% and 125% of the federal poverty level (Tr. 8; PGW </w:t>
      </w:r>
      <w:r w:rsidR="00725D70" w:rsidRPr="00F62DF5">
        <w:rPr>
          <w:rFonts w:ascii="Times New Roman" w:hAnsi="Times New Roman"/>
          <w:szCs w:val="24"/>
        </w:rPr>
        <w:t>Ex. 2</w:t>
      </w:r>
      <w:r w:rsidRPr="00F62DF5">
        <w:rPr>
          <w:rFonts w:ascii="Times New Roman" w:hAnsi="Times New Roman"/>
          <w:szCs w:val="24"/>
        </w:rPr>
        <w:t xml:space="preserve">).  The Complainant is the only person in the household (Tr. 8, 9; PGW Ex. </w:t>
      </w:r>
      <w:r w:rsidR="00725D70" w:rsidRPr="00F62DF5">
        <w:rPr>
          <w:rFonts w:ascii="Times New Roman" w:hAnsi="Times New Roman"/>
          <w:szCs w:val="24"/>
        </w:rPr>
        <w:t>2</w:t>
      </w:r>
      <w:r w:rsidRPr="00F62DF5">
        <w:rPr>
          <w:rFonts w:ascii="Times New Roman" w:hAnsi="Times New Roman"/>
          <w:szCs w:val="24"/>
        </w:rPr>
        <w:t>).</w:t>
      </w:r>
      <w:r w:rsidR="00725D70" w:rsidRPr="00F62DF5">
        <w:rPr>
          <w:rFonts w:ascii="Times New Roman" w:hAnsi="Times New Roman"/>
          <w:szCs w:val="24"/>
        </w:rPr>
        <w:t xml:space="preserve">  </w:t>
      </w:r>
      <w:r w:rsidR="0055357D" w:rsidRPr="00F62DF5">
        <w:rPr>
          <w:rFonts w:ascii="Times New Roman" w:hAnsi="Times New Roman"/>
          <w:szCs w:val="24"/>
        </w:rPr>
        <w:t>She reported this same income</w:t>
      </w:r>
      <w:r w:rsidR="00725D70" w:rsidRPr="00F62DF5">
        <w:rPr>
          <w:rFonts w:ascii="Times New Roman" w:hAnsi="Times New Roman"/>
          <w:szCs w:val="24"/>
        </w:rPr>
        <w:t xml:space="preserve"> to </w:t>
      </w:r>
      <w:r w:rsidR="009973F0">
        <w:rPr>
          <w:rFonts w:ascii="Times New Roman" w:hAnsi="Times New Roman"/>
          <w:szCs w:val="24"/>
        </w:rPr>
        <w:t xml:space="preserve">the </w:t>
      </w:r>
      <w:r w:rsidR="009973F0" w:rsidRPr="009973F0">
        <w:rPr>
          <w:rFonts w:ascii="Times New Roman" w:hAnsi="Times New Roman"/>
          <w:szCs w:val="24"/>
        </w:rPr>
        <w:t>Bureau of Consumer Services</w:t>
      </w:r>
      <w:r w:rsidR="00725D70" w:rsidRPr="00F62DF5">
        <w:rPr>
          <w:rFonts w:ascii="Times New Roman" w:hAnsi="Times New Roman"/>
          <w:szCs w:val="24"/>
        </w:rPr>
        <w:t xml:space="preserve"> when she requested a payment arrangement (Tr. 22; PGW Ex. 2).</w:t>
      </w:r>
    </w:p>
    <w:p w:rsidR="007E343C" w:rsidRPr="00F62DF5" w:rsidRDefault="007E343C" w:rsidP="007A53A2">
      <w:pPr>
        <w:pStyle w:val="BodyText"/>
        <w:tabs>
          <w:tab w:val="clear" w:pos="1980"/>
          <w:tab w:val="left" w:pos="0"/>
        </w:tabs>
        <w:spacing w:line="360" w:lineRule="auto"/>
        <w:jc w:val="left"/>
        <w:rPr>
          <w:rFonts w:ascii="Times New Roman" w:hAnsi="Times New Roman"/>
          <w:szCs w:val="24"/>
        </w:rPr>
      </w:pPr>
    </w:p>
    <w:p w:rsidR="00EC10B4" w:rsidRPr="00F62DF5" w:rsidRDefault="007E343C" w:rsidP="007A53A2">
      <w:pPr>
        <w:pStyle w:val="BodyText"/>
        <w:tabs>
          <w:tab w:val="clear" w:pos="198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r>
      <w:r w:rsidR="00725D70" w:rsidRPr="00F62DF5">
        <w:rPr>
          <w:rFonts w:ascii="Times New Roman" w:hAnsi="Times New Roman"/>
          <w:szCs w:val="24"/>
        </w:rPr>
        <w:t>Ms.</w:t>
      </w:r>
      <w:r w:rsidRPr="00F62DF5">
        <w:rPr>
          <w:rFonts w:ascii="Times New Roman" w:hAnsi="Times New Roman"/>
          <w:szCs w:val="24"/>
        </w:rPr>
        <w:t xml:space="preserve"> Moore testified that the Bureau of Consumer Services </w:t>
      </w:r>
      <w:r w:rsidR="00725D70" w:rsidRPr="00F62DF5">
        <w:rPr>
          <w:rFonts w:ascii="Times New Roman" w:hAnsi="Times New Roman"/>
          <w:szCs w:val="24"/>
        </w:rPr>
        <w:t>issued a d</w:t>
      </w:r>
      <w:r w:rsidRPr="00F62DF5">
        <w:rPr>
          <w:rFonts w:ascii="Times New Roman" w:hAnsi="Times New Roman"/>
          <w:szCs w:val="24"/>
        </w:rPr>
        <w:t xml:space="preserve">ecision, dated August 3, 2015, </w:t>
      </w:r>
      <w:r w:rsidR="00725D70" w:rsidRPr="00F62DF5">
        <w:rPr>
          <w:rFonts w:ascii="Times New Roman" w:hAnsi="Times New Roman"/>
          <w:szCs w:val="24"/>
        </w:rPr>
        <w:t>requir</w:t>
      </w:r>
      <w:r w:rsidRPr="00F62DF5">
        <w:rPr>
          <w:rFonts w:ascii="Times New Roman" w:hAnsi="Times New Roman"/>
          <w:szCs w:val="24"/>
        </w:rPr>
        <w:t>ing the Complainant to pay a budget payment of $57.00 plus $15.00 towards the arrearage</w:t>
      </w:r>
      <w:r w:rsidR="000607D9">
        <w:rPr>
          <w:rFonts w:ascii="Times New Roman" w:hAnsi="Times New Roman"/>
          <w:szCs w:val="24"/>
        </w:rPr>
        <w:t>,</w:t>
      </w:r>
      <w:r w:rsidR="00725D70" w:rsidRPr="00F62DF5">
        <w:rPr>
          <w:rFonts w:ascii="Times New Roman" w:hAnsi="Times New Roman"/>
          <w:szCs w:val="24"/>
        </w:rPr>
        <w:t xml:space="preserve"> for a </w:t>
      </w:r>
      <w:r w:rsidRPr="00F62DF5">
        <w:rPr>
          <w:rFonts w:ascii="Times New Roman" w:hAnsi="Times New Roman"/>
          <w:szCs w:val="24"/>
        </w:rPr>
        <w:t xml:space="preserve">total </w:t>
      </w:r>
      <w:r w:rsidR="00725D70" w:rsidRPr="00F62DF5">
        <w:rPr>
          <w:rFonts w:ascii="Times New Roman" w:hAnsi="Times New Roman"/>
          <w:szCs w:val="24"/>
        </w:rPr>
        <w:t xml:space="preserve">of </w:t>
      </w:r>
      <w:r w:rsidRPr="00F62DF5">
        <w:rPr>
          <w:rFonts w:ascii="Times New Roman" w:hAnsi="Times New Roman"/>
          <w:szCs w:val="24"/>
        </w:rPr>
        <w:t xml:space="preserve">$72.00 (Tr. 24; PGW Ex. 3).  </w:t>
      </w:r>
      <w:r w:rsidR="00725D70" w:rsidRPr="00F62DF5">
        <w:rPr>
          <w:rFonts w:ascii="Times New Roman" w:hAnsi="Times New Roman"/>
          <w:szCs w:val="24"/>
        </w:rPr>
        <w:t xml:space="preserve">The </w:t>
      </w:r>
      <w:r w:rsidR="00C97FEB" w:rsidRPr="00F62DF5">
        <w:rPr>
          <w:rFonts w:ascii="Times New Roman" w:hAnsi="Times New Roman"/>
          <w:szCs w:val="24"/>
        </w:rPr>
        <w:t xml:space="preserve">Respondent indicated that </w:t>
      </w:r>
      <w:r w:rsidR="00C97FEB" w:rsidRPr="00F62DF5">
        <w:rPr>
          <w:rFonts w:ascii="Times New Roman" w:hAnsi="Times New Roman"/>
          <w:szCs w:val="24"/>
        </w:rPr>
        <w:lastRenderedPageBreak/>
        <w:t xml:space="preserve">the </w:t>
      </w:r>
      <w:r w:rsidR="00EC2E2D">
        <w:rPr>
          <w:rFonts w:ascii="Times New Roman" w:hAnsi="Times New Roman"/>
          <w:szCs w:val="24"/>
        </w:rPr>
        <w:t>Complainant defaulted on the payment arrangement</w:t>
      </w:r>
      <w:r w:rsidR="00C97FEB" w:rsidRPr="00F62DF5">
        <w:rPr>
          <w:rFonts w:ascii="Times New Roman" w:hAnsi="Times New Roman"/>
          <w:szCs w:val="24"/>
        </w:rPr>
        <w:t xml:space="preserve"> in November 2015</w:t>
      </w:r>
      <w:r w:rsidR="00725D70" w:rsidRPr="00F62DF5">
        <w:rPr>
          <w:rFonts w:ascii="Times New Roman" w:hAnsi="Times New Roman"/>
          <w:szCs w:val="24"/>
        </w:rPr>
        <w:t xml:space="preserve"> (PGW Ex. 2).</w:t>
      </w:r>
      <w:r w:rsidR="00C97FEB" w:rsidRPr="00F62DF5">
        <w:rPr>
          <w:rFonts w:ascii="Times New Roman" w:hAnsi="Times New Roman"/>
          <w:szCs w:val="24"/>
        </w:rPr>
        <w:t xml:space="preserve"> </w:t>
      </w:r>
      <w:r w:rsidR="00725D70" w:rsidRPr="00F62DF5">
        <w:rPr>
          <w:rFonts w:ascii="Times New Roman" w:hAnsi="Times New Roman"/>
          <w:szCs w:val="24"/>
        </w:rPr>
        <w:t xml:space="preserve"> However, </w:t>
      </w:r>
      <w:r w:rsidR="00C97FEB" w:rsidRPr="00F62DF5">
        <w:rPr>
          <w:rFonts w:ascii="Times New Roman" w:hAnsi="Times New Roman"/>
          <w:szCs w:val="24"/>
        </w:rPr>
        <w:t xml:space="preserve">since </w:t>
      </w:r>
      <w:r w:rsidR="0001484F">
        <w:rPr>
          <w:rFonts w:ascii="Times New Roman" w:hAnsi="Times New Roman"/>
          <w:szCs w:val="24"/>
        </w:rPr>
        <w:t>the Complainant appealed the Bureau of Consumer Services’</w:t>
      </w:r>
      <w:r w:rsidR="00C97FEB" w:rsidRPr="00F62DF5">
        <w:rPr>
          <w:rFonts w:ascii="Times New Roman" w:hAnsi="Times New Roman"/>
          <w:szCs w:val="24"/>
        </w:rPr>
        <w:t xml:space="preserve"> decision by filing a </w:t>
      </w:r>
      <w:r w:rsidR="000C7968">
        <w:rPr>
          <w:rFonts w:ascii="Times New Roman" w:hAnsi="Times New Roman"/>
          <w:szCs w:val="24"/>
        </w:rPr>
        <w:t xml:space="preserve">formal </w:t>
      </w:r>
      <w:r w:rsidR="00C97FEB" w:rsidRPr="00F62DF5">
        <w:rPr>
          <w:rFonts w:ascii="Times New Roman" w:hAnsi="Times New Roman"/>
          <w:szCs w:val="24"/>
        </w:rPr>
        <w:t>complaint in September 2015, she did not default on the payment arrangement.</w:t>
      </w:r>
      <w:r w:rsidR="00725D70" w:rsidRPr="00F62DF5">
        <w:rPr>
          <w:rFonts w:ascii="Times New Roman" w:hAnsi="Times New Roman"/>
          <w:szCs w:val="24"/>
        </w:rPr>
        <w:t xml:space="preserve">  </w:t>
      </w:r>
      <w:r w:rsidR="00EC10B4" w:rsidRPr="00F62DF5">
        <w:rPr>
          <w:rFonts w:ascii="Times New Roman" w:hAnsi="Times New Roman"/>
          <w:szCs w:val="24"/>
        </w:rPr>
        <w:t xml:space="preserve">The Commission explained this in </w:t>
      </w:r>
      <w:r w:rsidR="00EC10B4" w:rsidRPr="00F62DF5">
        <w:rPr>
          <w:rFonts w:ascii="Times New Roman" w:hAnsi="Times New Roman"/>
          <w:i/>
          <w:szCs w:val="24"/>
        </w:rPr>
        <w:t>DiOrazio v North East Heat &amp; Light Company</w:t>
      </w:r>
      <w:r w:rsidR="00725D70" w:rsidRPr="00F62DF5">
        <w:rPr>
          <w:rFonts w:ascii="Times New Roman" w:hAnsi="Times New Roman"/>
          <w:szCs w:val="24"/>
        </w:rPr>
        <w:t>, Docket No.</w:t>
      </w:r>
      <w:r w:rsidR="00EC10B4" w:rsidRPr="00F62DF5">
        <w:rPr>
          <w:rFonts w:ascii="Times New Roman" w:hAnsi="Times New Roman"/>
          <w:szCs w:val="24"/>
        </w:rPr>
        <w:t xml:space="preserve"> F-2008-2052918.</w:t>
      </w:r>
    </w:p>
    <w:p w:rsidR="00EC10B4" w:rsidRPr="00F62DF5" w:rsidRDefault="00EC10B4" w:rsidP="007A53A2">
      <w:pPr>
        <w:ind w:firstLine="1440"/>
        <w:rPr>
          <w:szCs w:val="24"/>
        </w:rPr>
      </w:pPr>
    </w:p>
    <w:p w:rsidR="00EC10B4" w:rsidRPr="00F62DF5" w:rsidRDefault="00EC10B4" w:rsidP="007A53A2">
      <w:pPr>
        <w:spacing w:line="240" w:lineRule="auto"/>
        <w:ind w:left="1440" w:right="1440" w:firstLine="720"/>
        <w:rPr>
          <w:szCs w:val="24"/>
        </w:rPr>
      </w:pPr>
      <w:r w:rsidRPr="00F62DF5">
        <w:rPr>
          <w:szCs w:val="24"/>
        </w:rPr>
        <w:t xml:space="preserve">It is true that the Commission may not establish a second or subsequent payment agreement, absent a change in circumstances, if a customer has defaulted on a previous Commission issued agreement.  66 Pa.C.S. § 1405(d).  However, a BCS issued payment arrangement only becomes the one Commission issued payment arrangement, as permitted by Chapter 14, if the decision is not timely appealed.  The Commission has previously determined that “a customer cannot be deemed in default of a timely appealed [BCS] payment agreement . . . until the Formal Complaint on appeal is ultimately adjudicated and a final Order issued by the Commission.  </w:t>
      </w:r>
      <w:r w:rsidRPr="00F62DF5">
        <w:rPr>
          <w:i/>
          <w:szCs w:val="24"/>
        </w:rPr>
        <w:t>Richard Kalamets v. Columbia Gas of Pennsylvania, Inc</w:t>
      </w:r>
      <w:r w:rsidRPr="00F62DF5">
        <w:rPr>
          <w:szCs w:val="24"/>
        </w:rPr>
        <w:t>., Docket No. Z</w:t>
      </w:r>
      <w:r w:rsidR="0055357D" w:rsidRPr="00F62DF5">
        <w:rPr>
          <w:szCs w:val="24"/>
        </w:rPr>
        <w:t>-</w:t>
      </w:r>
      <w:r w:rsidRPr="00F62DF5">
        <w:rPr>
          <w:szCs w:val="24"/>
        </w:rPr>
        <w:t>01701441 (</w:t>
      </w:r>
      <w:r w:rsidR="00725D70" w:rsidRPr="00F62DF5">
        <w:rPr>
          <w:szCs w:val="24"/>
        </w:rPr>
        <w:t xml:space="preserve">Opinion and </w:t>
      </w:r>
      <w:r w:rsidRPr="00F62DF5">
        <w:rPr>
          <w:szCs w:val="24"/>
        </w:rPr>
        <w:t xml:space="preserve">Order entered October 14, 2005).  </w:t>
      </w:r>
    </w:p>
    <w:p w:rsidR="00EC10B4" w:rsidRPr="00F62DF5" w:rsidRDefault="00EC10B4" w:rsidP="007A53A2">
      <w:pPr>
        <w:ind w:left="1440" w:right="1440"/>
        <w:rPr>
          <w:i/>
          <w:szCs w:val="24"/>
        </w:rPr>
      </w:pPr>
    </w:p>
    <w:p w:rsidR="00EC10B4" w:rsidRPr="00F62DF5" w:rsidRDefault="00EC10B4" w:rsidP="007949FC">
      <w:pPr>
        <w:ind w:right="540"/>
        <w:rPr>
          <w:szCs w:val="24"/>
        </w:rPr>
      </w:pPr>
      <w:proofErr w:type="spellStart"/>
      <w:r w:rsidRPr="00F62DF5">
        <w:rPr>
          <w:i/>
          <w:szCs w:val="24"/>
        </w:rPr>
        <w:t>DiOrazio</w:t>
      </w:r>
      <w:proofErr w:type="spellEnd"/>
      <w:r w:rsidRPr="00F62DF5">
        <w:rPr>
          <w:i/>
          <w:szCs w:val="24"/>
        </w:rPr>
        <w:t xml:space="preserve"> v North East Heat &amp; Light Company</w:t>
      </w:r>
      <w:r w:rsidR="00725D70" w:rsidRPr="00F62DF5">
        <w:rPr>
          <w:i/>
          <w:szCs w:val="24"/>
        </w:rPr>
        <w:t>,</w:t>
      </w:r>
      <w:r w:rsidRPr="00F62DF5">
        <w:rPr>
          <w:szCs w:val="24"/>
        </w:rPr>
        <w:t xml:space="preserve"> F-2008-2052918 at 4 (</w:t>
      </w:r>
      <w:r w:rsidR="006B1A56">
        <w:rPr>
          <w:szCs w:val="24"/>
        </w:rPr>
        <w:t>Opinion</w:t>
      </w:r>
      <w:r w:rsidR="007949FC">
        <w:rPr>
          <w:szCs w:val="24"/>
        </w:rPr>
        <w:t xml:space="preserve"> </w:t>
      </w:r>
      <w:r w:rsidR="00725D70" w:rsidRPr="00F62DF5">
        <w:rPr>
          <w:szCs w:val="24"/>
        </w:rPr>
        <w:t xml:space="preserve">and </w:t>
      </w:r>
      <w:r w:rsidRPr="00F62DF5">
        <w:rPr>
          <w:szCs w:val="24"/>
        </w:rPr>
        <w:t>Order entered June 15, 2009).</w:t>
      </w:r>
    </w:p>
    <w:p w:rsidR="00EC10B4" w:rsidRPr="00F62DF5" w:rsidRDefault="00EC10B4" w:rsidP="007949FC">
      <w:pPr>
        <w:ind w:left="1440" w:right="1170"/>
        <w:rPr>
          <w:szCs w:val="24"/>
        </w:rPr>
      </w:pPr>
    </w:p>
    <w:p w:rsidR="000C0722" w:rsidRPr="00F62DF5" w:rsidRDefault="000C0722" w:rsidP="007A53A2">
      <w:pPr>
        <w:pStyle w:val="BodyText"/>
        <w:tabs>
          <w:tab w:val="clear" w:pos="1980"/>
          <w:tab w:val="left" w:pos="-1710"/>
          <w:tab w:val="left" w:pos="-1620"/>
          <w:tab w:val="left" w:pos="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r>
      <w:r w:rsidRPr="00F62DF5">
        <w:rPr>
          <w:rFonts w:ascii="Times New Roman" w:hAnsi="Times New Roman"/>
          <w:spacing w:val="-3"/>
          <w:szCs w:val="24"/>
        </w:rPr>
        <w:t>The Commission follows the rules set forth in the Responsible Utility Customer Protection Act, 66 Pa.C.S. § 1401</w:t>
      </w:r>
      <w:r w:rsidRPr="00F62DF5">
        <w:rPr>
          <w:rFonts w:ascii="Times New Roman" w:hAnsi="Times New Roman"/>
          <w:i/>
          <w:spacing w:val="-3"/>
          <w:szCs w:val="24"/>
        </w:rPr>
        <w:t xml:space="preserve"> et seq.,</w:t>
      </w:r>
      <w:r w:rsidR="00C84400" w:rsidRPr="00F62DF5">
        <w:rPr>
          <w:rFonts w:ascii="Times New Roman" w:hAnsi="Times New Roman"/>
          <w:i/>
          <w:spacing w:val="-3"/>
          <w:szCs w:val="24"/>
        </w:rPr>
        <w:t xml:space="preserve"> </w:t>
      </w:r>
      <w:r w:rsidRPr="00F62DF5">
        <w:rPr>
          <w:rFonts w:ascii="Times New Roman" w:hAnsi="Times New Roman"/>
          <w:spacing w:val="-3"/>
          <w:szCs w:val="24"/>
        </w:rPr>
        <w:t xml:space="preserve">when it addresses payment arrangements.  </w:t>
      </w:r>
      <w:r w:rsidRPr="00F62DF5">
        <w:rPr>
          <w:rFonts w:ascii="Times New Roman" w:hAnsi="Times New Roman"/>
          <w:szCs w:val="24"/>
        </w:rPr>
        <w:t>Section 1405 (d)-(f) provides guidelines for determining whether a payment arrangement can be issued and the length of the payment arrangement.  Those sections provide:</w:t>
      </w:r>
    </w:p>
    <w:p w:rsidR="0055357D" w:rsidRPr="00F62DF5" w:rsidRDefault="0055357D" w:rsidP="007A53A2">
      <w:pPr>
        <w:pStyle w:val="BodyText"/>
        <w:tabs>
          <w:tab w:val="left" w:pos="-1710"/>
          <w:tab w:val="left" w:pos="-1620"/>
        </w:tabs>
        <w:spacing w:line="240" w:lineRule="auto"/>
        <w:ind w:left="1440" w:right="1440"/>
        <w:rPr>
          <w:rFonts w:ascii="Times New Roman" w:hAnsi="Times New Roman"/>
          <w:szCs w:val="24"/>
        </w:rPr>
      </w:pPr>
    </w:p>
    <w:p w:rsidR="00910938" w:rsidRPr="00F62DF5" w:rsidRDefault="00CD07B3" w:rsidP="007A53A2">
      <w:pPr>
        <w:pStyle w:val="BodyText"/>
        <w:tabs>
          <w:tab w:val="left" w:pos="-1710"/>
          <w:tab w:val="left" w:pos="-1620"/>
        </w:tabs>
        <w:spacing w:line="240" w:lineRule="auto"/>
        <w:ind w:left="1440" w:right="1440"/>
        <w:rPr>
          <w:rFonts w:ascii="Times New Roman" w:hAnsi="Times New Roman"/>
          <w:szCs w:val="24"/>
        </w:rPr>
      </w:pPr>
      <w:r>
        <w:rPr>
          <w:rFonts w:ascii="Times New Roman" w:hAnsi="Times New Roman"/>
          <w:szCs w:val="24"/>
        </w:rPr>
        <w:t>§ 1405.  Payment arrangements</w:t>
      </w:r>
      <w:r w:rsidR="00910938" w:rsidRPr="00F62DF5">
        <w:rPr>
          <w:rFonts w:ascii="Times New Roman" w:hAnsi="Times New Roman"/>
          <w:szCs w:val="24"/>
        </w:rPr>
        <w:t xml:space="preserve">. </w:t>
      </w:r>
    </w:p>
    <w:p w:rsidR="00910938" w:rsidRPr="00F62DF5" w:rsidRDefault="00910938" w:rsidP="007A53A2">
      <w:pPr>
        <w:pStyle w:val="BodyText"/>
        <w:tabs>
          <w:tab w:val="left" w:pos="-1710"/>
          <w:tab w:val="left" w:pos="-1620"/>
        </w:tabs>
        <w:spacing w:line="240" w:lineRule="auto"/>
        <w:ind w:left="1440" w:right="1440"/>
        <w:rPr>
          <w:rFonts w:ascii="Times New Roman" w:hAnsi="Times New Roman"/>
          <w:szCs w:val="24"/>
        </w:rPr>
      </w:pPr>
    </w:p>
    <w:p w:rsidR="00910938" w:rsidRPr="00F62DF5" w:rsidRDefault="00910938" w:rsidP="007A53A2">
      <w:pPr>
        <w:pStyle w:val="BodyText"/>
        <w:tabs>
          <w:tab w:val="left" w:pos="-1710"/>
          <w:tab w:val="left" w:pos="-1620"/>
        </w:tabs>
        <w:spacing w:line="240" w:lineRule="auto"/>
        <w:ind w:left="1440" w:right="1440"/>
        <w:rPr>
          <w:rFonts w:ascii="Times New Roman" w:hAnsi="Times New Roman"/>
          <w:szCs w:val="24"/>
        </w:rPr>
      </w:pPr>
      <w:r w:rsidRPr="00F62DF5">
        <w:rPr>
          <w:rFonts w:ascii="Times New Roman" w:hAnsi="Times New Roman"/>
          <w:szCs w:val="24"/>
        </w:rPr>
        <w:t>(a)  General rule. --The commission is authorized to investigate complaints regarding payment disputes between a public utility, applicants and customers. The commission is authorize</w:t>
      </w:r>
      <w:r w:rsidR="006221E1">
        <w:rPr>
          <w:rFonts w:ascii="Times New Roman" w:hAnsi="Times New Roman"/>
          <w:szCs w:val="24"/>
        </w:rPr>
        <w:t>d to establish payment arrangement</w:t>
      </w:r>
      <w:r w:rsidRPr="00F62DF5">
        <w:rPr>
          <w:rFonts w:ascii="Times New Roman" w:hAnsi="Times New Roman"/>
          <w:szCs w:val="24"/>
        </w:rPr>
        <w:t>s between a public utility, customers and applicants within the limits established by this chapter.</w:t>
      </w:r>
    </w:p>
    <w:p w:rsidR="00910938" w:rsidRPr="00F62DF5" w:rsidRDefault="00910938" w:rsidP="007A53A2">
      <w:pPr>
        <w:pStyle w:val="BodyText"/>
        <w:tabs>
          <w:tab w:val="left" w:pos="-1710"/>
          <w:tab w:val="left" w:pos="-1620"/>
        </w:tabs>
        <w:spacing w:line="240" w:lineRule="auto"/>
        <w:ind w:left="1440" w:right="1440"/>
        <w:rPr>
          <w:rFonts w:ascii="Times New Roman" w:hAnsi="Times New Roman"/>
          <w:szCs w:val="24"/>
        </w:rPr>
      </w:pPr>
    </w:p>
    <w:p w:rsidR="00910938" w:rsidRDefault="006221E1" w:rsidP="007A53A2">
      <w:pPr>
        <w:pStyle w:val="BodyText"/>
        <w:tabs>
          <w:tab w:val="left" w:pos="-1710"/>
          <w:tab w:val="left" w:pos="-1620"/>
        </w:tabs>
        <w:spacing w:line="240" w:lineRule="auto"/>
        <w:ind w:left="1440" w:right="1440"/>
        <w:rPr>
          <w:rFonts w:ascii="Times New Roman" w:hAnsi="Times New Roman"/>
          <w:szCs w:val="24"/>
        </w:rPr>
      </w:pPr>
      <w:r>
        <w:rPr>
          <w:rFonts w:ascii="Times New Roman" w:hAnsi="Times New Roman"/>
          <w:szCs w:val="24"/>
        </w:rPr>
        <w:t>(b)  Length of payment arrangement</w:t>
      </w:r>
      <w:r w:rsidR="00910938" w:rsidRPr="00F62DF5">
        <w:rPr>
          <w:rFonts w:ascii="Times New Roman" w:hAnsi="Times New Roman"/>
          <w:szCs w:val="24"/>
        </w:rPr>
        <w:t xml:space="preserve">s. --The length of time for a customer to </w:t>
      </w:r>
      <w:r w:rsidR="00910938" w:rsidRPr="00283F36">
        <w:rPr>
          <w:rFonts w:ascii="Times New Roman" w:hAnsi="Times New Roman"/>
          <w:b/>
          <w:szCs w:val="24"/>
        </w:rPr>
        <w:t>resolve an unpaid balance on an account</w:t>
      </w:r>
      <w:r w:rsidR="00910938" w:rsidRPr="00F62DF5">
        <w:rPr>
          <w:rFonts w:ascii="Times New Roman" w:hAnsi="Times New Roman"/>
          <w:szCs w:val="24"/>
        </w:rPr>
        <w:t xml:space="preserve"> that i</w:t>
      </w:r>
      <w:r w:rsidR="00D717B5">
        <w:rPr>
          <w:rFonts w:ascii="Times New Roman" w:hAnsi="Times New Roman"/>
          <w:szCs w:val="24"/>
        </w:rPr>
        <w:t>s subject to a payment arrangement</w:t>
      </w:r>
      <w:r w:rsidR="00910938" w:rsidRPr="00F62DF5">
        <w:rPr>
          <w:rFonts w:ascii="Times New Roman" w:hAnsi="Times New Roman"/>
          <w:szCs w:val="24"/>
        </w:rPr>
        <w:t xml:space="preserve"> that is investigated by the </w:t>
      </w:r>
      <w:r w:rsidR="00910938" w:rsidRPr="00F62DF5">
        <w:rPr>
          <w:rFonts w:ascii="Times New Roman" w:hAnsi="Times New Roman"/>
          <w:szCs w:val="24"/>
        </w:rPr>
        <w:lastRenderedPageBreak/>
        <w:t>commission and is entered into by a public utility and a customer shall not extend beyond:</w:t>
      </w:r>
    </w:p>
    <w:p w:rsidR="00EE63AA" w:rsidRPr="00F62DF5" w:rsidRDefault="00EE63AA" w:rsidP="007A53A2">
      <w:pPr>
        <w:pStyle w:val="BodyText"/>
        <w:tabs>
          <w:tab w:val="left" w:pos="-1710"/>
          <w:tab w:val="left" w:pos="-1620"/>
        </w:tabs>
        <w:spacing w:line="240" w:lineRule="auto"/>
        <w:ind w:left="1440" w:right="1440"/>
        <w:rPr>
          <w:rFonts w:ascii="Times New Roman" w:hAnsi="Times New Roman"/>
          <w:szCs w:val="24"/>
        </w:rPr>
      </w:pPr>
    </w:p>
    <w:p w:rsidR="00910938" w:rsidRPr="00F62DF5" w:rsidRDefault="00910938" w:rsidP="007A53A2">
      <w:pPr>
        <w:pStyle w:val="BodyText"/>
        <w:tabs>
          <w:tab w:val="left" w:pos="-1710"/>
          <w:tab w:val="left" w:pos="-1620"/>
        </w:tabs>
        <w:spacing w:line="240" w:lineRule="auto"/>
        <w:ind w:left="1440" w:right="1440"/>
        <w:jc w:val="left"/>
        <w:rPr>
          <w:rFonts w:ascii="Times New Roman" w:hAnsi="Times New Roman"/>
          <w:szCs w:val="24"/>
        </w:rPr>
      </w:pPr>
      <w:r w:rsidRPr="00F62DF5">
        <w:rPr>
          <w:rFonts w:ascii="Times New Roman" w:hAnsi="Times New Roman"/>
          <w:szCs w:val="24"/>
        </w:rPr>
        <w:t xml:space="preserve">   (1) Five years for customers with a gross monthly household income level not exceeding 150% of the Federal poverty level. </w:t>
      </w:r>
    </w:p>
    <w:p w:rsidR="000C0722" w:rsidRPr="00F62DF5" w:rsidRDefault="00283F36" w:rsidP="007A53A2">
      <w:pPr>
        <w:pStyle w:val="BodyText"/>
        <w:tabs>
          <w:tab w:val="clear" w:pos="1980"/>
          <w:tab w:val="left" w:pos="-1710"/>
          <w:tab w:val="left" w:pos="-162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Emphasis added.</w:t>
      </w:r>
    </w:p>
    <w:p w:rsidR="00283F36" w:rsidRDefault="00283F36" w:rsidP="007A53A2">
      <w:pPr>
        <w:pStyle w:val="BodyText"/>
        <w:tabs>
          <w:tab w:val="clear" w:pos="1980"/>
          <w:tab w:val="left" w:pos="-1710"/>
          <w:tab w:val="left" w:pos="-1620"/>
          <w:tab w:val="left" w:pos="0"/>
        </w:tabs>
        <w:spacing w:line="360" w:lineRule="auto"/>
        <w:jc w:val="left"/>
        <w:rPr>
          <w:rFonts w:ascii="Times New Roman" w:hAnsi="Times New Roman"/>
          <w:szCs w:val="24"/>
        </w:rPr>
      </w:pPr>
    </w:p>
    <w:p w:rsidR="00DF2B3C" w:rsidRDefault="00910938" w:rsidP="007A53A2">
      <w:pPr>
        <w:pStyle w:val="BodyText"/>
        <w:tabs>
          <w:tab w:val="clear" w:pos="1980"/>
          <w:tab w:val="left" w:pos="-1710"/>
          <w:tab w:val="left" w:pos="-1620"/>
          <w:tab w:val="left" w:pos="0"/>
        </w:tabs>
        <w:spacing w:line="360" w:lineRule="auto"/>
        <w:jc w:val="left"/>
        <w:rPr>
          <w:rFonts w:ascii="Times New Roman" w:hAnsi="Times New Roman"/>
          <w:bCs/>
          <w:spacing w:val="-3"/>
          <w:szCs w:val="24"/>
        </w:rPr>
      </w:pPr>
      <w:r w:rsidRPr="00F62DF5">
        <w:rPr>
          <w:rFonts w:ascii="Times New Roman" w:hAnsi="Times New Roman"/>
          <w:szCs w:val="24"/>
        </w:rPr>
        <w:tab/>
      </w:r>
      <w:r w:rsidRPr="00F62DF5">
        <w:rPr>
          <w:rFonts w:ascii="Times New Roman" w:hAnsi="Times New Roman"/>
          <w:szCs w:val="24"/>
        </w:rPr>
        <w:tab/>
      </w:r>
      <w:r w:rsidR="00C97FEB" w:rsidRPr="00F62DF5">
        <w:rPr>
          <w:rFonts w:ascii="Times New Roman" w:hAnsi="Times New Roman"/>
          <w:szCs w:val="24"/>
        </w:rPr>
        <w:t>Although t</w:t>
      </w:r>
      <w:r w:rsidR="005628A0" w:rsidRPr="00F62DF5">
        <w:rPr>
          <w:rFonts w:ascii="Times New Roman" w:hAnsi="Times New Roman"/>
          <w:bCs/>
          <w:spacing w:val="-3"/>
          <w:szCs w:val="24"/>
        </w:rPr>
        <w:t xml:space="preserve">he </w:t>
      </w:r>
      <w:r w:rsidR="00DF2B3C" w:rsidRPr="00F62DF5">
        <w:rPr>
          <w:rFonts w:ascii="Times New Roman" w:hAnsi="Times New Roman"/>
          <w:bCs/>
          <w:spacing w:val="-3"/>
          <w:szCs w:val="24"/>
        </w:rPr>
        <w:t>C</w:t>
      </w:r>
      <w:r w:rsidR="005628A0" w:rsidRPr="00F62DF5">
        <w:rPr>
          <w:rFonts w:ascii="Times New Roman" w:hAnsi="Times New Roman"/>
          <w:bCs/>
          <w:spacing w:val="-3"/>
          <w:szCs w:val="24"/>
        </w:rPr>
        <w:t>omplainant</w:t>
      </w:r>
      <w:r w:rsidR="00DF2B3C" w:rsidRPr="00F62DF5">
        <w:rPr>
          <w:rFonts w:ascii="Times New Roman" w:hAnsi="Times New Roman"/>
          <w:bCs/>
          <w:spacing w:val="-3"/>
          <w:szCs w:val="24"/>
        </w:rPr>
        <w:t xml:space="preserve"> did not appear at the further hearing</w:t>
      </w:r>
      <w:r w:rsidR="00C97FEB" w:rsidRPr="00F62DF5">
        <w:rPr>
          <w:rFonts w:ascii="Times New Roman" w:hAnsi="Times New Roman"/>
          <w:bCs/>
          <w:spacing w:val="-3"/>
          <w:szCs w:val="24"/>
        </w:rPr>
        <w:t xml:space="preserve">, she had </w:t>
      </w:r>
      <w:r w:rsidR="005628A0" w:rsidRPr="00F62DF5">
        <w:rPr>
          <w:rFonts w:ascii="Times New Roman" w:hAnsi="Times New Roman"/>
          <w:bCs/>
          <w:spacing w:val="-3"/>
          <w:szCs w:val="24"/>
        </w:rPr>
        <w:t xml:space="preserve">already provided testimony regarding the bills she was contesting and </w:t>
      </w:r>
      <w:r w:rsidR="00283F36">
        <w:rPr>
          <w:rFonts w:ascii="Times New Roman" w:hAnsi="Times New Roman"/>
          <w:bCs/>
          <w:spacing w:val="-3"/>
          <w:szCs w:val="24"/>
        </w:rPr>
        <w:t xml:space="preserve">submitted an exhibit regarding </w:t>
      </w:r>
      <w:r w:rsidR="005628A0" w:rsidRPr="00F62DF5">
        <w:rPr>
          <w:rFonts w:ascii="Times New Roman" w:hAnsi="Times New Roman"/>
          <w:bCs/>
          <w:spacing w:val="-3"/>
          <w:szCs w:val="24"/>
        </w:rPr>
        <w:t xml:space="preserve">the amount of the LIHEAP payments.  </w:t>
      </w:r>
      <w:r w:rsidR="00C97FEB" w:rsidRPr="00F62DF5">
        <w:rPr>
          <w:rFonts w:ascii="Times New Roman" w:hAnsi="Times New Roman"/>
          <w:bCs/>
          <w:spacing w:val="-3"/>
          <w:szCs w:val="24"/>
        </w:rPr>
        <w:t xml:space="preserve">During the further </w:t>
      </w:r>
      <w:r w:rsidR="0055357D" w:rsidRPr="00F62DF5">
        <w:rPr>
          <w:rFonts w:ascii="Times New Roman" w:hAnsi="Times New Roman"/>
          <w:bCs/>
          <w:spacing w:val="-3"/>
          <w:szCs w:val="24"/>
        </w:rPr>
        <w:t>hearing,</w:t>
      </w:r>
      <w:r w:rsidR="00C97FEB" w:rsidRPr="00F62DF5">
        <w:rPr>
          <w:rFonts w:ascii="Times New Roman" w:hAnsi="Times New Roman"/>
          <w:bCs/>
          <w:spacing w:val="-3"/>
          <w:szCs w:val="24"/>
        </w:rPr>
        <w:t xml:space="preserve"> </w:t>
      </w:r>
      <w:r w:rsidR="0055357D" w:rsidRPr="00F62DF5">
        <w:rPr>
          <w:rFonts w:ascii="Times New Roman" w:hAnsi="Times New Roman"/>
          <w:bCs/>
          <w:spacing w:val="-3"/>
          <w:szCs w:val="24"/>
        </w:rPr>
        <w:t xml:space="preserve">Ms. </w:t>
      </w:r>
      <w:r w:rsidR="00DF2B3C" w:rsidRPr="00F62DF5">
        <w:rPr>
          <w:rFonts w:ascii="Times New Roman" w:hAnsi="Times New Roman"/>
          <w:bCs/>
          <w:spacing w:val="-3"/>
          <w:szCs w:val="24"/>
        </w:rPr>
        <w:t xml:space="preserve">Moore testified and sponsored </w:t>
      </w:r>
      <w:r w:rsidR="0055357D" w:rsidRPr="00F62DF5">
        <w:rPr>
          <w:rFonts w:ascii="Times New Roman" w:hAnsi="Times New Roman"/>
          <w:bCs/>
          <w:spacing w:val="-3"/>
          <w:szCs w:val="24"/>
        </w:rPr>
        <w:t>PGW Exhibit 7, the a</w:t>
      </w:r>
      <w:r w:rsidR="00DF2B3C" w:rsidRPr="00F62DF5">
        <w:rPr>
          <w:rFonts w:ascii="Times New Roman" w:hAnsi="Times New Roman"/>
          <w:bCs/>
          <w:spacing w:val="-3"/>
          <w:szCs w:val="24"/>
        </w:rPr>
        <w:t>ccount statement for December 3, 20</w:t>
      </w:r>
      <w:r w:rsidR="005628A0" w:rsidRPr="00F62DF5">
        <w:rPr>
          <w:rFonts w:ascii="Times New Roman" w:hAnsi="Times New Roman"/>
          <w:bCs/>
          <w:spacing w:val="-3"/>
          <w:szCs w:val="24"/>
        </w:rPr>
        <w:t>1</w:t>
      </w:r>
      <w:r w:rsidR="00DF2B3C" w:rsidRPr="00F62DF5">
        <w:rPr>
          <w:rFonts w:ascii="Times New Roman" w:hAnsi="Times New Roman"/>
          <w:bCs/>
          <w:spacing w:val="-3"/>
          <w:szCs w:val="24"/>
        </w:rPr>
        <w:t xml:space="preserve">5 through June 4, 2016. </w:t>
      </w:r>
      <w:r w:rsidR="00C97FEB" w:rsidRPr="00F62DF5">
        <w:rPr>
          <w:rFonts w:ascii="Times New Roman" w:hAnsi="Times New Roman"/>
          <w:bCs/>
          <w:spacing w:val="-3"/>
          <w:szCs w:val="24"/>
        </w:rPr>
        <w:t xml:space="preserve"> </w:t>
      </w:r>
      <w:r w:rsidR="00DF2B3C" w:rsidRPr="00F62DF5">
        <w:rPr>
          <w:rFonts w:ascii="Times New Roman" w:hAnsi="Times New Roman"/>
          <w:bCs/>
          <w:spacing w:val="-3"/>
          <w:szCs w:val="24"/>
        </w:rPr>
        <w:t>B</w:t>
      </w:r>
      <w:r w:rsidR="0055357D" w:rsidRPr="00F62DF5">
        <w:rPr>
          <w:rFonts w:ascii="Times New Roman" w:hAnsi="Times New Roman"/>
          <w:bCs/>
          <w:spacing w:val="-3"/>
          <w:szCs w:val="24"/>
        </w:rPr>
        <w:t>oth parties had previously submitt</w:t>
      </w:r>
      <w:r w:rsidR="00DF2B3C" w:rsidRPr="00F62DF5">
        <w:rPr>
          <w:rFonts w:ascii="Times New Roman" w:hAnsi="Times New Roman"/>
          <w:bCs/>
          <w:spacing w:val="-3"/>
          <w:szCs w:val="24"/>
        </w:rPr>
        <w:t xml:space="preserve">ed </w:t>
      </w:r>
      <w:r w:rsidR="0055357D" w:rsidRPr="00F62DF5">
        <w:rPr>
          <w:rFonts w:ascii="Times New Roman" w:hAnsi="Times New Roman"/>
          <w:bCs/>
          <w:spacing w:val="-3"/>
          <w:szCs w:val="24"/>
        </w:rPr>
        <w:t xml:space="preserve">evidence that the Complainant received </w:t>
      </w:r>
      <w:r w:rsidR="00DF2B3C" w:rsidRPr="00F62DF5">
        <w:rPr>
          <w:rFonts w:ascii="Times New Roman" w:hAnsi="Times New Roman"/>
          <w:bCs/>
          <w:spacing w:val="-3"/>
          <w:szCs w:val="24"/>
        </w:rPr>
        <w:t xml:space="preserve">LIHEAP payments </w:t>
      </w:r>
      <w:r w:rsidR="0055357D" w:rsidRPr="00F62DF5">
        <w:rPr>
          <w:rFonts w:ascii="Times New Roman" w:hAnsi="Times New Roman"/>
          <w:bCs/>
          <w:spacing w:val="-3"/>
          <w:szCs w:val="24"/>
        </w:rPr>
        <w:t xml:space="preserve">for </w:t>
      </w:r>
      <w:r w:rsidR="00DF2B3C" w:rsidRPr="00F62DF5">
        <w:rPr>
          <w:rFonts w:ascii="Times New Roman" w:hAnsi="Times New Roman"/>
          <w:bCs/>
          <w:spacing w:val="-3"/>
          <w:szCs w:val="24"/>
        </w:rPr>
        <w:t>$157</w:t>
      </w:r>
      <w:r w:rsidR="0055357D" w:rsidRPr="00F62DF5">
        <w:rPr>
          <w:rFonts w:ascii="Times New Roman" w:hAnsi="Times New Roman"/>
          <w:bCs/>
          <w:spacing w:val="-3"/>
          <w:szCs w:val="24"/>
        </w:rPr>
        <w:t>.00</w:t>
      </w:r>
      <w:r w:rsidR="00DF2B3C" w:rsidRPr="00F62DF5">
        <w:rPr>
          <w:rFonts w:ascii="Times New Roman" w:hAnsi="Times New Roman"/>
          <w:bCs/>
          <w:spacing w:val="-3"/>
          <w:szCs w:val="24"/>
        </w:rPr>
        <w:t xml:space="preserve"> and </w:t>
      </w:r>
      <w:r w:rsidR="0055357D" w:rsidRPr="00F62DF5">
        <w:rPr>
          <w:rFonts w:ascii="Times New Roman" w:hAnsi="Times New Roman"/>
          <w:bCs/>
          <w:spacing w:val="-3"/>
          <w:szCs w:val="24"/>
        </w:rPr>
        <w:t>$</w:t>
      </w:r>
      <w:r w:rsidR="00DF2B3C" w:rsidRPr="00F62DF5">
        <w:rPr>
          <w:rFonts w:ascii="Times New Roman" w:hAnsi="Times New Roman"/>
          <w:bCs/>
          <w:spacing w:val="-3"/>
          <w:szCs w:val="24"/>
        </w:rPr>
        <w:t>70</w:t>
      </w:r>
      <w:r w:rsidR="0055357D" w:rsidRPr="00F62DF5">
        <w:rPr>
          <w:rFonts w:ascii="Times New Roman" w:hAnsi="Times New Roman"/>
          <w:bCs/>
          <w:spacing w:val="-3"/>
          <w:szCs w:val="24"/>
        </w:rPr>
        <w:t>.00</w:t>
      </w:r>
      <w:r w:rsidR="00DF2B3C" w:rsidRPr="00F62DF5">
        <w:rPr>
          <w:rFonts w:ascii="Times New Roman" w:hAnsi="Times New Roman"/>
          <w:bCs/>
          <w:spacing w:val="-3"/>
          <w:szCs w:val="24"/>
        </w:rPr>
        <w:t xml:space="preserve">.  </w:t>
      </w:r>
      <w:r w:rsidR="0055357D" w:rsidRPr="00F62DF5">
        <w:rPr>
          <w:rFonts w:ascii="Times New Roman" w:hAnsi="Times New Roman"/>
          <w:bCs/>
          <w:spacing w:val="-3"/>
          <w:szCs w:val="24"/>
        </w:rPr>
        <w:t xml:space="preserve">The Respondent presented evidence to show that the payments were posted on December 30, 2015.  In addition, </w:t>
      </w:r>
      <w:r w:rsidR="00F62DF5" w:rsidRPr="00F62DF5">
        <w:rPr>
          <w:rFonts w:ascii="Times New Roman" w:hAnsi="Times New Roman"/>
          <w:bCs/>
          <w:spacing w:val="-3"/>
          <w:szCs w:val="24"/>
        </w:rPr>
        <w:t xml:space="preserve">the Complainant made two payments on </w:t>
      </w:r>
      <w:r w:rsidR="00DF2B3C" w:rsidRPr="00F62DF5">
        <w:rPr>
          <w:rFonts w:ascii="Times New Roman" w:hAnsi="Times New Roman"/>
          <w:bCs/>
          <w:spacing w:val="-3"/>
          <w:szCs w:val="24"/>
        </w:rPr>
        <w:t>May 19</w:t>
      </w:r>
      <w:r w:rsidR="00F62DF5" w:rsidRPr="00F62DF5">
        <w:rPr>
          <w:rFonts w:ascii="Times New Roman" w:hAnsi="Times New Roman"/>
          <w:bCs/>
          <w:spacing w:val="-3"/>
          <w:szCs w:val="24"/>
        </w:rPr>
        <w:t xml:space="preserve">, 2015 in the amount of $31.80 and </w:t>
      </w:r>
      <w:r w:rsidR="00DF2B3C" w:rsidRPr="00F62DF5">
        <w:rPr>
          <w:rFonts w:ascii="Times New Roman" w:hAnsi="Times New Roman"/>
          <w:bCs/>
          <w:spacing w:val="-3"/>
          <w:szCs w:val="24"/>
        </w:rPr>
        <w:t>$449.65</w:t>
      </w:r>
      <w:r w:rsidR="00F62DF5" w:rsidRPr="00F62DF5">
        <w:rPr>
          <w:rFonts w:ascii="Times New Roman" w:hAnsi="Times New Roman"/>
          <w:bCs/>
          <w:spacing w:val="-3"/>
          <w:szCs w:val="24"/>
        </w:rPr>
        <w:t xml:space="preserve"> for a total of $481.45.</w:t>
      </w:r>
      <w:r w:rsidR="00DF2B3C" w:rsidRPr="00F62DF5">
        <w:rPr>
          <w:rFonts w:ascii="Times New Roman" w:hAnsi="Times New Roman"/>
          <w:bCs/>
          <w:spacing w:val="-3"/>
          <w:szCs w:val="24"/>
        </w:rPr>
        <w:t xml:space="preserve"> </w:t>
      </w:r>
      <w:r w:rsidR="00F62DF5" w:rsidRPr="00F62DF5">
        <w:rPr>
          <w:rFonts w:ascii="Times New Roman" w:hAnsi="Times New Roman"/>
          <w:bCs/>
          <w:spacing w:val="-3"/>
          <w:szCs w:val="24"/>
        </w:rPr>
        <w:t xml:space="preserve"> Therefore, o</w:t>
      </w:r>
      <w:r w:rsidR="00DF2B3C" w:rsidRPr="00F62DF5">
        <w:rPr>
          <w:rFonts w:ascii="Times New Roman" w:hAnsi="Times New Roman"/>
          <w:bCs/>
          <w:spacing w:val="-3"/>
          <w:szCs w:val="24"/>
        </w:rPr>
        <w:t xml:space="preserve">n June 13, 2016, the </w:t>
      </w:r>
      <w:r w:rsidR="00283F36" w:rsidRPr="00F62DF5">
        <w:rPr>
          <w:rFonts w:ascii="Times New Roman" w:hAnsi="Times New Roman"/>
          <w:bCs/>
          <w:spacing w:val="-3"/>
          <w:szCs w:val="24"/>
        </w:rPr>
        <w:t xml:space="preserve">Complainant </w:t>
      </w:r>
      <w:r w:rsidR="00DF2B3C" w:rsidRPr="00F62DF5">
        <w:rPr>
          <w:rFonts w:ascii="Times New Roman" w:hAnsi="Times New Roman"/>
          <w:bCs/>
          <w:spacing w:val="-3"/>
          <w:szCs w:val="24"/>
        </w:rPr>
        <w:t>only owed $</w:t>
      </w:r>
      <w:r w:rsidR="00C84400" w:rsidRPr="00F62DF5">
        <w:rPr>
          <w:rFonts w:ascii="Times New Roman" w:hAnsi="Times New Roman"/>
          <w:bCs/>
          <w:spacing w:val="-3"/>
          <w:szCs w:val="24"/>
        </w:rPr>
        <w:t xml:space="preserve">16.66, </w:t>
      </w:r>
      <w:r w:rsidR="00283F36">
        <w:rPr>
          <w:rFonts w:ascii="Times New Roman" w:hAnsi="Times New Roman"/>
          <w:bCs/>
          <w:spacing w:val="-3"/>
          <w:szCs w:val="24"/>
        </w:rPr>
        <w:t xml:space="preserve">the current amount </w:t>
      </w:r>
      <w:r w:rsidR="00DF2B3C" w:rsidRPr="00F62DF5">
        <w:rPr>
          <w:rFonts w:ascii="Times New Roman" w:hAnsi="Times New Roman"/>
          <w:bCs/>
          <w:spacing w:val="-3"/>
          <w:szCs w:val="24"/>
        </w:rPr>
        <w:t xml:space="preserve">due </w:t>
      </w:r>
      <w:r w:rsidR="00283F36">
        <w:rPr>
          <w:rFonts w:ascii="Times New Roman" w:hAnsi="Times New Roman"/>
          <w:bCs/>
          <w:spacing w:val="-3"/>
          <w:szCs w:val="24"/>
        </w:rPr>
        <w:t xml:space="preserve">on </w:t>
      </w:r>
      <w:r w:rsidR="00DF2B3C" w:rsidRPr="00F62DF5">
        <w:rPr>
          <w:rFonts w:ascii="Times New Roman" w:hAnsi="Times New Roman"/>
          <w:bCs/>
          <w:spacing w:val="-3"/>
          <w:szCs w:val="24"/>
        </w:rPr>
        <w:t xml:space="preserve">June 28, 2016.  </w:t>
      </w:r>
      <w:r w:rsidR="00F62DF5">
        <w:rPr>
          <w:rFonts w:ascii="Times New Roman" w:hAnsi="Times New Roman"/>
          <w:bCs/>
          <w:spacing w:val="-3"/>
          <w:szCs w:val="24"/>
        </w:rPr>
        <w:t>Since the Complainant</w:t>
      </w:r>
      <w:r w:rsidR="00283F36">
        <w:rPr>
          <w:rFonts w:ascii="Times New Roman" w:hAnsi="Times New Roman"/>
          <w:bCs/>
          <w:spacing w:val="-3"/>
          <w:szCs w:val="24"/>
        </w:rPr>
        <w:t xml:space="preserve"> did not have to resolve </w:t>
      </w:r>
      <w:r w:rsidR="00283F36" w:rsidRPr="00283F36">
        <w:rPr>
          <w:rFonts w:ascii="Times New Roman" w:hAnsi="Times New Roman"/>
          <w:bCs/>
          <w:spacing w:val="-3"/>
          <w:szCs w:val="24"/>
        </w:rPr>
        <w:t>an unpaid balance</w:t>
      </w:r>
      <w:r w:rsidR="0076719A">
        <w:rPr>
          <w:rFonts w:ascii="Times New Roman" w:hAnsi="Times New Roman"/>
          <w:bCs/>
          <w:spacing w:val="-3"/>
          <w:szCs w:val="24"/>
        </w:rPr>
        <w:t xml:space="preserve"> pursuant to section</w:t>
      </w:r>
      <w:r w:rsidR="00F203EE">
        <w:rPr>
          <w:rFonts w:ascii="Times New Roman" w:hAnsi="Times New Roman"/>
          <w:bCs/>
          <w:spacing w:val="-3"/>
          <w:szCs w:val="24"/>
        </w:rPr>
        <w:t xml:space="preserve"> </w:t>
      </w:r>
      <w:r w:rsidR="00B20285">
        <w:rPr>
          <w:rFonts w:ascii="Times New Roman" w:hAnsi="Times New Roman"/>
          <w:bCs/>
          <w:spacing w:val="-3"/>
          <w:szCs w:val="24"/>
        </w:rPr>
        <w:t xml:space="preserve">1405, </w:t>
      </w:r>
      <w:r w:rsidR="00DF2B3C" w:rsidRPr="00F62DF5">
        <w:rPr>
          <w:rFonts w:ascii="Times New Roman" w:hAnsi="Times New Roman"/>
          <w:bCs/>
          <w:spacing w:val="-3"/>
          <w:szCs w:val="24"/>
        </w:rPr>
        <w:t>a payment arrangement</w:t>
      </w:r>
      <w:r w:rsidR="00F62DF5">
        <w:rPr>
          <w:rFonts w:ascii="Times New Roman" w:hAnsi="Times New Roman"/>
          <w:bCs/>
          <w:spacing w:val="-3"/>
          <w:szCs w:val="24"/>
        </w:rPr>
        <w:t xml:space="preserve"> is not warranted</w:t>
      </w:r>
      <w:r w:rsidR="00DF2B3C" w:rsidRPr="00F62DF5">
        <w:rPr>
          <w:rFonts w:ascii="Times New Roman" w:hAnsi="Times New Roman"/>
          <w:bCs/>
          <w:spacing w:val="-3"/>
          <w:szCs w:val="24"/>
        </w:rPr>
        <w:t>.</w:t>
      </w:r>
    </w:p>
    <w:p w:rsidR="00F62DF5" w:rsidRPr="00F62DF5" w:rsidRDefault="00F62DF5" w:rsidP="007A53A2">
      <w:pPr>
        <w:pStyle w:val="BodyText"/>
        <w:tabs>
          <w:tab w:val="clear" w:pos="1980"/>
          <w:tab w:val="left" w:pos="-1710"/>
          <w:tab w:val="left" w:pos="-1620"/>
          <w:tab w:val="left" w:pos="0"/>
        </w:tabs>
        <w:spacing w:line="360" w:lineRule="auto"/>
        <w:jc w:val="left"/>
        <w:rPr>
          <w:rFonts w:ascii="Times New Roman" w:hAnsi="Times New Roman"/>
          <w:bCs/>
          <w:spacing w:val="-3"/>
          <w:szCs w:val="24"/>
        </w:rPr>
      </w:pPr>
    </w:p>
    <w:p w:rsidR="00587253" w:rsidRDefault="004A1397" w:rsidP="007A53A2">
      <w:pPr>
        <w:rPr>
          <w:szCs w:val="24"/>
        </w:rPr>
      </w:pPr>
      <w:r w:rsidRPr="00F62DF5">
        <w:rPr>
          <w:szCs w:val="24"/>
        </w:rPr>
        <w:tab/>
      </w:r>
      <w:r w:rsidRPr="00F62DF5">
        <w:rPr>
          <w:szCs w:val="24"/>
        </w:rPr>
        <w:tab/>
        <w:t xml:space="preserve">Based on the evidence in the record, the Complainant was billed properly for </w:t>
      </w:r>
      <w:r w:rsidR="00B850DF" w:rsidRPr="00F62DF5">
        <w:rPr>
          <w:szCs w:val="24"/>
        </w:rPr>
        <w:t>her</w:t>
      </w:r>
      <w:r w:rsidRPr="00F62DF5">
        <w:rPr>
          <w:szCs w:val="24"/>
        </w:rPr>
        <w:t xml:space="preserve"> </w:t>
      </w:r>
      <w:r w:rsidR="00063E38" w:rsidRPr="00F62DF5">
        <w:rPr>
          <w:szCs w:val="24"/>
        </w:rPr>
        <w:t>gas</w:t>
      </w:r>
      <w:r w:rsidRPr="00F62DF5">
        <w:rPr>
          <w:szCs w:val="24"/>
        </w:rPr>
        <w:t xml:space="preserve"> usage at the </w:t>
      </w:r>
      <w:r w:rsidR="007135BB" w:rsidRPr="00F62DF5">
        <w:rPr>
          <w:szCs w:val="24"/>
        </w:rPr>
        <w:t>service address</w:t>
      </w:r>
      <w:r w:rsidRPr="00F62DF5">
        <w:rPr>
          <w:szCs w:val="24"/>
        </w:rPr>
        <w:t xml:space="preserve">.  </w:t>
      </w:r>
      <w:r w:rsidR="00580781" w:rsidRPr="00F62DF5">
        <w:rPr>
          <w:szCs w:val="24"/>
        </w:rPr>
        <w:t xml:space="preserve">Since the </w:t>
      </w:r>
      <w:r w:rsidRPr="00F62DF5">
        <w:rPr>
          <w:szCs w:val="24"/>
        </w:rPr>
        <w:t xml:space="preserve">Complainant </w:t>
      </w:r>
      <w:r w:rsidR="00580781" w:rsidRPr="00F62DF5">
        <w:rPr>
          <w:szCs w:val="24"/>
        </w:rPr>
        <w:t xml:space="preserve">did not have a past due balance at the time of the June 2016 hearing, </w:t>
      </w:r>
      <w:r w:rsidR="005864F0" w:rsidRPr="00F62DF5">
        <w:rPr>
          <w:szCs w:val="24"/>
        </w:rPr>
        <w:t xml:space="preserve">a payment </w:t>
      </w:r>
      <w:r w:rsidR="00A44D3E" w:rsidRPr="00F62DF5">
        <w:rPr>
          <w:szCs w:val="24"/>
        </w:rPr>
        <w:t>arrangement</w:t>
      </w:r>
      <w:r w:rsidR="00580781" w:rsidRPr="00F62DF5">
        <w:rPr>
          <w:szCs w:val="24"/>
        </w:rPr>
        <w:t xml:space="preserve"> was not needed.  </w:t>
      </w:r>
    </w:p>
    <w:p w:rsidR="00F62DF5" w:rsidRPr="00F62DF5" w:rsidRDefault="00F62DF5" w:rsidP="007A53A2">
      <w:pPr>
        <w:rPr>
          <w:szCs w:val="24"/>
        </w:rPr>
      </w:pPr>
    </w:p>
    <w:p w:rsidR="004A1397" w:rsidRDefault="004A1397" w:rsidP="007A53A2">
      <w:pPr>
        <w:rPr>
          <w:szCs w:val="24"/>
        </w:rPr>
      </w:pPr>
      <w:r w:rsidRPr="00F62DF5">
        <w:rPr>
          <w:szCs w:val="24"/>
        </w:rPr>
        <w:tab/>
      </w:r>
      <w:r w:rsidRPr="00F62DF5">
        <w:rPr>
          <w:szCs w:val="24"/>
        </w:rPr>
        <w:tab/>
        <w:t>Accordingly, the complaint is dismissed.</w:t>
      </w:r>
    </w:p>
    <w:p w:rsidR="00D717B5" w:rsidRPr="00F62DF5" w:rsidRDefault="00D717B5" w:rsidP="007A53A2">
      <w:pPr>
        <w:rPr>
          <w:szCs w:val="24"/>
        </w:rPr>
      </w:pPr>
    </w:p>
    <w:p w:rsidR="004A1397" w:rsidRPr="00F62DF5" w:rsidRDefault="004A1397" w:rsidP="007A53A2">
      <w:pPr>
        <w:spacing w:line="240" w:lineRule="auto"/>
        <w:jc w:val="center"/>
        <w:rPr>
          <w:szCs w:val="24"/>
          <w:u w:val="single"/>
        </w:rPr>
      </w:pPr>
      <w:r w:rsidRPr="00F62DF5">
        <w:rPr>
          <w:szCs w:val="24"/>
          <w:u w:val="single"/>
        </w:rPr>
        <w:t>CONCLUSIONS OF LAW</w:t>
      </w:r>
    </w:p>
    <w:p w:rsidR="004A1397" w:rsidRPr="00F62DF5" w:rsidRDefault="004A1397" w:rsidP="007A53A2">
      <w:pPr>
        <w:rPr>
          <w:szCs w:val="24"/>
        </w:rPr>
      </w:pPr>
    </w:p>
    <w:p w:rsidR="004A1397" w:rsidRPr="00F62DF5" w:rsidRDefault="004A1397" w:rsidP="007A53A2">
      <w:pPr>
        <w:pStyle w:val="Heading1"/>
        <w:ind w:left="-86" w:firstLine="1526"/>
        <w:jc w:val="left"/>
        <w:rPr>
          <w:rFonts w:ascii="Times New Roman" w:hAnsi="Times New Roman"/>
          <w:b w:val="0"/>
          <w:szCs w:val="24"/>
          <w:u w:val="none"/>
        </w:rPr>
      </w:pPr>
      <w:r w:rsidRPr="00F62DF5">
        <w:rPr>
          <w:rFonts w:ascii="Times New Roman" w:hAnsi="Times New Roman"/>
          <w:b w:val="0"/>
          <w:szCs w:val="24"/>
          <w:u w:val="none"/>
        </w:rPr>
        <w:t>1.</w:t>
      </w:r>
      <w:r w:rsidRPr="00F62DF5">
        <w:rPr>
          <w:rFonts w:ascii="Times New Roman" w:hAnsi="Times New Roman"/>
          <w:b w:val="0"/>
          <w:szCs w:val="24"/>
          <w:u w:val="none"/>
        </w:rPr>
        <w:tab/>
        <w:t>The Commission has jurisdiction over the parties and subject matter in this proceeding.  66 Pa.C.S. § 701.</w:t>
      </w:r>
    </w:p>
    <w:p w:rsidR="004A1397" w:rsidRPr="00F62DF5" w:rsidRDefault="004A1397" w:rsidP="007A53A2">
      <w:pPr>
        <w:rPr>
          <w:szCs w:val="24"/>
        </w:rPr>
      </w:pPr>
    </w:p>
    <w:p w:rsidR="004A1397" w:rsidRPr="00F62DF5" w:rsidRDefault="004A1397" w:rsidP="007A53A2">
      <w:pPr>
        <w:pStyle w:val="BodyText"/>
        <w:tabs>
          <w:tab w:val="clear" w:pos="1980"/>
        </w:tabs>
        <w:spacing w:line="360" w:lineRule="auto"/>
        <w:jc w:val="left"/>
        <w:rPr>
          <w:rFonts w:ascii="Times New Roman" w:hAnsi="Times New Roman"/>
          <w:szCs w:val="24"/>
        </w:rPr>
      </w:pPr>
      <w:r w:rsidRPr="00F62DF5">
        <w:rPr>
          <w:rFonts w:ascii="Times New Roman" w:hAnsi="Times New Roman"/>
          <w:szCs w:val="24"/>
        </w:rPr>
        <w:tab/>
      </w:r>
      <w:r w:rsidRPr="00F62DF5">
        <w:rPr>
          <w:rFonts w:ascii="Times New Roman" w:hAnsi="Times New Roman"/>
          <w:szCs w:val="24"/>
        </w:rPr>
        <w:tab/>
        <w:t>2.</w:t>
      </w:r>
      <w:r w:rsidRPr="00F62DF5">
        <w:rPr>
          <w:rFonts w:ascii="Times New Roman" w:hAnsi="Times New Roman"/>
          <w:szCs w:val="24"/>
        </w:rPr>
        <w:tab/>
        <w:t>The Complainant has the burden of proo</w:t>
      </w:r>
      <w:r w:rsidR="00732EBB">
        <w:rPr>
          <w:rFonts w:ascii="Times New Roman" w:hAnsi="Times New Roman"/>
          <w:szCs w:val="24"/>
        </w:rPr>
        <w:t>f in this matter pursuant to 66 </w:t>
      </w:r>
      <w:proofErr w:type="spellStart"/>
      <w:r w:rsidRPr="00F62DF5">
        <w:rPr>
          <w:rFonts w:ascii="Times New Roman" w:hAnsi="Times New Roman"/>
          <w:szCs w:val="24"/>
        </w:rPr>
        <w:t>Pa.C.S</w:t>
      </w:r>
      <w:proofErr w:type="spellEnd"/>
      <w:r w:rsidRPr="00F62DF5">
        <w:rPr>
          <w:rFonts w:ascii="Times New Roman" w:hAnsi="Times New Roman"/>
          <w:szCs w:val="24"/>
        </w:rPr>
        <w:t>. § 332(a).</w:t>
      </w:r>
    </w:p>
    <w:p w:rsidR="00DF2B3C" w:rsidRPr="00F62DF5" w:rsidRDefault="00DF2B3C" w:rsidP="007A53A2">
      <w:pPr>
        <w:rPr>
          <w:szCs w:val="24"/>
        </w:rPr>
      </w:pPr>
    </w:p>
    <w:p w:rsidR="00E625D3" w:rsidRDefault="000C0722" w:rsidP="007A53A2">
      <w:pPr>
        <w:rPr>
          <w:szCs w:val="24"/>
        </w:rPr>
      </w:pPr>
      <w:r w:rsidRPr="00F62DF5">
        <w:rPr>
          <w:szCs w:val="24"/>
        </w:rPr>
        <w:lastRenderedPageBreak/>
        <w:tab/>
      </w:r>
      <w:r w:rsidRPr="00F62DF5">
        <w:rPr>
          <w:szCs w:val="24"/>
        </w:rPr>
        <w:tab/>
      </w:r>
      <w:r w:rsidR="00580781" w:rsidRPr="00F62DF5">
        <w:rPr>
          <w:szCs w:val="24"/>
        </w:rPr>
        <w:t>3</w:t>
      </w:r>
      <w:r w:rsidRPr="00F62DF5">
        <w:rPr>
          <w:szCs w:val="24"/>
        </w:rPr>
        <w:t>.</w:t>
      </w:r>
      <w:r w:rsidRPr="00F62DF5">
        <w:rPr>
          <w:szCs w:val="24"/>
        </w:rPr>
        <w:tab/>
      </w:r>
      <w:r w:rsidR="00E625D3" w:rsidRPr="00F62DF5">
        <w:rPr>
          <w:szCs w:val="24"/>
        </w:rPr>
        <w:t>The Complainant failed to sustain her burden of proof regarding incorrect charges.</w:t>
      </w:r>
    </w:p>
    <w:p w:rsidR="007D4560" w:rsidRPr="00F62DF5" w:rsidRDefault="007D4560" w:rsidP="007A53A2">
      <w:pPr>
        <w:rPr>
          <w:szCs w:val="24"/>
        </w:rPr>
      </w:pPr>
    </w:p>
    <w:p w:rsidR="00E625D3" w:rsidRPr="00F62DF5" w:rsidRDefault="00E625D3" w:rsidP="007A53A2">
      <w:pPr>
        <w:rPr>
          <w:szCs w:val="24"/>
        </w:rPr>
      </w:pPr>
      <w:r w:rsidRPr="00F62DF5">
        <w:rPr>
          <w:szCs w:val="24"/>
        </w:rPr>
        <w:tab/>
      </w:r>
      <w:r w:rsidRPr="00F62DF5">
        <w:rPr>
          <w:szCs w:val="24"/>
        </w:rPr>
        <w:tab/>
        <w:t>4.</w:t>
      </w:r>
      <w:r w:rsidRPr="00F62DF5">
        <w:rPr>
          <w:szCs w:val="24"/>
        </w:rPr>
        <w:tab/>
        <w:t xml:space="preserve">A Bureau of Consumer Services issued payment arrangement only becomes the one Commission issued payment arrangement, as permitted by Chapter 14, if the decision is not timely appealed.  A customer cannot be deemed in default of a timely appealed [BCS] payment agreement . . . until the Formal Complaint on appeal is ultimately adjudicated and a final Order is issued by the Commission.  </w:t>
      </w:r>
      <w:r w:rsidRPr="00F62DF5">
        <w:rPr>
          <w:i/>
          <w:szCs w:val="24"/>
        </w:rPr>
        <w:t>DiOrazio v North East Heat &amp; Light Company</w:t>
      </w:r>
      <w:r w:rsidRPr="00F62DF5">
        <w:rPr>
          <w:szCs w:val="24"/>
        </w:rPr>
        <w:t xml:space="preserve"> F-2008-2052918 (Order entered June 15, 2009), </w:t>
      </w:r>
      <w:r w:rsidRPr="00F62DF5">
        <w:rPr>
          <w:i/>
          <w:szCs w:val="24"/>
        </w:rPr>
        <w:t>Richard Kalamets v. Columbia Gas of Pennsylvania, Inc</w:t>
      </w:r>
      <w:r w:rsidRPr="00F62DF5">
        <w:rPr>
          <w:szCs w:val="24"/>
        </w:rPr>
        <w:t xml:space="preserve">., Docket No. Z 01701441 (Order entered October 14, 2005).  </w:t>
      </w:r>
    </w:p>
    <w:p w:rsidR="00E625D3" w:rsidRPr="00F62DF5" w:rsidRDefault="00E625D3" w:rsidP="007A53A2">
      <w:pPr>
        <w:rPr>
          <w:szCs w:val="24"/>
        </w:rPr>
      </w:pPr>
    </w:p>
    <w:p w:rsidR="000C0722" w:rsidRPr="00F62DF5" w:rsidRDefault="00E625D3" w:rsidP="007A53A2">
      <w:pPr>
        <w:rPr>
          <w:szCs w:val="24"/>
        </w:rPr>
      </w:pPr>
      <w:r w:rsidRPr="00F62DF5">
        <w:rPr>
          <w:szCs w:val="24"/>
        </w:rPr>
        <w:tab/>
      </w:r>
      <w:r w:rsidRPr="00F62DF5">
        <w:rPr>
          <w:szCs w:val="24"/>
        </w:rPr>
        <w:tab/>
        <w:t>5.</w:t>
      </w:r>
      <w:r w:rsidRPr="00F62DF5">
        <w:rPr>
          <w:szCs w:val="24"/>
        </w:rPr>
        <w:tab/>
      </w:r>
      <w:r w:rsidR="000C0722" w:rsidRPr="00F62DF5">
        <w:rPr>
          <w:szCs w:val="24"/>
        </w:rPr>
        <w:t xml:space="preserve">The Complainant failed to sustain </w:t>
      </w:r>
      <w:r w:rsidR="00EC10B4" w:rsidRPr="00F62DF5">
        <w:rPr>
          <w:szCs w:val="24"/>
        </w:rPr>
        <w:t>her</w:t>
      </w:r>
      <w:r w:rsidR="000C0722" w:rsidRPr="00F62DF5">
        <w:rPr>
          <w:szCs w:val="24"/>
        </w:rPr>
        <w:t xml:space="preserve"> burden of proof regarding the payment arrangement. </w:t>
      </w:r>
    </w:p>
    <w:p w:rsidR="005628A0" w:rsidRPr="00F62DF5" w:rsidRDefault="005628A0" w:rsidP="007A53A2">
      <w:pPr>
        <w:rPr>
          <w:szCs w:val="24"/>
        </w:rPr>
      </w:pPr>
    </w:p>
    <w:p w:rsidR="004A1397" w:rsidRPr="00F62DF5" w:rsidRDefault="004A1397" w:rsidP="007A53A2">
      <w:pPr>
        <w:pStyle w:val="Heading3"/>
        <w:rPr>
          <w:b w:val="0"/>
          <w:szCs w:val="24"/>
        </w:rPr>
      </w:pPr>
      <w:bookmarkStart w:id="0" w:name="_GoBack"/>
      <w:bookmarkEnd w:id="0"/>
      <w:r w:rsidRPr="00F62DF5">
        <w:rPr>
          <w:b w:val="0"/>
          <w:szCs w:val="24"/>
        </w:rPr>
        <w:t>ORDER</w:t>
      </w:r>
    </w:p>
    <w:p w:rsidR="004A1397" w:rsidRDefault="004A1397" w:rsidP="007A53A2">
      <w:pPr>
        <w:rPr>
          <w:szCs w:val="24"/>
        </w:rPr>
      </w:pPr>
    </w:p>
    <w:p w:rsidR="007D4560" w:rsidRPr="00F62DF5" w:rsidRDefault="007D4560" w:rsidP="007A53A2">
      <w:pPr>
        <w:rPr>
          <w:szCs w:val="24"/>
        </w:rPr>
      </w:pPr>
    </w:p>
    <w:p w:rsidR="004A1397" w:rsidRPr="00F62DF5" w:rsidRDefault="004A1397" w:rsidP="007A53A2">
      <w:pPr>
        <w:pStyle w:val="NormalWeb"/>
        <w:spacing w:before="0" w:beforeAutospacing="0" w:after="0" w:afterAutospacing="0"/>
      </w:pPr>
      <w:r w:rsidRPr="00F62DF5">
        <w:tab/>
      </w:r>
      <w:r w:rsidRPr="00F62DF5">
        <w:tab/>
        <w:t>THEREFORE,</w:t>
      </w:r>
    </w:p>
    <w:p w:rsidR="004A1397" w:rsidRPr="00F62DF5" w:rsidRDefault="004A1397" w:rsidP="007A53A2">
      <w:pPr>
        <w:rPr>
          <w:szCs w:val="24"/>
        </w:rPr>
      </w:pPr>
    </w:p>
    <w:p w:rsidR="004A1397" w:rsidRPr="00F62DF5" w:rsidRDefault="004A1397" w:rsidP="007A53A2">
      <w:pPr>
        <w:rPr>
          <w:szCs w:val="24"/>
        </w:rPr>
      </w:pPr>
      <w:r w:rsidRPr="00F62DF5">
        <w:rPr>
          <w:szCs w:val="24"/>
        </w:rPr>
        <w:tab/>
      </w:r>
      <w:r w:rsidRPr="00F62DF5">
        <w:rPr>
          <w:szCs w:val="24"/>
        </w:rPr>
        <w:tab/>
        <w:t>IT IS ORDERED:</w:t>
      </w:r>
    </w:p>
    <w:p w:rsidR="004A1397" w:rsidRPr="00F62DF5" w:rsidRDefault="004A1397" w:rsidP="007A53A2">
      <w:pPr>
        <w:rPr>
          <w:szCs w:val="24"/>
        </w:rPr>
      </w:pPr>
    </w:p>
    <w:p w:rsidR="004A1397" w:rsidRPr="00F62DF5" w:rsidRDefault="004A1397" w:rsidP="007A53A2">
      <w:pPr>
        <w:rPr>
          <w:szCs w:val="24"/>
        </w:rPr>
      </w:pPr>
      <w:r w:rsidRPr="00F62DF5">
        <w:rPr>
          <w:szCs w:val="24"/>
        </w:rPr>
        <w:tab/>
      </w:r>
      <w:r w:rsidRPr="00F62DF5">
        <w:rPr>
          <w:szCs w:val="24"/>
        </w:rPr>
        <w:tab/>
        <w:t>1.</w:t>
      </w:r>
      <w:r w:rsidRPr="00F62DF5">
        <w:rPr>
          <w:szCs w:val="24"/>
        </w:rPr>
        <w:tab/>
        <w:t xml:space="preserve">That the complaint filed by </w:t>
      </w:r>
      <w:r w:rsidR="008E2777" w:rsidRPr="00F62DF5">
        <w:rPr>
          <w:szCs w:val="24"/>
        </w:rPr>
        <w:t>Betty McFadden</w:t>
      </w:r>
      <w:r w:rsidR="002C7C09" w:rsidRPr="00F62DF5">
        <w:rPr>
          <w:szCs w:val="24"/>
        </w:rPr>
        <w:t xml:space="preserve"> </w:t>
      </w:r>
      <w:r w:rsidRPr="00F62DF5">
        <w:rPr>
          <w:szCs w:val="24"/>
        </w:rPr>
        <w:t>against the</w:t>
      </w:r>
      <w:r w:rsidR="003A138F" w:rsidRPr="00F62DF5">
        <w:rPr>
          <w:szCs w:val="24"/>
        </w:rPr>
        <w:t xml:space="preserve"> Philadelphia Ga</w:t>
      </w:r>
      <w:r w:rsidR="00CE260E" w:rsidRPr="00F62DF5">
        <w:rPr>
          <w:szCs w:val="24"/>
        </w:rPr>
        <w:t>s</w:t>
      </w:r>
      <w:r w:rsidR="003A138F" w:rsidRPr="00F62DF5">
        <w:rPr>
          <w:szCs w:val="24"/>
        </w:rPr>
        <w:t xml:space="preserve"> Works</w:t>
      </w:r>
      <w:r w:rsidRPr="00F62DF5">
        <w:rPr>
          <w:szCs w:val="24"/>
        </w:rPr>
        <w:t xml:space="preserve"> at Docket </w:t>
      </w:r>
      <w:r w:rsidR="00B850DF" w:rsidRPr="00F62DF5">
        <w:rPr>
          <w:szCs w:val="24"/>
        </w:rPr>
        <w:t xml:space="preserve">No. </w:t>
      </w:r>
      <w:r w:rsidR="00DE28CE" w:rsidRPr="00F62DF5">
        <w:rPr>
          <w:szCs w:val="24"/>
        </w:rPr>
        <w:t xml:space="preserve">F-2015-2503599 </w:t>
      </w:r>
      <w:r w:rsidR="00D61DD5" w:rsidRPr="00F62DF5">
        <w:rPr>
          <w:szCs w:val="24"/>
        </w:rPr>
        <w:t>is dismissed in its entiret</w:t>
      </w:r>
      <w:r w:rsidRPr="00F62DF5">
        <w:rPr>
          <w:szCs w:val="24"/>
        </w:rPr>
        <w:t xml:space="preserve">y. </w:t>
      </w:r>
    </w:p>
    <w:p w:rsidR="004A1397" w:rsidRPr="00F62DF5" w:rsidRDefault="004A1397" w:rsidP="007A53A2">
      <w:pPr>
        <w:rPr>
          <w:szCs w:val="24"/>
        </w:rPr>
      </w:pPr>
    </w:p>
    <w:p w:rsidR="004A1397" w:rsidRPr="00F62DF5" w:rsidRDefault="004A1397" w:rsidP="007A53A2">
      <w:pPr>
        <w:pStyle w:val="BodyText3"/>
        <w:spacing w:line="240" w:lineRule="auto"/>
        <w:rPr>
          <w:szCs w:val="24"/>
        </w:rPr>
      </w:pPr>
      <w:r w:rsidRPr="00F62DF5">
        <w:rPr>
          <w:szCs w:val="24"/>
        </w:rPr>
        <w:tab/>
      </w:r>
      <w:r w:rsidRPr="00F62DF5">
        <w:rPr>
          <w:szCs w:val="24"/>
        </w:rPr>
        <w:tab/>
        <w:t>2.</w:t>
      </w:r>
      <w:r w:rsidRPr="00F62DF5">
        <w:rPr>
          <w:szCs w:val="24"/>
        </w:rPr>
        <w:tab/>
        <w:t>That the record in this case is marked closed.</w:t>
      </w:r>
    </w:p>
    <w:p w:rsidR="004A1397" w:rsidRPr="00F62DF5" w:rsidRDefault="004A1397" w:rsidP="007A53A2">
      <w:pPr>
        <w:rPr>
          <w:szCs w:val="24"/>
        </w:rPr>
      </w:pPr>
    </w:p>
    <w:p w:rsidR="004A1397" w:rsidRPr="00F62DF5" w:rsidRDefault="004A1397" w:rsidP="007A53A2">
      <w:pPr>
        <w:rPr>
          <w:szCs w:val="24"/>
        </w:rPr>
      </w:pPr>
    </w:p>
    <w:p w:rsidR="00F153B8" w:rsidRPr="00F62DF5" w:rsidRDefault="002424C2" w:rsidP="00BC56D0">
      <w:pPr>
        <w:spacing w:line="240" w:lineRule="auto"/>
        <w:rPr>
          <w:szCs w:val="24"/>
        </w:rPr>
      </w:pPr>
      <w:r w:rsidRPr="00F62DF5">
        <w:rPr>
          <w:szCs w:val="24"/>
        </w:rPr>
        <w:t>Date:</w:t>
      </w:r>
      <w:r w:rsidRPr="00F62DF5">
        <w:rPr>
          <w:szCs w:val="24"/>
        </w:rPr>
        <w:tab/>
      </w:r>
      <w:r w:rsidR="00580781" w:rsidRPr="00F62DF5">
        <w:rPr>
          <w:szCs w:val="24"/>
          <w:u w:val="single"/>
        </w:rPr>
        <w:t xml:space="preserve">October </w:t>
      </w:r>
      <w:r w:rsidR="00EC10B4" w:rsidRPr="00F62DF5">
        <w:rPr>
          <w:szCs w:val="24"/>
          <w:u w:val="single"/>
        </w:rPr>
        <w:t>20</w:t>
      </w:r>
      <w:r w:rsidR="00580781" w:rsidRPr="00F62DF5">
        <w:rPr>
          <w:szCs w:val="24"/>
          <w:u w:val="single"/>
        </w:rPr>
        <w:t>, 2016</w:t>
      </w:r>
      <w:r w:rsidRPr="00F62DF5">
        <w:rPr>
          <w:szCs w:val="24"/>
        </w:rPr>
        <w:tab/>
      </w:r>
      <w:r w:rsidRPr="00F62DF5">
        <w:rPr>
          <w:szCs w:val="24"/>
        </w:rPr>
        <w:tab/>
      </w:r>
      <w:r w:rsidR="00AC14FA" w:rsidRPr="00F62DF5">
        <w:rPr>
          <w:szCs w:val="24"/>
        </w:rPr>
        <w:tab/>
      </w:r>
      <w:r w:rsidR="007A53A2">
        <w:rPr>
          <w:szCs w:val="24"/>
        </w:rPr>
        <w:tab/>
      </w:r>
      <w:r w:rsidR="00F153B8" w:rsidRPr="00F62DF5">
        <w:rPr>
          <w:szCs w:val="24"/>
          <w:u w:val="single"/>
        </w:rPr>
        <w:tab/>
      </w:r>
      <w:r w:rsidR="00F153B8" w:rsidRPr="00F62DF5">
        <w:rPr>
          <w:szCs w:val="24"/>
          <w:u w:val="single"/>
        </w:rPr>
        <w:tab/>
        <w:t>/s/</w:t>
      </w:r>
      <w:r w:rsidR="00F153B8" w:rsidRPr="00F62DF5">
        <w:rPr>
          <w:szCs w:val="24"/>
          <w:u w:val="single"/>
        </w:rPr>
        <w:tab/>
      </w:r>
      <w:r w:rsidR="00F153B8" w:rsidRPr="00F62DF5">
        <w:rPr>
          <w:szCs w:val="24"/>
          <w:u w:val="single"/>
        </w:rPr>
        <w:tab/>
      </w:r>
      <w:r w:rsidR="00F153B8" w:rsidRPr="00F62DF5">
        <w:rPr>
          <w:szCs w:val="24"/>
          <w:u w:val="single"/>
        </w:rPr>
        <w:tab/>
      </w:r>
    </w:p>
    <w:p w:rsidR="00F153B8" w:rsidRPr="00F62DF5" w:rsidRDefault="00580781" w:rsidP="007A53A2">
      <w:pPr>
        <w:spacing w:line="240" w:lineRule="auto"/>
        <w:rPr>
          <w:szCs w:val="24"/>
        </w:rPr>
      </w:pPr>
      <w:r w:rsidRPr="00F62DF5">
        <w:rPr>
          <w:szCs w:val="24"/>
        </w:rPr>
        <w:tab/>
      </w:r>
      <w:r w:rsidRPr="00F62DF5">
        <w:rPr>
          <w:szCs w:val="24"/>
        </w:rPr>
        <w:tab/>
      </w:r>
      <w:r w:rsidR="007A53A2">
        <w:rPr>
          <w:szCs w:val="24"/>
        </w:rPr>
        <w:tab/>
      </w:r>
      <w:r w:rsidR="007A53A2">
        <w:rPr>
          <w:szCs w:val="24"/>
        </w:rPr>
        <w:tab/>
      </w:r>
      <w:r w:rsidR="007A53A2">
        <w:rPr>
          <w:szCs w:val="24"/>
        </w:rPr>
        <w:tab/>
      </w:r>
      <w:r w:rsidR="007A53A2">
        <w:rPr>
          <w:szCs w:val="24"/>
        </w:rPr>
        <w:tab/>
      </w:r>
      <w:r w:rsidR="007A53A2">
        <w:rPr>
          <w:szCs w:val="24"/>
        </w:rPr>
        <w:tab/>
      </w:r>
      <w:r w:rsidR="00F153B8" w:rsidRPr="00F62DF5">
        <w:rPr>
          <w:szCs w:val="24"/>
        </w:rPr>
        <w:t>Cynthia Williams Fordham</w:t>
      </w:r>
    </w:p>
    <w:p w:rsidR="00901DB7" w:rsidRPr="00F62DF5" w:rsidRDefault="002424C2" w:rsidP="007A53A2">
      <w:pPr>
        <w:spacing w:line="240" w:lineRule="auto"/>
        <w:rPr>
          <w:szCs w:val="24"/>
        </w:rPr>
      </w:pPr>
      <w:r w:rsidRPr="00F62DF5">
        <w:rPr>
          <w:szCs w:val="24"/>
        </w:rPr>
        <w:tab/>
      </w:r>
      <w:r w:rsidRPr="00F62DF5">
        <w:rPr>
          <w:szCs w:val="24"/>
        </w:rPr>
        <w:tab/>
      </w:r>
      <w:r w:rsidRPr="00F62DF5">
        <w:rPr>
          <w:szCs w:val="24"/>
        </w:rPr>
        <w:tab/>
      </w:r>
      <w:r w:rsidR="00625CA7" w:rsidRPr="00F62DF5">
        <w:rPr>
          <w:szCs w:val="24"/>
        </w:rPr>
        <w:tab/>
      </w:r>
      <w:r w:rsidR="007A53A2">
        <w:rPr>
          <w:szCs w:val="24"/>
        </w:rPr>
        <w:tab/>
      </w:r>
      <w:r w:rsidR="007A53A2">
        <w:rPr>
          <w:szCs w:val="24"/>
        </w:rPr>
        <w:tab/>
      </w:r>
      <w:r w:rsidR="007A53A2">
        <w:rPr>
          <w:szCs w:val="24"/>
        </w:rPr>
        <w:tab/>
      </w:r>
      <w:r w:rsidRPr="00F62DF5">
        <w:rPr>
          <w:szCs w:val="24"/>
        </w:rPr>
        <w:t>Administrative Law Judge</w:t>
      </w:r>
    </w:p>
    <w:p w:rsidR="00AC14FA" w:rsidRPr="00F62DF5" w:rsidRDefault="00AC14FA" w:rsidP="007A53A2">
      <w:pPr>
        <w:spacing w:line="240" w:lineRule="auto"/>
        <w:rPr>
          <w:szCs w:val="24"/>
        </w:rPr>
      </w:pPr>
    </w:p>
    <w:p w:rsidR="00AC14FA" w:rsidRPr="00F62DF5" w:rsidRDefault="00AC14FA" w:rsidP="007A53A2">
      <w:pPr>
        <w:spacing w:line="240" w:lineRule="auto"/>
        <w:rPr>
          <w:szCs w:val="24"/>
        </w:rPr>
      </w:pPr>
    </w:p>
    <w:sectPr w:rsidR="00AC14FA" w:rsidRPr="00F62DF5" w:rsidSect="00AE4727">
      <w:footerReference w:type="even" r:id="rId9"/>
      <w:footerReference w:type="default" r:id="rId10"/>
      <w:type w:val="continuous"/>
      <w:pgSz w:w="12240" w:h="15840" w:code="1"/>
      <w:pgMar w:top="135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5E" w:rsidRDefault="004C795E">
      <w:r>
        <w:separator/>
      </w:r>
    </w:p>
  </w:endnote>
  <w:endnote w:type="continuationSeparator" w:id="0">
    <w:p w:rsidR="004C795E" w:rsidRDefault="004C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DC" w:rsidRDefault="004E31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4E31DC" w:rsidRDefault="004E3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DC" w:rsidRPr="00C22764" w:rsidRDefault="004E31DC">
    <w:pPr>
      <w:pStyle w:val="Footer"/>
      <w:framePr w:wrap="around" w:vAnchor="text" w:hAnchor="margin" w:xAlign="center" w:y="1"/>
      <w:rPr>
        <w:rStyle w:val="PageNumber"/>
        <w:sz w:val="20"/>
      </w:rPr>
    </w:pPr>
    <w:r w:rsidRPr="00C22764">
      <w:rPr>
        <w:rStyle w:val="PageNumber"/>
        <w:sz w:val="20"/>
      </w:rPr>
      <w:fldChar w:fldCharType="begin"/>
    </w:r>
    <w:r w:rsidRPr="00C22764">
      <w:rPr>
        <w:rStyle w:val="PageNumber"/>
        <w:sz w:val="20"/>
      </w:rPr>
      <w:instrText xml:space="preserve">PAGE  </w:instrText>
    </w:r>
    <w:r w:rsidRPr="00C22764">
      <w:rPr>
        <w:rStyle w:val="PageNumber"/>
        <w:sz w:val="20"/>
      </w:rPr>
      <w:fldChar w:fldCharType="separate"/>
    </w:r>
    <w:r w:rsidR="007D4560">
      <w:rPr>
        <w:rStyle w:val="PageNumber"/>
        <w:noProof/>
        <w:sz w:val="20"/>
      </w:rPr>
      <w:t>13</w:t>
    </w:r>
    <w:r w:rsidRPr="00C22764">
      <w:rPr>
        <w:rStyle w:val="PageNumber"/>
        <w:sz w:val="20"/>
      </w:rPr>
      <w:fldChar w:fldCharType="end"/>
    </w:r>
  </w:p>
  <w:p w:rsidR="004E31DC" w:rsidRDefault="004E3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5E" w:rsidRDefault="004C795E">
      <w:r>
        <w:separator/>
      </w:r>
    </w:p>
  </w:footnote>
  <w:footnote w:type="continuationSeparator" w:id="0">
    <w:p w:rsidR="004C795E" w:rsidRDefault="004C795E">
      <w:r>
        <w:continuationSeparator/>
      </w:r>
    </w:p>
  </w:footnote>
  <w:footnote w:id="1">
    <w:p w:rsidR="004E31DC" w:rsidRDefault="004E31DC">
      <w:pPr>
        <w:pStyle w:val="FootnoteText"/>
      </w:pPr>
      <w:r>
        <w:rPr>
          <w:rStyle w:val="FootnoteReference"/>
        </w:rPr>
        <w:footnoteRef/>
      </w:r>
      <w:r>
        <w:t xml:space="preserve"> </w:t>
      </w:r>
      <w:r>
        <w:tab/>
        <w:t>Ms. Moore</w:t>
      </w:r>
      <w:r w:rsidR="00FF0567">
        <w:t>’s</w:t>
      </w:r>
      <w:r>
        <w:t xml:space="preserve"> attempts to contact the Complainant prior to the further hearing were unsuccessful (Tr. 64).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767"/>
    <w:multiLevelType w:val="hybridMultilevel"/>
    <w:tmpl w:val="D33AE204"/>
    <w:lvl w:ilvl="0" w:tplc="6F825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067BC"/>
    <w:multiLevelType w:val="hybridMultilevel"/>
    <w:tmpl w:val="E262864A"/>
    <w:lvl w:ilvl="0" w:tplc="0409000F">
      <w:start w:val="1"/>
      <w:numFmt w:val="decimal"/>
      <w:lvlText w:val="%1."/>
      <w:lvlJc w:val="left"/>
      <w:pPr>
        <w:ind w:left="720" w:hanging="360"/>
      </w:pPr>
    </w:lvl>
    <w:lvl w:ilvl="1" w:tplc="536258C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F7038F6"/>
    <w:multiLevelType w:val="hybridMultilevel"/>
    <w:tmpl w:val="B9B860CE"/>
    <w:lvl w:ilvl="0" w:tplc="0B6EEC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EA5C68"/>
    <w:multiLevelType w:val="hybridMultilevel"/>
    <w:tmpl w:val="0682E89C"/>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476481"/>
    <w:multiLevelType w:val="hybridMultilevel"/>
    <w:tmpl w:val="97C049D8"/>
    <w:lvl w:ilvl="0" w:tplc="A7C241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BFF471E"/>
    <w:multiLevelType w:val="hybridMultilevel"/>
    <w:tmpl w:val="1974F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6"/>
  </w:num>
  <w:num w:numId="5">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10"/>
  </w:num>
  <w:num w:numId="9">
    <w:abstractNumId w:val="0"/>
  </w:num>
  <w:num w:numId="10">
    <w:abstractNumId w:val="2"/>
  </w:num>
  <w:num w:numId="11">
    <w:abstractNumId w:val="5"/>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A7"/>
    <w:rsid w:val="0000439A"/>
    <w:rsid w:val="000059C5"/>
    <w:rsid w:val="00011A16"/>
    <w:rsid w:val="000133B4"/>
    <w:rsid w:val="00013691"/>
    <w:rsid w:val="000138E2"/>
    <w:rsid w:val="0001484F"/>
    <w:rsid w:val="00031DCF"/>
    <w:rsid w:val="00033EB6"/>
    <w:rsid w:val="000368B6"/>
    <w:rsid w:val="00041BE7"/>
    <w:rsid w:val="00043EBF"/>
    <w:rsid w:val="000445AD"/>
    <w:rsid w:val="00046B6B"/>
    <w:rsid w:val="00051DE0"/>
    <w:rsid w:val="00052A48"/>
    <w:rsid w:val="00054B3C"/>
    <w:rsid w:val="00057A86"/>
    <w:rsid w:val="000607D9"/>
    <w:rsid w:val="00063187"/>
    <w:rsid w:val="00063E38"/>
    <w:rsid w:val="00073F8B"/>
    <w:rsid w:val="000819A8"/>
    <w:rsid w:val="000828C1"/>
    <w:rsid w:val="000830F2"/>
    <w:rsid w:val="00084080"/>
    <w:rsid w:val="0009623F"/>
    <w:rsid w:val="00097A15"/>
    <w:rsid w:val="000A3B00"/>
    <w:rsid w:val="000A5206"/>
    <w:rsid w:val="000C0722"/>
    <w:rsid w:val="000C09B5"/>
    <w:rsid w:val="000C189C"/>
    <w:rsid w:val="000C6D55"/>
    <w:rsid w:val="000C7968"/>
    <w:rsid w:val="000D21E6"/>
    <w:rsid w:val="000D231E"/>
    <w:rsid w:val="000E635E"/>
    <w:rsid w:val="000E6712"/>
    <w:rsid w:val="000E69AB"/>
    <w:rsid w:val="000F2EF3"/>
    <w:rsid w:val="0010053D"/>
    <w:rsid w:val="00101868"/>
    <w:rsid w:val="001049F8"/>
    <w:rsid w:val="00110C0C"/>
    <w:rsid w:val="001128AF"/>
    <w:rsid w:val="00114072"/>
    <w:rsid w:val="00115448"/>
    <w:rsid w:val="00116825"/>
    <w:rsid w:val="001177CC"/>
    <w:rsid w:val="00122555"/>
    <w:rsid w:val="00122D07"/>
    <w:rsid w:val="001262D8"/>
    <w:rsid w:val="00136F5D"/>
    <w:rsid w:val="00137369"/>
    <w:rsid w:val="00137B2E"/>
    <w:rsid w:val="0014210D"/>
    <w:rsid w:val="00143235"/>
    <w:rsid w:val="00150166"/>
    <w:rsid w:val="001530DB"/>
    <w:rsid w:val="00154006"/>
    <w:rsid w:val="00156B1D"/>
    <w:rsid w:val="00160140"/>
    <w:rsid w:val="00162AB7"/>
    <w:rsid w:val="0016464D"/>
    <w:rsid w:val="001659FC"/>
    <w:rsid w:val="00166A0A"/>
    <w:rsid w:val="00172045"/>
    <w:rsid w:val="001728DB"/>
    <w:rsid w:val="00192799"/>
    <w:rsid w:val="0019401D"/>
    <w:rsid w:val="001946D6"/>
    <w:rsid w:val="0019539D"/>
    <w:rsid w:val="001972AE"/>
    <w:rsid w:val="001A61DF"/>
    <w:rsid w:val="001A7953"/>
    <w:rsid w:val="001B5C33"/>
    <w:rsid w:val="001C5F70"/>
    <w:rsid w:val="001D103C"/>
    <w:rsid w:val="001D64DC"/>
    <w:rsid w:val="00204049"/>
    <w:rsid w:val="00210BEB"/>
    <w:rsid w:val="00212138"/>
    <w:rsid w:val="002134C6"/>
    <w:rsid w:val="00214ACD"/>
    <w:rsid w:val="0022095E"/>
    <w:rsid w:val="00227FC6"/>
    <w:rsid w:val="00235516"/>
    <w:rsid w:val="00241226"/>
    <w:rsid w:val="00241D54"/>
    <w:rsid w:val="00241F48"/>
    <w:rsid w:val="002424C2"/>
    <w:rsid w:val="00255E86"/>
    <w:rsid w:val="0026054D"/>
    <w:rsid w:val="0026314F"/>
    <w:rsid w:val="00267D92"/>
    <w:rsid w:val="00283F36"/>
    <w:rsid w:val="0028759E"/>
    <w:rsid w:val="00287B28"/>
    <w:rsid w:val="00287BB0"/>
    <w:rsid w:val="0029407F"/>
    <w:rsid w:val="002B3A20"/>
    <w:rsid w:val="002B4485"/>
    <w:rsid w:val="002B4B71"/>
    <w:rsid w:val="002B6590"/>
    <w:rsid w:val="002C0292"/>
    <w:rsid w:val="002C16A6"/>
    <w:rsid w:val="002C22BD"/>
    <w:rsid w:val="002C42BB"/>
    <w:rsid w:val="002C570D"/>
    <w:rsid w:val="002C7C09"/>
    <w:rsid w:val="002D19A7"/>
    <w:rsid w:val="002D3F12"/>
    <w:rsid w:val="002E54D0"/>
    <w:rsid w:val="002E5FD2"/>
    <w:rsid w:val="002E695B"/>
    <w:rsid w:val="002F07A5"/>
    <w:rsid w:val="002F45A5"/>
    <w:rsid w:val="002F4617"/>
    <w:rsid w:val="002F6903"/>
    <w:rsid w:val="003015E3"/>
    <w:rsid w:val="00303A3A"/>
    <w:rsid w:val="00303B86"/>
    <w:rsid w:val="0030432C"/>
    <w:rsid w:val="00305837"/>
    <w:rsid w:val="00305839"/>
    <w:rsid w:val="00312303"/>
    <w:rsid w:val="00331826"/>
    <w:rsid w:val="00333B2E"/>
    <w:rsid w:val="00333DCB"/>
    <w:rsid w:val="003415D5"/>
    <w:rsid w:val="00342BEA"/>
    <w:rsid w:val="0034483E"/>
    <w:rsid w:val="00363389"/>
    <w:rsid w:val="00364FFF"/>
    <w:rsid w:val="00370F9A"/>
    <w:rsid w:val="00374EBA"/>
    <w:rsid w:val="00376DA6"/>
    <w:rsid w:val="00377F22"/>
    <w:rsid w:val="0038002A"/>
    <w:rsid w:val="0038153E"/>
    <w:rsid w:val="00381ED4"/>
    <w:rsid w:val="00383283"/>
    <w:rsid w:val="00395645"/>
    <w:rsid w:val="00395D32"/>
    <w:rsid w:val="003A084F"/>
    <w:rsid w:val="003A138F"/>
    <w:rsid w:val="003A416E"/>
    <w:rsid w:val="003A6870"/>
    <w:rsid w:val="003B47B5"/>
    <w:rsid w:val="003B5D19"/>
    <w:rsid w:val="003C3964"/>
    <w:rsid w:val="003C7E4F"/>
    <w:rsid w:val="003D3742"/>
    <w:rsid w:val="003D4CD1"/>
    <w:rsid w:val="003E239F"/>
    <w:rsid w:val="003E6662"/>
    <w:rsid w:val="003F2E03"/>
    <w:rsid w:val="003F30A7"/>
    <w:rsid w:val="003F4123"/>
    <w:rsid w:val="003F7E8E"/>
    <w:rsid w:val="00405016"/>
    <w:rsid w:val="00421314"/>
    <w:rsid w:val="00427970"/>
    <w:rsid w:val="0043068E"/>
    <w:rsid w:val="00436EB3"/>
    <w:rsid w:val="0044097A"/>
    <w:rsid w:val="00442F4F"/>
    <w:rsid w:val="00443560"/>
    <w:rsid w:val="00456640"/>
    <w:rsid w:val="00457909"/>
    <w:rsid w:val="00461BFC"/>
    <w:rsid w:val="00463A89"/>
    <w:rsid w:val="004661F6"/>
    <w:rsid w:val="004741C4"/>
    <w:rsid w:val="0047453A"/>
    <w:rsid w:val="00476706"/>
    <w:rsid w:val="00480C08"/>
    <w:rsid w:val="00493F10"/>
    <w:rsid w:val="00494BA3"/>
    <w:rsid w:val="004A1397"/>
    <w:rsid w:val="004A2CC5"/>
    <w:rsid w:val="004A6FA8"/>
    <w:rsid w:val="004B1BE5"/>
    <w:rsid w:val="004B3BB8"/>
    <w:rsid w:val="004C3B0A"/>
    <w:rsid w:val="004C795E"/>
    <w:rsid w:val="004C7CC9"/>
    <w:rsid w:val="004D0113"/>
    <w:rsid w:val="004D229D"/>
    <w:rsid w:val="004E2321"/>
    <w:rsid w:val="004E2739"/>
    <w:rsid w:val="004E31DC"/>
    <w:rsid w:val="004E48C2"/>
    <w:rsid w:val="004F4B32"/>
    <w:rsid w:val="0050071E"/>
    <w:rsid w:val="00502FD5"/>
    <w:rsid w:val="0050692B"/>
    <w:rsid w:val="005129E0"/>
    <w:rsid w:val="00523B85"/>
    <w:rsid w:val="00525ACB"/>
    <w:rsid w:val="00530AC8"/>
    <w:rsid w:val="00531BEE"/>
    <w:rsid w:val="005334E6"/>
    <w:rsid w:val="00540E7B"/>
    <w:rsid w:val="0055006A"/>
    <w:rsid w:val="00550E2C"/>
    <w:rsid w:val="005534C9"/>
    <w:rsid w:val="0055357D"/>
    <w:rsid w:val="0055375E"/>
    <w:rsid w:val="005556A7"/>
    <w:rsid w:val="005563EE"/>
    <w:rsid w:val="005602E3"/>
    <w:rsid w:val="00560F1B"/>
    <w:rsid w:val="005628A0"/>
    <w:rsid w:val="00566D83"/>
    <w:rsid w:val="005725DC"/>
    <w:rsid w:val="00575E1F"/>
    <w:rsid w:val="00580781"/>
    <w:rsid w:val="005837B5"/>
    <w:rsid w:val="0058456E"/>
    <w:rsid w:val="00586248"/>
    <w:rsid w:val="005864F0"/>
    <w:rsid w:val="00587253"/>
    <w:rsid w:val="005931B2"/>
    <w:rsid w:val="005A16A6"/>
    <w:rsid w:val="005A1BF4"/>
    <w:rsid w:val="005A2FB9"/>
    <w:rsid w:val="005B3BFD"/>
    <w:rsid w:val="005B746B"/>
    <w:rsid w:val="005B7EEE"/>
    <w:rsid w:val="005C152C"/>
    <w:rsid w:val="005C23D1"/>
    <w:rsid w:val="005E08A7"/>
    <w:rsid w:val="005E61F2"/>
    <w:rsid w:val="005E6994"/>
    <w:rsid w:val="005E6D52"/>
    <w:rsid w:val="005E7647"/>
    <w:rsid w:val="005F196D"/>
    <w:rsid w:val="006027E2"/>
    <w:rsid w:val="006134CD"/>
    <w:rsid w:val="00613E54"/>
    <w:rsid w:val="0061710E"/>
    <w:rsid w:val="0061747B"/>
    <w:rsid w:val="00620387"/>
    <w:rsid w:val="006221E1"/>
    <w:rsid w:val="00625CA7"/>
    <w:rsid w:val="00626641"/>
    <w:rsid w:val="0062773C"/>
    <w:rsid w:val="00627C8A"/>
    <w:rsid w:val="00641DBF"/>
    <w:rsid w:val="006546E0"/>
    <w:rsid w:val="00657B7E"/>
    <w:rsid w:val="0066435E"/>
    <w:rsid w:val="00667924"/>
    <w:rsid w:val="00672B5B"/>
    <w:rsid w:val="00675430"/>
    <w:rsid w:val="00677007"/>
    <w:rsid w:val="00681404"/>
    <w:rsid w:val="0068403E"/>
    <w:rsid w:val="006864A5"/>
    <w:rsid w:val="00695946"/>
    <w:rsid w:val="006B1A56"/>
    <w:rsid w:val="006B3AF3"/>
    <w:rsid w:val="006B4AA2"/>
    <w:rsid w:val="006B7CFD"/>
    <w:rsid w:val="006C20AE"/>
    <w:rsid w:val="006C5E54"/>
    <w:rsid w:val="006D6D06"/>
    <w:rsid w:val="006E66CA"/>
    <w:rsid w:val="006F398F"/>
    <w:rsid w:val="006F5D84"/>
    <w:rsid w:val="006F6D4C"/>
    <w:rsid w:val="007032A0"/>
    <w:rsid w:val="00706135"/>
    <w:rsid w:val="0070669C"/>
    <w:rsid w:val="00707341"/>
    <w:rsid w:val="00710F07"/>
    <w:rsid w:val="00711214"/>
    <w:rsid w:val="007135BB"/>
    <w:rsid w:val="007161FB"/>
    <w:rsid w:val="00723DED"/>
    <w:rsid w:val="00725D70"/>
    <w:rsid w:val="00730499"/>
    <w:rsid w:val="00732EBB"/>
    <w:rsid w:val="00733953"/>
    <w:rsid w:val="0074084E"/>
    <w:rsid w:val="00745E14"/>
    <w:rsid w:val="007523CF"/>
    <w:rsid w:val="00764BFC"/>
    <w:rsid w:val="0076719A"/>
    <w:rsid w:val="00767FDA"/>
    <w:rsid w:val="00773054"/>
    <w:rsid w:val="00776362"/>
    <w:rsid w:val="00776663"/>
    <w:rsid w:val="00777DBD"/>
    <w:rsid w:val="00787B9A"/>
    <w:rsid w:val="007949FC"/>
    <w:rsid w:val="007A0ACB"/>
    <w:rsid w:val="007A3340"/>
    <w:rsid w:val="007A53A2"/>
    <w:rsid w:val="007B0F6D"/>
    <w:rsid w:val="007B3FBC"/>
    <w:rsid w:val="007C3AF1"/>
    <w:rsid w:val="007C406A"/>
    <w:rsid w:val="007C50CE"/>
    <w:rsid w:val="007C7271"/>
    <w:rsid w:val="007D1601"/>
    <w:rsid w:val="007D4560"/>
    <w:rsid w:val="007D46BA"/>
    <w:rsid w:val="007D5CA8"/>
    <w:rsid w:val="007E343C"/>
    <w:rsid w:val="007E3D05"/>
    <w:rsid w:val="007E4FE0"/>
    <w:rsid w:val="007E77C4"/>
    <w:rsid w:val="007F0AD7"/>
    <w:rsid w:val="007F136C"/>
    <w:rsid w:val="007F1BEF"/>
    <w:rsid w:val="007F5981"/>
    <w:rsid w:val="0080181F"/>
    <w:rsid w:val="00802024"/>
    <w:rsid w:val="0081540D"/>
    <w:rsid w:val="00827FE5"/>
    <w:rsid w:val="00834B9B"/>
    <w:rsid w:val="00836343"/>
    <w:rsid w:val="00840B6C"/>
    <w:rsid w:val="00844D68"/>
    <w:rsid w:val="008465D9"/>
    <w:rsid w:val="00851043"/>
    <w:rsid w:val="00851B39"/>
    <w:rsid w:val="00853EA3"/>
    <w:rsid w:val="00856F48"/>
    <w:rsid w:val="0086015D"/>
    <w:rsid w:val="008629DF"/>
    <w:rsid w:val="008666C7"/>
    <w:rsid w:val="00867A89"/>
    <w:rsid w:val="008735F7"/>
    <w:rsid w:val="008764BE"/>
    <w:rsid w:val="0088147D"/>
    <w:rsid w:val="0089096E"/>
    <w:rsid w:val="00895AB9"/>
    <w:rsid w:val="008A3641"/>
    <w:rsid w:val="008A7C31"/>
    <w:rsid w:val="008B2E57"/>
    <w:rsid w:val="008C0D04"/>
    <w:rsid w:val="008C47D7"/>
    <w:rsid w:val="008C5371"/>
    <w:rsid w:val="008C5F37"/>
    <w:rsid w:val="008C6DE4"/>
    <w:rsid w:val="008C76DA"/>
    <w:rsid w:val="008D0D74"/>
    <w:rsid w:val="008D1857"/>
    <w:rsid w:val="008D36C0"/>
    <w:rsid w:val="008E1BBD"/>
    <w:rsid w:val="008E2777"/>
    <w:rsid w:val="008E7EA8"/>
    <w:rsid w:val="00901DB7"/>
    <w:rsid w:val="009021E6"/>
    <w:rsid w:val="00910938"/>
    <w:rsid w:val="009148F4"/>
    <w:rsid w:val="0091597C"/>
    <w:rsid w:val="00916C14"/>
    <w:rsid w:val="009253C0"/>
    <w:rsid w:val="00926695"/>
    <w:rsid w:val="009266A0"/>
    <w:rsid w:val="00931B6A"/>
    <w:rsid w:val="00934A5B"/>
    <w:rsid w:val="009412AA"/>
    <w:rsid w:val="00942886"/>
    <w:rsid w:val="00944352"/>
    <w:rsid w:val="00944ED3"/>
    <w:rsid w:val="00955CD0"/>
    <w:rsid w:val="00956DF7"/>
    <w:rsid w:val="009619D1"/>
    <w:rsid w:val="00962EB5"/>
    <w:rsid w:val="00963FCE"/>
    <w:rsid w:val="009740EA"/>
    <w:rsid w:val="00974D13"/>
    <w:rsid w:val="00976542"/>
    <w:rsid w:val="00984439"/>
    <w:rsid w:val="009851FB"/>
    <w:rsid w:val="00992D28"/>
    <w:rsid w:val="00992D49"/>
    <w:rsid w:val="00995BEA"/>
    <w:rsid w:val="009973F0"/>
    <w:rsid w:val="009A3F0A"/>
    <w:rsid w:val="009A608B"/>
    <w:rsid w:val="009B3CC6"/>
    <w:rsid w:val="009B4C7E"/>
    <w:rsid w:val="009B59E4"/>
    <w:rsid w:val="009C20C8"/>
    <w:rsid w:val="009C3C1E"/>
    <w:rsid w:val="009C798E"/>
    <w:rsid w:val="009D20A7"/>
    <w:rsid w:val="009D44FE"/>
    <w:rsid w:val="009E2B85"/>
    <w:rsid w:val="009E4C2C"/>
    <w:rsid w:val="009F1840"/>
    <w:rsid w:val="009F3E56"/>
    <w:rsid w:val="009F63C6"/>
    <w:rsid w:val="00A033ED"/>
    <w:rsid w:val="00A10064"/>
    <w:rsid w:val="00A1083C"/>
    <w:rsid w:val="00A147AB"/>
    <w:rsid w:val="00A162B5"/>
    <w:rsid w:val="00A17040"/>
    <w:rsid w:val="00A21DDA"/>
    <w:rsid w:val="00A236AC"/>
    <w:rsid w:val="00A272AE"/>
    <w:rsid w:val="00A27688"/>
    <w:rsid w:val="00A27B0E"/>
    <w:rsid w:val="00A32F69"/>
    <w:rsid w:val="00A34CBC"/>
    <w:rsid w:val="00A427E0"/>
    <w:rsid w:val="00A44D3E"/>
    <w:rsid w:val="00A46A67"/>
    <w:rsid w:val="00A50D9B"/>
    <w:rsid w:val="00A51E6E"/>
    <w:rsid w:val="00A51ECB"/>
    <w:rsid w:val="00A5205F"/>
    <w:rsid w:val="00A52F0E"/>
    <w:rsid w:val="00A53160"/>
    <w:rsid w:val="00A54A98"/>
    <w:rsid w:val="00A55585"/>
    <w:rsid w:val="00A5685A"/>
    <w:rsid w:val="00A57E20"/>
    <w:rsid w:val="00A60F41"/>
    <w:rsid w:val="00A61D81"/>
    <w:rsid w:val="00A63ECF"/>
    <w:rsid w:val="00A64F84"/>
    <w:rsid w:val="00A7231E"/>
    <w:rsid w:val="00A72BD1"/>
    <w:rsid w:val="00A82D23"/>
    <w:rsid w:val="00A83C43"/>
    <w:rsid w:val="00A8701C"/>
    <w:rsid w:val="00A91339"/>
    <w:rsid w:val="00A92360"/>
    <w:rsid w:val="00A93CA1"/>
    <w:rsid w:val="00AA4E55"/>
    <w:rsid w:val="00AA51AD"/>
    <w:rsid w:val="00AA7366"/>
    <w:rsid w:val="00AB65D7"/>
    <w:rsid w:val="00AB7300"/>
    <w:rsid w:val="00AC14FA"/>
    <w:rsid w:val="00AC6B9F"/>
    <w:rsid w:val="00AC6C1E"/>
    <w:rsid w:val="00AE4727"/>
    <w:rsid w:val="00AE777B"/>
    <w:rsid w:val="00AF075C"/>
    <w:rsid w:val="00AF251E"/>
    <w:rsid w:val="00AF4F09"/>
    <w:rsid w:val="00AF7E96"/>
    <w:rsid w:val="00B101A4"/>
    <w:rsid w:val="00B129D4"/>
    <w:rsid w:val="00B140FC"/>
    <w:rsid w:val="00B1700F"/>
    <w:rsid w:val="00B20285"/>
    <w:rsid w:val="00B22650"/>
    <w:rsid w:val="00B22704"/>
    <w:rsid w:val="00B22CD6"/>
    <w:rsid w:val="00B31914"/>
    <w:rsid w:val="00B31A85"/>
    <w:rsid w:val="00B37B66"/>
    <w:rsid w:val="00B43AC5"/>
    <w:rsid w:val="00B52BF6"/>
    <w:rsid w:val="00B6516C"/>
    <w:rsid w:val="00B71429"/>
    <w:rsid w:val="00B72C31"/>
    <w:rsid w:val="00B761BC"/>
    <w:rsid w:val="00B77387"/>
    <w:rsid w:val="00B803EC"/>
    <w:rsid w:val="00B81454"/>
    <w:rsid w:val="00B81BF6"/>
    <w:rsid w:val="00B850DF"/>
    <w:rsid w:val="00B92631"/>
    <w:rsid w:val="00B934F9"/>
    <w:rsid w:val="00B94FC0"/>
    <w:rsid w:val="00B96FF1"/>
    <w:rsid w:val="00BA4B93"/>
    <w:rsid w:val="00BA4ECD"/>
    <w:rsid w:val="00BA5B9C"/>
    <w:rsid w:val="00BB533E"/>
    <w:rsid w:val="00BB5F71"/>
    <w:rsid w:val="00BB697C"/>
    <w:rsid w:val="00BB730E"/>
    <w:rsid w:val="00BC56D0"/>
    <w:rsid w:val="00BD34CA"/>
    <w:rsid w:val="00BD4062"/>
    <w:rsid w:val="00BD5515"/>
    <w:rsid w:val="00BD5868"/>
    <w:rsid w:val="00BE2D7B"/>
    <w:rsid w:val="00BE35CA"/>
    <w:rsid w:val="00BE5AA9"/>
    <w:rsid w:val="00BF4043"/>
    <w:rsid w:val="00C0412F"/>
    <w:rsid w:val="00C04C36"/>
    <w:rsid w:val="00C04DBA"/>
    <w:rsid w:val="00C13B66"/>
    <w:rsid w:val="00C203CE"/>
    <w:rsid w:val="00C22764"/>
    <w:rsid w:val="00C23BF9"/>
    <w:rsid w:val="00C23F7D"/>
    <w:rsid w:val="00C26472"/>
    <w:rsid w:val="00C339E4"/>
    <w:rsid w:val="00C33F8E"/>
    <w:rsid w:val="00C34403"/>
    <w:rsid w:val="00C36F54"/>
    <w:rsid w:val="00C43134"/>
    <w:rsid w:val="00C453C3"/>
    <w:rsid w:val="00C4790D"/>
    <w:rsid w:val="00C508FD"/>
    <w:rsid w:val="00C5173E"/>
    <w:rsid w:val="00C51F2E"/>
    <w:rsid w:val="00C54030"/>
    <w:rsid w:val="00C55F9F"/>
    <w:rsid w:val="00C612E1"/>
    <w:rsid w:val="00C63428"/>
    <w:rsid w:val="00C7103D"/>
    <w:rsid w:val="00C73392"/>
    <w:rsid w:val="00C76F9E"/>
    <w:rsid w:val="00C8098C"/>
    <w:rsid w:val="00C84400"/>
    <w:rsid w:val="00C91320"/>
    <w:rsid w:val="00C931C8"/>
    <w:rsid w:val="00C96E4F"/>
    <w:rsid w:val="00C97FEB"/>
    <w:rsid w:val="00CA1D3F"/>
    <w:rsid w:val="00CA3179"/>
    <w:rsid w:val="00CB4C63"/>
    <w:rsid w:val="00CC24A9"/>
    <w:rsid w:val="00CD07B3"/>
    <w:rsid w:val="00CD663A"/>
    <w:rsid w:val="00CE260E"/>
    <w:rsid w:val="00CE5499"/>
    <w:rsid w:val="00CF0439"/>
    <w:rsid w:val="00D00359"/>
    <w:rsid w:val="00D0224C"/>
    <w:rsid w:val="00D06440"/>
    <w:rsid w:val="00D07C06"/>
    <w:rsid w:val="00D13127"/>
    <w:rsid w:val="00D139A7"/>
    <w:rsid w:val="00D45EF0"/>
    <w:rsid w:val="00D5201A"/>
    <w:rsid w:val="00D53B49"/>
    <w:rsid w:val="00D53D11"/>
    <w:rsid w:val="00D54408"/>
    <w:rsid w:val="00D54739"/>
    <w:rsid w:val="00D54B91"/>
    <w:rsid w:val="00D55E53"/>
    <w:rsid w:val="00D5646A"/>
    <w:rsid w:val="00D5737E"/>
    <w:rsid w:val="00D57F22"/>
    <w:rsid w:val="00D61DD5"/>
    <w:rsid w:val="00D63CD9"/>
    <w:rsid w:val="00D67174"/>
    <w:rsid w:val="00D67A5B"/>
    <w:rsid w:val="00D70B32"/>
    <w:rsid w:val="00D717B5"/>
    <w:rsid w:val="00D73C2E"/>
    <w:rsid w:val="00D76B06"/>
    <w:rsid w:val="00D82B86"/>
    <w:rsid w:val="00D851E0"/>
    <w:rsid w:val="00D869CF"/>
    <w:rsid w:val="00D86C16"/>
    <w:rsid w:val="00D93A61"/>
    <w:rsid w:val="00DA4167"/>
    <w:rsid w:val="00DA5010"/>
    <w:rsid w:val="00DA51B0"/>
    <w:rsid w:val="00DA57C7"/>
    <w:rsid w:val="00DA6E26"/>
    <w:rsid w:val="00DA7319"/>
    <w:rsid w:val="00DA77DD"/>
    <w:rsid w:val="00DB06AA"/>
    <w:rsid w:val="00DB06B5"/>
    <w:rsid w:val="00DB62F0"/>
    <w:rsid w:val="00DC04FA"/>
    <w:rsid w:val="00DC779A"/>
    <w:rsid w:val="00DD32F3"/>
    <w:rsid w:val="00DD4346"/>
    <w:rsid w:val="00DD4443"/>
    <w:rsid w:val="00DE28CE"/>
    <w:rsid w:val="00DE47C2"/>
    <w:rsid w:val="00DF2B3C"/>
    <w:rsid w:val="00DF4BCC"/>
    <w:rsid w:val="00E04869"/>
    <w:rsid w:val="00E05028"/>
    <w:rsid w:val="00E050A5"/>
    <w:rsid w:val="00E06078"/>
    <w:rsid w:val="00E11E5A"/>
    <w:rsid w:val="00E166C6"/>
    <w:rsid w:val="00E20503"/>
    <w:rsid w:val="00E20F31"/>
    <w:rsid w:val="00E338FF"/>
    <w:rsid w:val="00E354BF"/>
    <w:rsid w:val="00E46FE2"/>
    <w:rsid w:val="00E60CC4"/>
    <w:rsid w:val="00E625D3"/>
    <w:rsid w:val="00E63458"/>
    <w:rsid w:val="00E66A3F"/>
    <w:rsid w:val="00E71D47"/>
    <w:rsid w:val="00E73C9B"/>
    <w:rsid w:val="00E74709"/>
    <w:rsid w:val="00E83AF5"/>
    <w:rsid w:val="00E842F3"/>
    <w:rsid w:val="00E85D46"/>
    <w:rsid w:val="00E86C67"/>
    <w:rsid w:val="00E95F45"/>
    <w:rsid w:val="00EA25C8"/>
    <w:rsid w:val="00EA2D61"/>
    <w:rsid w:val="00EA4D9F"/>
    <w:rsid w:val="00EA6300"/>
    <w:rsid w:val="00EA6864"/>
    <w:rsid w:val="00EB0B5C"/>
    <w:rsid w:val="00EB1D56"/>
    <w:rsid w:val="00EB4147"/>
    <w:rsid w:val="00EC10B4"/>
    <w:rsid w:val="00EC2E2D"/>
    <w:rsid w:val="00EC5A3E"/>
    <w:rsid w:val="00ED57ED"/>
    <w:rsid w:val="00EE2421"/>
    <w:rsid w:val="00EE2CE1"/>
    <w:rsid w:val="00EE3C8A"/>
    <w:rsid w:val="00EE63AA"/>
    <w:rsid w:val="00EF0C0B"/>
    <w:rsid w:val="00EF12C1"/>
    <w:rsid w:val="00EF29B4"/>
    <w:rsid w:val="00EF65E8"/>
    <w:rsid w:val="00F117F6"/>
    <w:rsid w:val="00F153B8"/>
    <w:rsid w:val="00F203EE"/>
    <w:rsid w:val="00F24770"/>
    <w:rsid w:val="00F249EE"/>
    <w:rsid w:val="00F25204"/>
    <w:rsid w:val="00F32269"/>
    <w:rsid w:val="00F3227E"/>
    <w:rsid w:val="00F3442F"/>
    <w:rsid w:val="00F370DD"/>
    <w:rsid w:val="00F4232D"/>
    <w:rsid w:val="00F4503D"/>
    <w:rsid w:val="00F47FDF"/>
    <w:rsid w:val="00F5295F"/>
    <w:rsid w:val="00F5463A"/>
    <w:rsid w:val="00F560C8"/>
    <w:rsid w:val="00F571BD"/>
    <w:rsid w:val="00F578DD"/>
    <w:rsid w:val="00F62DF5"/>
    <w:rsid w:val="00F84A7D"/>
    <w:rsid w:val="00F8697E"/>
    <w:rsid w:val="00F872C4"/>
    <w:rsid w:val="00FA4474"/>
    <w:rsid w:val="00FB2E95"/>
    <w:rsid w:val="00FB4242"/>
    <w:rsid w:val="00FB5AB1"/>
    <w:rsid w:val="00FB5B4C"/>
    <w:rsid w:val="00FB7775"/>
    <w:rsid w:val="00FC0FC6"/>
    <w:rsid w:val="00FC6F56"/>
    <w:rsid w:val="00FC78F1"/>
    <w:rsid w:val="00FD442F"/>
    <w:rsid w:val="00FF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pPr>
      <w:tabs>
        <w:tab w:val="left" w:pos="1980"/>
      </w:tabs>
      <w:spacing w:line="480" w:lineRule="auto"/>
      <w:jc w:val="both"/>
    </w:pPr>
    <w:rPr>
      <w:rFonts w:ascii="Courier" w:hAnsi="Courier"/>
    </w:rPr>
  </w:style>
  <w:style w:type="paragraph" w:styleId="BodyText2">
    <w:name w:val="Body Text 2"/>
    <w:basedOn w:val="Normal"/>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paragraph" w:styleId="BodyTextIndent2">
    <w:name w:val="Body Text Indent 2"/>
    <w:basedOn w:val="Normal"/>
    <w:link w:val="BodyTextIndent2Char"/>
    <w:uiPriority w:val="99"/>
    <w:semiHidden/>
    <w:unhideWhenUsed/>
    <w:rsid w:val="00A61D81"/>
    <w:pPr>
      <w:spacing w:after="120" w:line="480" w:lineRule="auto"/>
      <w:ind w:left="360"/>
    </w:pPr>
  </w:style>
  <w:style w:type="character" w:customStyle="1" w:styleId="BodyTextIndent2Char">
    <w:name w:val="Body Text Indent 2 Char"/>
    <w:basedOn w:val="DefaultParagraphFont"/>
    <w:link w:val="BodyTextIndent2"/>
    <w:uiPriority w:val="99"/>
    <w:semiHidden/>
    <w:rsid w:val="00A61D81"/>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pPr>
      <w:tabs>
        <w:tab w:val="left" w:pos="1980"/>
      </w:tabs>
      <w:spacing w:line="480" w:lineRule="auto"/>
      <w:jc w:val="both"/>
    </w:pPr>
    <w:rPr>
      <w:rFonts w:ascii="Courier" w:hAnsi="Courier"/>
    </w:rPr>
  </w:style>
  <w:style w:type="paragraph" w:styleId="BodyText2">
    <w:name w:val="Body Text 2"/>
    <w:basedOn w:val="Normal"/>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paragraph" w:styleId="BodyTextIndent2">
    <w:name w:val="Body Text Indent 2"/>
    <w:basedOn w:val="Normal"/>
    <w:link w:val="BodyTextIndent2Char"/>
    <w:uiPriority w:val="99"/>
    <w:semiHidden/>
    <w:unhideWhenUsed/>
    <w:rsid w:val="00A61D81"/>
    <w:pPr>
      <w:spacing w:after="120" w:line="480" w:lineRule="auto"/>
      <w:ind w:left="360"/>
    </w:pPr>
  </w:style>
  <w:style w:type="character" w:customStyle="1" w:styleId="BodyTextIndent2Char">
    <w:name w:val="Body Text Indent 2 Char"/>
    <w:basedOn w:val="DefaultParagraphFont"/>
    <w:link w:val="BodyTextIndent2"/>
    <w:uiPriority w:val="99"/>
    <w:semiHidden/>
    <w:rsid w:val="00A61D81"/>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549">
      <w:bodyDiv w:val="1"/>
      <w:marLeft w:val="0"/>
      <w:marRight w:val="0"/>
      <w:marTop w:val="0"/>
      <w:marBottom w:val="0"/>
      <w:divBdr>
        <w:top w:val="none" w:sz="0" w:space="0" w:color="auto"/>
        <w:left w:val="none" w:sz="0" w:space="0" w:color="auto"/>
        <w:bottom w:val="none" w:sz="0" w:space="0" w:color="auto"/>
        <w:right w:val="none" w:sz="0" w:space="0" w:color="auto"/>
      </w:divBdr>
    </w:div>
    <w:div w:id="14960833">
      <w:bodyDiv w:val="1"/>
      <w:marLeft w:val="0"/>
      <w:marRight w:val="0"/>
      <w:marTop w:val="0"/>
      <w:marBottom w:val="0"/>
      <w:divBdr>
        <w:top w:val="none" w:sz="0" w:space="0" w:color="auto"/>
        <w:left w:val="none" w:sz="0" w:space="0" w:color="auto"/>
        <w:bottom w:val="none" w:sz="0" w:space="0" w:color="auto"/>
        <w:right w:val="none" w:sz="0" w:space="0" w:color="auto"/>
      </w:divBdr>
    </w:div>
    <w:div w:id="37051563">
      <w:bodyDiv w:val="1"/>
      <w:marLeft w:val="0"/>
      <w:marRight w:val="0"/>
      <w:marTop w:val="0"/>
      <w:marBottom w:val="0"/>
      <w:divBdr>
        <w:top w:val="none" w:sz="0" w:space="0" w:color="auto"/>
        <w:left w:val="none" w:sz="0" w:space="0" w:color="auto"/>
        <w:bottom w:val="none" w:sz="0" w:space="0" w:color="auto"/>
        <w:right w:val="none" w:sz="0" w:space="0" w:color="auto"/>
      </w:divBdr>
    </w:div>
    <w:div w:id="39330222">
      <w:bodyDiv w:val="1"/>
      <w:marLeft w:val="0"/>
      <w:marRight w:val="0"/>
      <w:marTop w:val="0"/>
      <w:marBottom w:val="0"/>
      <w:divBdr>
        <w:top w:val="none" w:sz="0" w:space="0" w:color="auto"/>
        <w:left w:val="none" w:sz="0" w:space="0" w:color="auto"/>
        <w:bottom w:val="none" w:sz="0" w:space="0" w:color="auto"/>
        <w:right w:val="none" w:sz="0" w:space="0" w:color="auto"/>
      </w:divBdr>
    </w:div>
    <w:div w:id="56519378">
      <w:bodyDiv w:val="1"/>
      <w:marLeft w:val="0"/>
      <w:marRight w:val="0"/>
      <w:marTop w:val="0"/>
      <w:marBottom w:val="0"/>
      <w:divBdr>
        <w:top w:val="none" w:sz="0" w:space="0" w:color="auto"/>
        <w:left w:val="none" w:sz="0" w:space="0" w:color="auto"/>
        <w:bottom w:val="none" w:sz="0" w:space="0" w:color="auto"/>
        <w:right w:val="none" w:sz="0" w:space="0" w:color="auto"/>
      </w:divBdr>
    </w:div>
    <w:div w:id="84159340">
      <w:bodyDiv w:val="1"/>
      <w:marLeft w:val="0"/>
      <w:marRight w:val="0"/>
      <w:marTop w:val="0"/>
      <w:marBottom w:val="0"/>
      <w:divBdr>
        <w:top w:val="none" w:sz="0" w:space="0" w:color="auto"/>
        <w:left w:val="none" w:sz="0" w:space="0" w:color="auto"/>
        <w:bottom w:val="none" w:sz="0" w:space="0" w:color="auto"/>
        <w:right w:val="none" w:sz="0" w:space="0" w:color="auto"/>
      </w:divBdr>
    </w:div>
    <w:div w:id="90593900">
      <w:bodyDiv w:val="1"/>
      <w:marLeft w:val="0"/>
      <w:marRight w:val="0"/>
      <w:marTop w:val="0"/>
      <w:marBottom w:val="0"/>
      <w:divBdr>
        <w:top w:val="none" w:sz="0" w:space="0" w:color="auto"/>
        <w:left w:val="none" w:sz="0" w:space="0" w:color="auto"/>
        <w:bottom w:val="none" w:sz="0" w:space="0" w:color="auto"/>
        <w:right w:val="none" w:sz="0" w:space="0" w:color="auto"/>
      </w:divBdr>
    </w:div>
    <w:div w:id="108210993">
      <w:bodyDiv w:val="1"/>
      <w:marLeft w:val="0"/>
      <w:marRight w:val="0"/>
      <w:marTop w:val="0"/>
      <w:marBottom w:val="0"/>
      <w:divBdr>
        <w:top w:val="none" w:sz="0" w:space="0" w:color="auto"/>
        <w:left w:val="none" w:sz="0" w:space="0" w:color="auto"/>
        <w:bottom w:val="none" w:sz="0" w:space="0" w:color="auto"/>
        <w:right w:val="none" w:sz="0" w:space="0" w:color="auto"/>
      </w:divBdr>
    </w:div>
    <w:div w:id="129901010">
      <w:bodyDiv w:val="1"/>
      <w:marLeft w:val="0"/>
      <w:marRight w:val="0"/>
      <w:marTop w:val="0"/>
      <w:marBottom w:val="0"/>
      <w:divBdr>
        <w:top w:val="none" w:sz="0" w:space="0" w:color="auto"/>
        <w:left w:val="none" w:sz="0" w:space="0" w:color="auto"/>
        <w:bottom w:val="none" w:sz="0" w:space="0" w:color="auto"/>
        <w:right w:val="none" w:sz="0" w:space="0" w:color="auto"/>
      </w:divBdr>
    </w:div>
    <w:div w:id="146752808">
      <w:bodyDiv w:val="1"/>
      <w:marLeft w:val="0"/>
      <w:marRight w:val="0"/>
      <w:marTop w:val="0"/>
      <w:marBottom w:val="0"/>
      <w:divBdr>
        <w:top w:val="none" w:sz="0" w:space="0" w:color="auto"/>
        <w:left w:val="none" w:sz="0" w:space="0" w:color="auto"/>
        <w:bottom w:val="none" w:sz="0" w:space="0" w:color="auto"/>
        <w:right w:val="none" w:sz="0" w:space="0" w:color="auto"/>
      </w:divBdr>
    </w:div>
    <w:div w:id="187182034">
      <w:bodyDiv w:val="1"/>
      <w:marLeft w:val="0"/>
      <w:marRight w:val="0"/>
      <w:marTop w:val="0"/>
      <w:marBottom w:val="0"/>
      <w:divBdr>
        <w:top w:val="none" w:sz="0" w:space="0" w:color="auto"/>
        <w:left w:val="none" w:sz="0" w:space="0" w:color="auto"/>
        <w:bottom w:val="none" w:sz="0" w:space="0" w:color="auto"/>
        <w:right w:val="none" w:sz="0" w:space="0" w:color="auto"/>
      </w:divBdr>
    </w:div>
    <w:div w:id="241452622">
      <w:bodyDiv w:val="1"/>
      <w:marLeft w:val="0"/>
      <w:marRight w:val="0"/>
      <w:marTop w:val="0"/>
      <w:marBottom w:val="0"/>
      <w:divBdr>
        <w:top w:val="none" w:sz="0" w:space="0" w:color="auto"/>
        <w:left w:val="none" w:sz="0" w:space="0" w:color="auto"/>
        <w:bottom w:val="none" w:sz="0" w:space="0" w:color="auto"/>
        <w:right w:val="none" w:sz="0" w:space="0" w:color="auto"/>
      </w:divBdr>
    </w:div>
    <w:div w:id="278529967">
      <w:bodyDiv w:val="1"/>
      <w:marLeft w:val="0"/>
      <w:marRight w:val="0"/>
      <w:marTop w:val="0"/>
      <w:marBottom w:val="0"/>
      <w:divBdr>
        <w:top w:val="none" w:sz="0" w:space="0" w:color="auto"/>
        <w:left w:val="none" w:sz="0" w:space="0" w:color="auto"/>
        <w:bottom w:val="none" w:sz="0" w:space="0" w:color="auto"/>
        <w:right w:val="none" w:sz="0" w:space="0" w:color="auto"/>
      </w:divBdr>
    </w:div>
    <w:div w:id="287778195">
      <w:bodyDiv w:val="1"/>
      <w:marLeft w:val="0"/>
      <w:marRight w:val="0"/>
      <w:marTop w:val="0"/>
      <w:marBottom w:val="0"/>
      <w:divBdr>
        <w:top w:val="none" w:sz="0" w:space="0" w:color="auto"/>
        <w:left w:val="none" w:sz="0" w:space="0" w:color="auto"/>
        <w:bottom w:val="none" w:sz="0" w:space="0" w:color="auto"/>
        <w:right w:val="none" w:sz="0" w:space="0" w:color="auto"/>
      </w:divBdr>
    </w:div>
    <w:div w:id="319846507">
      <w:bodyDiv w:val="1"/>
      <w:marLeft w:val="0"/>
      <w:marRight w:val="0"/>
      <w:marTop w:val="0"/>
      <w:marBottom w:val="0"/>
      <w:divBdr>
        <w:top w:val="none" w:sz="0" w:space="0" w:color="auto"/>
        <w:left w:val="none" w:sz="0" w:space="0" w:color="auto"/>
        <w:bottom w:val="none" w:sz="0" w:space="0" w:color="auto"/>
        <w:right w:val="none" w:sz="0" w:space="0" w:color="auto"/>
      </w:divBdr>
    </w:div>
    <w:div w:id="342632296">
      <w:bodyDiv w:val="1"/>
      <w:marLeft w:val="0"/>
      <w:marRight w:val="0"/>
      <w:marTop w:val="0"/>
      <w:marBottom w:val="0"/>
      <w:divBdr>
        <w:top w:val="none" w:sz="0" w:space="0" w:color="auto"/>
        <w:left w:val="none" w:sz="0" w:space="0" w:color="auto"/>
        <w:bottom w:val="none" w:sz="0" w:space="0" w:color="auto"/>
        <w:right w:val="none" w:sz="0" w:space="0" w:color="auto"/>
      </w:divBdr>
    </w:div>
    <w:div w:id="383606429">
      <w:bodyDiv w:val="1"/>
      <w:marLeft w:val="0"/>
      <w:marRight w:val="0"/>
      <w:marTop w:val="0"/>
      <w:marBottom w:val="0"/>
      <w:divBdr>
        <w:top w:val="none" w:sz="0" w:space="0" w:color="auto"/>
        <w:left w:val="none" w:sz="0" w:space="0" w:color="auto"/>
        <w:bottom w:val="none" w:sz="0" w:space="0" w:color="auto"/>
        <w:right w:val="none" w:sz="0" w:space="0" w:color="auto"/>
      </w:divBdr>
    </w:div>
    <w:div w:id="394813493">
      <w:bodyDiv w:val="1"/>
      <w:marLeft w:val="0"/>
      <w:marRight w:val="0"/>
      <w:marTop w:val="0"/>
      <w:marBottom w:val="0"/>
      <w:divBdr>
        <w:top w:val="none" w:sz="0" w:space="0" w:color="auto"/>
        <w:left w:val="none" w:sz="0" w:space="0" w:color="auto"/>
        <w:bottom w:val="none" w:sz="0" w:space="0" w:color="auto"/>
        <w:right w:val="none" w:sz="0" w:space="0" w:color="auto"/>
      </w:divBdr>
    </w:div>
    <w:div w:id="408580715">
      <w:bodyDiv w:val="1"/>
      <w:marLeft w:val="0"/>
      <w:marRight w:val="0"/>
      <w:marTop w:val="0"/>
      <w:marBottom w:val="0"/>
      <w:divBdr>
        <w:top w:val="none" w:sz="0" w:space="0" w:color="auto"/>
        <w:left w:val="none" w:sz="0" w:space="0" w:color="auto"/>
        <w:bottom w:val="none" w:sz="0" w:space="0" w:color="auto"/>
        <w:right w:val="none" w:sz="0" w:space="0" w:color="auto"/>
      </w:divBdr>
      <w:divsChild>
        <w:div w:id="152051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267915">
      <w:bodyDiv w:val="1"/>
      <w:marLeft w:val="0"/>
      <w:marRight w:val="0"/>
      <w:marTop w:val="0"/>
      <w:marBottom w:val="0"/>
      <w:divBdr>
        <w:top w:val="none" w:sz="0" w:space="0" w:color="auto"/>
        <w:left w:val="none" w:sz="0" w:space="0" w:color="auto"/>
        <w:bottom w:val="none" w:sz="0" w:space="0" w:color="auto"/>
        <w:right w:val="none" w:sz="0" w:space="0" w:color="auto"/>
      </w:divBdr>
    </w:div>
    <w:div w:id="455102481">
      <w:bodyDiv w:val="1"/>
      <w:marLeft w:val="0"/>
      <w:marRight w:val="0"/>
      <w:marTop w:val="0"/>
      <w:marBottom w:val="0"/>
      <w:divBdr>
        <w:top w:val="none" w:sz="0" w:space="0" w:color="auto"/>
        <w:left w:val="none" w:sz="0" w:space="0" w:color="auto"/>
        <w:bottom w:val="none" w:sz="0" w:space="0" w:color="auto"/>
        <w:right w:val="none" w:sz="0" w:space="0" w:color="auto"/>
      </w:divBdr>
    </w:div>
    <w:div w:id="468480154">
      <w:bodyDiv w:val="1"/>
      <w:marLeft w:val="0"/>
      <w:marRight w:val="0"/>
      <w:marTop w:val="0"/>
      <w:marBottom w:val="0"/>
      <w:divBdr>
        <w:top w:val="none" w:sz="0" w:space="0" w:color="auto"/>
        <w:left w:val="none" w:sz="0" w:space="0" w:color="auto"/>
        <w:bottom w:val="none" w:sz="0" w:space="0" w:color="auto"/>
        <w:right w:val="none" w:sz="0" w:space="0" w:color="auto"/>
      </w:divBdr>
    </w:div>
    <w:div w:id="492186969">
      <w:bodyDiv w:val="1"/>
      <w:marLeft w:val="0"/>
      <w:marRight w:val="0"/>
      <w:marTop w:val="0"/>
      <w:marBottom w:val="0"/>
      <w:divBdr>
        <w:top w:val="none" w:sz="0" w:space="0" w:color="auto"/>
        <w:left w:val="none" w:sz="0" w:space="0" w:color="auto"/>
        <w:bottom w:val="none" w:sz="0" w:space="0" w:color="auto"/>
        <w:right w:val="none" w:sz="0" w:space="0" w:color="auto"/>
      </w:divBdr>
    </w:div>
    <w:div w:id="500462972">
      <w:bodyDiv w:val="1"/>
      <w:marLeft w:val="0"/>
      <w:marRight w:val="0"/>
      <w:marTop w:val="0"/>
      <w:marBottom w:val="0"/>
      <w:divBdr>
        <w:top w:val="none" w:sz="0" w:space="0" w:color="auto"/>
        <w:left w:val="none" w:sz="0" w:space="0" w:color="auto"/>
        <w:bottom w:val="none" w:sz="0" w:space="0" w:color="auto"/>
        <w:right w:val="none" w:sz="0" w:space="0" w:color="auto"/>
      </w:divBdr>
    </w:div>
    <w:div w:id="535898559">
      <w:bodyDiv w:val="1"/>
      <w:marLeft w:val="0"/>
      <w:marRight w:val="0"/>
      <w:marTop w:val="0"/>
      <w:marBottom w:val="0"/>
      <w:divBdr>
        <w:top w:val="none" w:sz="0" w:space="0" w:color="auto"/>
        <w:left w:val="none" w:sz="0" w:space="0" w:color="auto"/>
        <w:bottom w:val="none" w:sz="0" w:space="0" w:color="auto"/>
        <w:right w:val="none" w:sz="0" w:space="0" w:color="auto"/>
      </w:divBdr>
    </w:div>
    <w:div w:id="537091461">
      <w:bodyDiv w:val="1"/>
      <w:marLeft w:val="0"/>
      <w:marRight w:val="0"/>
      <w:marTop w:val="0"/>
      <w:marBottom w:val="0"/>
      <w:divBdr>
        <w:top w:val="none" w:sz="0" w:space="0" w:color="auto"/>
        <w:left w:val="none" w:sz="0" w:space="0" w:color="auto"/>
        <w:bottom w:val="none" w:sz="0" w:space="0" w:color="auto"/>
        <w:right w:val="none" w:sz="0" w:space="0" w:color="auto"/>
      </w:divBdr>
      <w:divsChild>
        <w:div w:id="44335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074033">
      <w:bodyDiv w:val="1"/>
      <w:marLeft w:val="0"/>
      <w:marRight w:val="0"/>
      <w:marTop w:val="0"/>
      <w:marBottom w:val="0"/>
      <w:divBdr>
        <w:top w:val="none" w:sz="0" w:space="0" w:color="auto"/>
        <w:left w:val="none" w:sz="0" w:space="0" w:color="auto"/>
        <w:bottom w:val="none" w:sz="0" w:space="0" w:color="auto"/>
        <w:right w:val="none" w:sz="0" w:space="0" w:color="auto"/>
      </w:divBdr>
    </w:div>
    <w:div w:id="553464274">
      <w:bodyDiv w:val="1"/>
      <w:marLeft w:val="0"/>
      <w:marRight w:val="0"/>
      <w:marTop w:val="0"/>
      <w:marBottom w:val="0"/>
      <w:divBdr>
        <w:top w:val="none" w:sz="0" w:space="0" w:color="auto"/>
        <w:left w:val="none" w:sz="0" w:space="0" w:color="auto"/>
        <w:bottom w:val="none" w:sz="0" w:space="0" w:color="auto"/>
        <w:right w:val="none" w:sz="0" w:space="0" w:color="auto"/>
      </w:divBdr>
      <w:divsChild>
        <w:div w:id="98135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975945">
      <w:bodyDiv w:val="1"/>
      <w:marLeft w:val="0"/>
      <w:marRight w:val="0"/>
      <w:marTop w:val="0"/>
      <w:marBottom w:val="0"/>
      <w:divBdr>
        <w:top w:val="none" w:sz="0" w:space="0" w:color="auto"/>
        <w:left w:val="none" w:sz="0" w:space="0" w:color="auto"/>
        <w:bottom w:val="none" w:sz="0" w:space="0" w:color="auto"/>
        <w:right w:val="none" w:sz="0" w:space="0" w:color="auto"/>
      </w:divBdr>
    </w:div>
    <w:div w:id="602302022">
      <w:bodyDiv w:val="1"/>
      <w:marLeft w:val="0"/>
      <w:marRight w:val="0"/>
      <w:marTop w:val="0"/>
      <w:marBottom w:val="0"/>
      <w:divBdr>
        <w:top w:val="none" w:sz="0" w:space="0" w:color="auto"/>
        <w:left w:val="none" w:sz="0" w:space="0" w:color="auto"/>
        <w:bottom w:val="none" w:sz="0" w:space="0" w:color="auto"/>
        <w:right w:val="none" w:sz="0" w:space="0" w:color="auto"/>
      </w:divBdr>
    </w:div>
    <w:div w:id="610479970">
      <w:bodyDiv w:val="1"/>
      <w:marLeft w:val="0"/>
      <w:marRight w:val="0"/>
      <w:marTop w:val="0"/>
      <w:marBottom w:val="0"/>
      <w:divBdr>
        <w:top w:val="none" w:sz="0" w:space="0" w:color="auto"/>
        <w:left w:val="none" w:sz="0" w:space="0" w:color="auto"/>
        <w:bottom w:val="none" w:sz="0" w:space="0" w:color="auto"/>
        <w:right w:val="none" w:sz="0" w:space="0" w:color="auto"/>
      </w:divBdr>
    </w:div>
    <w:div w:id="630788615">
      <w:bodyDiv w:val="1"/>
      <w:marLeft w:val="0"/>
      <w:marRight w:val="0"/>
      <w:marTop w:val="0"/>
      <w:marBottom w:val="0"/>
      <w:divBdr>
        <w:top w:val="none" w:sz="0" w:space="0" w:color="auto"/>
        <w:left w:val="none" w:sz="0" w:space="0" w:color="auto"/>
        <w:bottom w:val="none" w:sz="0" w:space="0" w:color="auto"/>
        <w:right w:val="none" w:sz="0" w:space="0" w:color="auto"/>
      </w:divBdr>
    </w:div>
    <w:div w:id="632173395">
      <w:bodyDiv w:val="1"/>
      <w:marLeft w:val="0"/>
      <w:marRight w:val="0"/>
      <w:marTop w:val="0"/>
      <w:marBottom w:val="0"/>
      <w:divBdr>
        <w:top w:val="none" w:sz="0" w:space="0" w:color="auto"/>
        <w:left w:val="none" w:sz="0" w:space="0" w:color="auto"/>
        <w:bottom w:val="none" w:sz="0" w:space="0" w:color="auto"/>
        <w:right w:val="none" w:sz="0" w:space="0" w:color="auto"/>
      </w:divBdr>
    </w:div>
    <w:div w:id="644748295">
      <w:bodyDiv w:val="1"/>
      <w:marLeft w:val="0"/>
      <w:marRight w:val="0"/>
      <w:marTop w:val="0"/>
      <w:marBottom w:val="0"/>
      <w:divBdr>
        <w:top w:val="none" w:sz="0" w:space="0" w:color="auto"/>
        <w:left w:val="none" w:sz="0" w:space="0" w:color="auto"/>
        <w:bottom w:val="none" w:sz="0" w:space="0" w:color="auto"/>
        <w:right w:val="none" w:sz="0" w:space="0" w:color="auto"/>
      </w:divBdr>
    </w:div>
    <w:div w:id="648291877">
      <w:bodyDiv w:val="1"/>
      <w:marLeft w:val="0"/>
      <w:marRight w:val="0"/>
      <w:marTop w:val="0"/>
      <w:marBottom w:val="0"/>
      <w:divBdr>
        <w:top w:val="none" w:sz="0" w:space="0" w:color="auto"/>
        <w:left w:val="none" w:sz="0" w:space="0" w:color="auto"/>
        <w:bottom w:val="none" w:sz="0" w:space="0" w:color="auto"/>
        <w:right w:val="none" w:sz="0" w:space="0" w:color="auto"/>
      </w:divBdr>
    </w:div>
    <w:div w:id="648361519">
      <w:bodyDiv w:val="1"/>
      <w:marLeft w:val="0"/>
      <w:marRight w:val="0"/>
      <w:marTop w:val="0"/>
      <w:marBottom w:val="0"/>
      <w:divBdr>
        <w:top w:val="none" w:sz="0" w:space="0" w:color="auto"/>
        <w:left w:val="none" w:sz="0" w:space="0" w:color="auto"/>
        <w:bottom w:val="none" w:sz="0" w:space="0" w:color="auto"/>
        <w:right w:val="none" w:sz="0" w:space="0" w:color="auto"/>
      </w:divBdr>
      <w:divsChild>
        <w:div w:id="207003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604352">
      <w:bodyDiv w:val="1"/>
      <w:marLeft w:val="0"/>
      <w:marRight w:val="0"/>
      <w:marTop w:val="0"/>
      <w:marBottom w:val="0"/>
      <w:divBdr>
        <w:top w:val="none" w:sz="0" w:space="0" w:color="auto"/>
        <w:left w:val="none" w:sz="0" w:space="0" w:color="auto"/>
        <w:bottom w:val="none" w:sz="0" w:space="0" w:color="auto"/>
        <w:right w:val="none" w:sz="0" w:space="0" w:color="auto"/>
      </w:divBdr>
    </w:div>
    <w:div w:id="693305421">
      <w:bodyDiv w:val="1"/>
      <w:marLeft w:val="0"/>
      <w:marRight w:val="0"/>
      <w:marTop w:val="0"/>
      <w:marBottom w:val="0"/>
      <w:divBdr>
        <w:top w:val="none" w:sz="0" w:space="0" w:color="auto"/>
        <w:left w:val="none" w:sz="0" w:space="0" w:color="auto"/>
        <w:bottom w:val="none" w:sz="0" w:space="0" w:color="auto"/>
        <w:right w:val="none" w:sz="0" w:space="0" w:color="auto"/>
      </w:divBdr>
    </w:div>
    <w:div w:id="703990885">
      <w:bodyDiv w:val="1"/>
      <w:marLeft w:val="0"/>
      <w:marRight w:val="0"/>
      <w:marTop w:val="0"/>
      <w:marBottom w:val="0"/>
      <w:divBdr>
        <w:top w:val="none" w:sz="0" w:space="0" w:color="auto"/>
        <w:left w:val="none" w:sz="0" w:space="0" w:color="auto"/>
        <w:bottom w:val="none" w:sz="0" w:space="0" w:color="auto"/>
        <w:right w:val="none" w:sz="0" w:space="0" w:color="auto"/>
      </w:divBdr>
    </w:div>
    <w:div w:id="713847697">
      <w:bodyDiv w:val="1"/>
      <w:marLeft w:val="0"/>
      <w:marRight w:val="0"/>
      <w:marTop w:val="0"/>
      <w:marBottom w:val="0"/>
      <w:divBdr>
        <w:top w:val="none" w:sz="0" w:space="0" w:color="auto"/>
        <w:left w:val="none" w:sz="0" w:space="0" w:color="auto"/>
        <w:bottom w:val="none" w:sz="0" w:space="0" w:color="auto"/>
        <w:right w:val="none" w:sz="0" w:space="0" w:color="auto"/>
      </w:divBdr>
      <w:divsChild>
        <w:div w:id="653066635">
          <w:marLeft w:val="0"/>
          <w:marRight w:val="0"/>
          <w:marTop w:val="0"/>
          <w:marBottom w:val="0"/>
          <w:divBdr>
            <w:top w:val="none" w:sz="0" w:space="0" w:color="auto"/>
            <w:left w:val="none" w:sz="0" w:space="0" w:color="auto"/>
            <w:bottom w:val="none" w:sz="0" w:space="0" w:color="auto"/>
            <w:right w:val="none" w:sz="0" w:space="0" w:color="auto"/>
          </w:divBdr>
          <w:divsChild>
            <w:div w:id="1430735174">
              <w:marLeft w:val="0"/>
              <w:marRight w:val="0"/>
              <w:marTop w:val="0"/>
              <w:marBottom w:val="0"/>
              <w:divBdr>
                <w:top w:val="none" w:sz="0" w:space="0" w:color="auto"/>
                <w:left w:val="none" w:sz="0" w:space="0" w:color="auto"/>
                <w:bottom w:val="none" w:sz="0" w:space="0" w:color="auto"/>
                <w:right w:val="none" w:sz="0" w:space="0" w:color="auto"/>
              </w:divBdr>
              <w:divsChild>
                <w:div w:id="1132987368">
                  <w:marLeft w:val="0"/>
                  <w:marRight w:val="0"/>
                  <w:marTop w:val="0"/>
                  <w:marBottom w:val="0"/>
                  <w:divBdr>
                    <w:top w:val="none" w:sz="0" w:space="0" w:color="auto"/>
                    <w:left w:val="none" w:sz="0" w:space="0" w:color="auto"/>
                    <w:bottom w:val="none" w:sz="0" w:space="0" w:color="auto"/>
                    <w:right w:val="none" w:sz="0" w:space="0" w:color="auto"/>
                  </w:divBdr>
                  <w:divsChild>
                    <w:div w:id="124197565">
                      <w:marLeft w:val="0"/>
                      <w:marRight w:val="0"/>
                      <w:marTop w:val="0"/>
                      <w:marBottom w:val="0"/>
                      <w:divBdr>
                        <w:top w:val="none" w:sz="0" w:space="0" w:color="auto"/>
                        <w:left w:val="none" w:sz="0" w:space="0" w:color="auto"/>
                        <w:bottom w:val="none" w:sz="0" w:space="0" w:color="auto"/>
                        <w:right w:val="none" w:sz="0" w:space="0" w:color="auto"/>
                      </w:divBdr>
                      <w:divsChild>
                        <w:div w:id="959652079">
                          <w:marLeft w:val="0"/>
                          <w:marRight w:val="0"/>
                          <w:marTop w:val="0"/>
                          <w:marBottom w:val="0"/>
                          <w:divBdr>
                            <w:top w:val="none" w:sz="0" w:space="0" w:color="auto"/>
                            <w:left w:val="none" w:sz="0" w:space="0" w:color="auto"/>
                            <w:bottom w:val="none" w:sz="0" w:space="0" w:color="auto"/>
                            <w:right w:val="none" w:sz="0" w:space="0" w:color="auto"/>
                          </w:divBdr>
                          <w:divsChild>
                            <w:div w:id="705835216">
                              <w:marLeft w:val="0"/>
                              <w:marRight w:val="0"/>
                              <w:marTop w:val="0"/>
                              <w:marBottom w:val="0"/>
                              <w:divBdr>
                                <w:top w:val="none" w:sz="0" w:space="0" w:color="auto"/>
                                <w:left w:val="none" w:sz="0" w:space="0" w:color="auto"/>
                                <w:bottom w:val="none" w:sz="0" w:space="0" w:color="auto"/>
                                <w:right w:val="none" w:sz="0" w:space="0" w:color="auto"/>
                              </w:divBdr>
                              <w:divsChild>
                                <w:div w:id="5535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137456">
      <w:bodyDiv w:val="1"/>
      <w:marLeft w:val="0"/>
      <w:marRight w:val="0"/>
      <w:marTop w:val="0"/>
      <w:marBottom w:val="0"/>
      <w:divBdr>
        <w:top w:val="none" w:sz="0" w:space="0" w:color="auto"/>
        <w:left w:val="none" w:sz="0" w:space="0" w:color="auto"/>
        <w:bottom w:val="none" w:sz="0" w:space="0" w:color="auto"/>
        <w:right w:val="none" w:sz="0" w:space="0" w:color="auto"/>
      </w:divBdr>
    </w:div>
    <w:div w:id="748504916">
      <w:bodyDiv w:val="1"/>
      <w:marLeft w:val="0"/>
      <w:marRight w:val="0"/>
      <w:marTop w:val="0"/>
      <w:marBottom w:val="0"/>
      <w:divBdr>
        <w:top w:val="none" w:sz="0" w:space="0" w:color="auto"/>
        <w:left w:val="none" w:sz="0" w:space="0" w:color="auto"/>
        <w:bottom w:val="none" w:sz="0" w:space="0" w:color="auto"/>
        <w:right w:val="none" w:sz="0" w:space="0" w:color="auto"/>
      </w:divBdr>
    </w:div>
    <w:div w:id="761805246">
      <w:bodyDiv w:val="1"/>
      <w:marLeft w:val="0"/>
      <w:marRight w:val="0"/>
      <w:marTop w:val="0"/>
      <w:marBottom w:val="0"/>
      <w:divBdr>
        <w:top w:val="none" w:sz="0" w:space="0" w:color="auto"/>
        <w:left w:val="none" w:sz="0" w:space="0" w:color="auto"/>
        <w:bottom w:val="none" w:sz="0" w:space="0" w:color="auto"/>
        <w:right w:val="none" w:sz="0" w:space="0" w:color="auto"/>
      </w:divBdr>
    </w:div>
    <w:div w:id="784547309">
      <w:bodyDiv w:val="1"/>
      <w:marLeft w:val="0"/>
      <w:marRight w:val="0"/>
      <w:marTop w:val="0"/>
      <w:marBottom w:val="0"/>
      <w:divBdr>
        <w:top w:val="none" w:sz="0" w:space="0" w:color="auto"/>
        <w:left w:val="none" w:sz="0" w:space="0" w:color="auto"/>
        <w:bottom w:val="none" w:sz="0" w:space="0" w:color="auto"/>
        <w:right w:val="none" w:sz="0" w:space="0" w:color="auto"/>
      </w:divBdr>
    </w:div>
    <w:div w:id="787512091">
      <w:bodyDiv w:val="1"/>
      <w:marLeft w:val="0"/>
      <w:marRight w:val="0"/>
      <w:marTop w:val="0"/>
      <w:marBottom w:val="0"/>
      <w:divBdr>
        <w:top w:val="none" w:sz="0" w:space="0" w:color="auto"/>
        <w:left w:val="none" w:sz="0" w:space="0" w:color="auto"/>
        <w:bottom w:val="none" w:sz="0" w:space="0" w:color="auto"/>
        <w:right w:val="none" w:sz="0" w:space="0" w:color="auto"/>
      </w:divBdr>
    </w:div>
    <w:div w:id="799540311">
      <w:bodyDiv w:val="1"/>
      <w:marLeft w:val="0"/>
      <w:marRight w:val="0"/>
      <w:marTop w:val="0"/>
      <w:marBottom w:val="0"/>
      <w:divBdr>
        <w:top w:val="none" w:sz="0" w:space="0" w:color="auto"/>
        <w:left w:val="none" w:sz="0" w:space="0" w:color="auto"/>
        <w:bottom w:val="none" w:sz="0" w:space="0" w:color="auto"/>
        <w:right w:val="none" w:sz="0" w:space="0" w:color="auto"/>
      </w:divBdr>
    </w:div>
    <w:div w:id="812989170">
      <w:bodyDiv w:val="1"/>
      <w:marLeft w:val="0"/>
      <w:marRight w:val="0"/>
      <w:marTop w:val="0"/>
      <w:marBottom w:val="0"/>
      <w:divBdr>
        <w:top w:val="none" w:sz="0" w:space="0" w:color="auto"/>
        <w:left w:val="none" w:sz="0" w:space="0" w:color="auto"/>
        <w:bottom w:val="none" w:sz="0" w:space="0" w:color="auto"/>
        <w:right w:val="none" w:sz="0" w:space="0" w:color="auto"/>
      </w:divBdr>
    </w:div>
    <w:div w:id="837966701">
      <w:bodyDiv w:val="1"/>
      <w:marLeft w:val="0"/>
      <w:marRight w:val="0"/>
      <w:marTop w:val="0"/>
      <w:marBottom w:val="0"/>
      <w:divBdr>
        <w:top w:val="none" w:sz="0" w:space="0" w:color="auto"/>
        <w:left w:val="none" w:sz="0" w:space="0" w:color="auto"/>
        <w:bottom w:val="none" w:sz="0" w:space="0" w:color="auto"/>
        <w:right w:val="none" w:sz="0" w:space="0" w:color="auto"/>
      </w:divBdr>
    </w:div>
    <w:div w:id="841746222">
      <w:bodyDiv w:val="1"/>
      <w:marLeft w:val="0"/>
      <w:marRight w:val="0"/>
      <w:marTop w:val="0"/>
      <w:marBottom w:val="0"/>
      <w:divBdr>
        <w:top w:val="none" w:sz="0" w:space="0" w:color="auto"/>
        <w:left w:val="none" w:sz="0" w:space="0" w:color="auto"/>
        <w:bottom w:val="none" w:sz="0" w:space="0" w:color="auto"/>
        <w:right w:val="none" w:sz="0" w:space="0" w:color="auto"/>
      </w:divBdr>
    </w:div>
    <w:div w:id="855729543">
      <w:bodyDiv w:val="1"/>
      <w:marLeft w:val="0"/>
      <w:marRight w:val="0"/>
      <w:marTop w:val="0"/>
      <w:marBottom w:val="0"/>
      <w:divBdr>
        <w:top w:val="none" w:sz="0" w:space="0" w:color="auto"/>
        <w:left w:val="none" w:sz="0" w:space="0" w:color="auto"/>
        <w:bottom w:val="none" w:sz="0" w:space="0" w:color="auto"/>
        <w:right w:val="none" w:sz="0" w:space="0" w:color="auto"/>
      </w:divBdr>
    </w:div>
    <w:div w:id="866411484">
      <w:bodyDiv w:val="1"/>
      <w:marLeft w:val="0"/>
      <w:marRight w:val="0"/>
      <w:marTop w:val="0"/>
      <w:marBottom w:val="0"/>
      <w:divBdr>
        <w:top w:val="none" w:sz="0" w:space="0" w:color="auto"/>
        <w:left w:val="none" w:sz="0" w:space="0" w:color="auto"/>
        <w:bottom w:val="none" w:sz="0" w:space="0" w:color="auto"/>
        <w:right w:val="none" w:sz="0" w:space="0" w:color="auto"/>
      </w:divBdr>
    </w:div>
    <w:div w:id="873614951">
      <w:bodyDiv w:val="1"/>
      <w:marLeft w:val="0"/>
      <w:marRight w:val="0"/>
      <w:marTop w:val="0"/>
      <w:marBottom w:val="0"/>
      <w:divBdr>
        <w:top w:val="none" w:sz="0" w:space="0" w:color="auto"/>
        <w:left w:val="none" w:sz="0" w:space="0" w:color="auto"/>
        <w:bottom w:val="none" w:sz="0" w:space="0" w:color="auto"/>
        <w:right w:val="none" w:sz="0" w:space="0" w:color="auto"/>
      </w:divBdr>
    </w:div>
    <w:div w:id="923538707">
      <w:bodyDiv w:val="1"/>
      <w:marLeft w:val="0"/>
      <w:marRight w:val="0"/>
      <w:marTop w:val="0"/>
      <w:marBottom w:val="0"/>
      <w:divBdr>
        <w:top w:val="none" w:sz="0" w:space="0" w:color="auto"/>
        <w:left w:val="none" w:sz="0" w:space="0" w:color="auto"/>
        <w:bottom w:val="none" w:sz="0" w:space="0" w:color="auto"/>
        <w:right w:val="none" w:sz="0" w:space="0" w:color="auto"/>
      </w:divBdr>
    </w:div>
    <w:div w:id="951404525">
      <w:bodyDiv w:val="1"/>
      <w:marLeft w:val="0"/>
      <w:marRight w:val="0"/>
      <w:marTop w:val="0"/>
      <w:marBottom w:val="0"/>
      <w:divBdr>
        <w:top w:val="none" w:sz="0" w:space="0" w:color="auto"/>
        <w:left w:val="none" w:sz="0" w:space="0" w:color="auto"/>
        <w:bottom w:val="none" w:sz="0" w:space="0" w:color="auto"/>
        <w:right w:val="none" w:sz="0" w:space="0" w:color="auto"/>
      </w:divBdr>
    </w:div>
    <w:div w:id="965813350">
      <w:bodyDiv w:val="1"/>
      <w:marLeft w:val="0"/>
      <w:marRight w:val="0"/>
      <w:marTop w:val="0"/>
      <w:marBottom w:val="0"/>
      <w:divBdr>
        <w:top w:val="none" w:sz="0" w:space="0" w:color="auto"/>
        <w:left w:val="none" w:sz="0" w:space="0" w:color="auto"/>
        <w:bottom w:val="none" w:sz="0" w:space="0" w:color="auto"/>
        <w:right w:val="none" w:sz="0" w:space="0" w:color="auto"/>
      </w:divBdr>
    </w:div>
    <w:div w:id="1021904633">
      <w:bodyDiv w:val="1"/>
      <w:marLeft w:val="0"/>
      <w:marRight w:val="0"/>
      <w:marTop w:val="0"/>
      <w:marBottom w:val="0"/>
      <w:divBdr>
        <w:top w:val="none" w:sz="0" w:space="0" w:color="auto"/>
        <w:left w:val="none" w:sz="0" w:space="0" w:color="auto"/>
        <w:bottom w:val="none" w:sz="0" w:space="0" w:color="auto"/>
        <w:right w:val="none" w:sz="0" w:space="0" w:color="auto"/>
      </w:divBdr>
    </w:div>
    <w:div w:id="1037122413">
      <w:bodyDiv w:val="1"/>
      <w:marLeft w:val="0"/>
      <w:marRight w:val="0"/>
      <w:marTop w:val="0"/>
      <w:marBottom w:val="0"/>
      <w:divBdr>
        <w:top w:val="none" w:sz="0" w:space="0" w:color="auto"/>
        <w:left w:val="none" w:sz="0" w:space="0" w:color="auto"/>
        <w:bottom w:val="none" w:sz="0" w:space="0" w:color="auto"/>
        <w:right w:val="none" w:sz="0" w:space="0" w:color="auto"/>
      </w:divBdr>
    </w:div>
    <w:div w:id="1075512454">
      <w:bodyDiv w:val="1"/>
      <w:marLeft w:val="0"/>
      <w:marRight w:val="0"/>
      <w:marTop w:val="0"/>
      <w:marBottom w:val="0"/>
      <w:divBdr>
        <w:top w:val="none" w:sz="0" w:space="0" w:color="auto"/>
        <w:left w:val="none" w:sz="0" w:space="0" w:color="auto"/>
        <w:bottom w:val="none" w:sz="0" w:space="0" w:color="auto"/>
        <w:right w:val="none" w:sz="0" w:space="0" w:color="auto"/>
      </w:divBdr>
    </w:div>
    <w:div w:id="1087533805">
      <w:bodyDiv w:val="1"/>
      <w:marLeft w:val="0"/>
      <w:marRight w:val="0"/>
      <w:marTop w:val="0"/>
      <w:marBottom w:val="0"/>
      <w:divBdr>
        <w:top w:val="none" w:sz="0" w:space="0" w:color="auto"/>
        <w:left w:val="none" w:sz="0" w:space="0" w:color="auto"/>
        <w:bottom w:val="none" w:sz="0" w:space="0" w:color="auto"/>
        <w:right w:val="none" w:sz="0" w:space="0" w:color="auto"/>
      </w:divBdr>
    </w:div>
    <w:div w:id="1108088953">
      <w:bodyDiv w:val="1"/>
      <w:marLeft w:val="0"/>
      <w:marRight w:val="0"/>
      <w:marTop w:val="0"/>
      <w:marBottom w:val="0"/>
      <w:divBdr>
        <w:top w:val="none" w:sz="0" w:space="0" w:color="auto"/>
        <w:left w:val="none" w:sz="0" w:space="0" w:color="auto"/>
        <w:bottom w:val="none" w:sz="0" w:space="0" w:color="auto"/>
        <w:right w:val="none" w:sz="0" w:space="0" w:color="auto"/>
      </w:divBdr>
      <w:divsChild>
        <w:div w:id="808743088">
          <w:marLeft w:val="0"/>
          <w:marRight w:val="0"/>
          <w:marTop w:val="0"/>
          <w:marBottom w:val="0"/>
          <w:divBdr>
            <w:top w:val="none" w:sz="0" w:space="0" w:color="auto"/>
            <w:left w:val="none" w:sz="0" w:space="0" w:color="auto"/>
            <w:bottom w:val="none" w:sz="0" w:space="0" w:color="auto"/>
            <w:right w:val="none" w:sz="0" w:space="0" w:color="auto"/>
          </w:divBdr>
          <w:divsChild>
            <w:div w:id="41902812">
              <w:marLeft w:val="0"/>
              <w:marRight w:val="0"/>
              <w:marTop w:val="0"/>
              <w:marBottom w:val="0"/>
              <w:divBdr>
                <w:top w:val="none" w:sz="0" w:space="0" w:color="auto"/>
                <w:left w:val="none" w:sz="0" w:space="0" w:color="auto"/>
                <w:bottom w:val="none" w:sz="0" w:space="0" w:color="auto"/>
                <w:right w:val="none" w:sz="0" w:space="0" w:color="auto"/>
              </w:divBdr>
              <w:divsChild>
                <w:div w:id="1975402617">
                  <w:marLeft w:val="0"/>
                  <w:marRight w:val="0"/>
                  <w:marTop w:val="0"/>
                  <w:marBottom w:val="0"/>
                  <w:divBdr>
                    <w:top w:val="none" w:sz="0" w:space="0" w:color="auto"/>
                    <w:left w:val="none" w:sz="0" w:space="0" w:color="auto"/>
                    <w:bottom w:val="dotted" w:sz="4" w:space="0" w:color="333333"/>
                    <w:right w:val="none" w:sz="0" w:space="0" w:color="auto"/>
                  </w:divBdr>
                </w:div>
              </w:divsChild>
            </w:div>
          </w:divsChild>
        </w:div>
      </w:divsChild>
    </w:div>
    <w:div w:id="1108156894">
      <w:bodyDiv w:val="1"/>
      <w:marLeft w:val="0"/>
      <w:marRight w:val="0"/>
      <w:marTop w:val="0"/>
      <w:marBottom w:val="0"/>
      <w:divBdr>
        <w:top w:val="none" w:sz="0" w:space="0" w:color="auto"/>
        <w:left w:val="none" w:sz="0" w:space="0" w:color="auto"/>
        <w:bottom w:val="none" w:sz="0" w:space="0" w:color="auto"/>
        <w:right w:val="none" w:sz="0" w:space="0" w:color="auto"/>
      </w:divBdr>
    </w:div>
    <w:div w:id="1113472985">
      <w:bodyDiv w:val="1"/>
      <w:marLeft w:val="0"/>
      <w:marRight w:val="0"/>
      <w:marTop w:val="0"/>
      <w:marBottom w:val="0"/>
      <w:divBdr>
        <w:top w:val="none" w:sz="0" w:space="0" w:color="auto"/>
        <w:left w:val="none" w:sz="0" w:space="0" w:color="auto"/>
        <w:bottom w:val="none" w:sz="0" w:space="0" w:color="auto"/>
        <w:right w:val="none" w:sz="0" w:space="0" w:color="auto"/>
      </w:divBdr>
    </w:div>
    <w:div w:id="1119035425">
      <w:bodyDiv w:val="1"/>
      <w:marLeft w:val="0"/>
      <w:marRight w:val="0"/>
      <w:marTop w:val="0"/>
      <w:marBottom w:val="0"/>
      <w:divBdr>
        <w:top w:val="none" w:sz="0" w:space="0" w:color="auto"/>
        <w:left w:val="none" w:sz="0" w:space="0" w:color="auto"/>
        <w:bottom w:val="none" w:sz="0" w:space="0" w:color="auto"/>
        <w:right w:val="none" w:sz="0" w:space="0" w:color="auto"/>
      </w:divBdr>
    </w:div>
    <w:div w:id="1120412459">
      <w:bodyDiv w:val="1"/>
      <w:marLeft w:val="0"/>
      <w:marRight w:val="0"/>
      <w:marTop w:val="0"/>
      <w:marBottom w:val="0"/>
      <w:divBdr>
        <w:top w:val="none" w:sz="0" w:space="0" w:color="auto"/>
        <w:left w:val="none" w:sz="0" w:space="0" w:color="auto"/>
        <w:bottom w:val="none" w:sz="0" w:space="0" w:color="auto"/>
        <w:right w:val="none" w:sz="0" w:space="0" w:color="auto"/>
      </w:divBdr>
    </w:div>
    <w:div w:id="1134906514">
      <w:bodyDiv w:val="1"/>
      <w:marLeft w:val="0"/>
      <w:marRight w:val="0"/>
      <w:marTop w:val="0"/>
      <w:marBottom w:val="0"/>
      <w:divBdr>
        <w:top w:val="none" w:sz="0" w:space="0" w:color="auto"/>
        <w:left w:val="none" w:sz="0" w:space="0" w:color="auto"/>
        <w:bottom w:val="none" w:sz="0" w:space="0" w:color="auto"/>
        <w:right w:val="none" w:sz="0" w:space="0" w:color="auto"/>
      </w:divBdr>
    </w:div>
    <w:div w:id="1140734352">
      <w:bodyDiv w:val="1"/>
      <w:marLeft w:val="0"/>
      <w:marRight w:val="0"/>
      <w:marTop w:val="0"/>
      <w:marBottom w:val="0"/>
      <w:divBdr>
        <w:top w:val="none" w:sz="0" w:space="0" w:color="auto"/>
        <w:left w:val="none" w:sz="0" w:space="0" w:color="auto"/>
        <w:bottom w:val="none" w:sz="0" w:space="0" w:color="auto"/>
        <w:right w:val="none" w:sz="0" w:space="0" w:color="auto"/>
      </w:divBdr>
    </w:div>
    <w:div w:id="1143355300">
      <w:bodyDiv w:val="1"/>
      <w:marLeft w:val="0"/>
      <w:marRight w:val="0"/>
      <w:marTop w:val="0"/>
      <w:marBottom w:val="0"/>
      <w:divBdr>
        <w:top w:val="none" w:sz="0" w:space="0" w:color="auto"/>
        <w:left w:val="none" w:sz="0" w:space="0" w:color="auto"/>
        <w:bottom w:val="none" w:sz="0" w:space="0" w:color="auto"/>
        <w:right w:val="none" w:sz="0" w:space="0" w:color="auto"/>
      </w:divBdr>
    </w:div>
    <w:div w:id="1164853544">
      <w:bodyDiv w:val="1"/>
      <w:marLeft w:val="0"/>
      <w:marRight w:val="0"/>
      <w:marTop w:val="0"/>
      <w:marBottom w:val="0"/>
      <w:divBdr>
        <w:top w:val="none" w:sz="0" w:space="0" w:color="auto"/>
        <w:left w:val="none" w:sz="0" w:space="0" w:color="auto"/>
        <w:bottom w:val="none" w:sz="0" w:space="0" w:color="auto"/>
        <w:right w:val="none" w:sz="0" w:space="0" w:color="auto"/>
      </w:divBdr>
    </w:div>
    <w:div w:id="1176967961">
      <w:bodyDiv w:val="1"/>
      <w:marLeft w:val="0"/>
      <w:marRight w:val="0"/>
      <w:marTop w:val="0"/>
      <w:marBottom w:val="0"/>
      <w:divBdr>
        <w:top w:val="none" w:sz="0" w:space="0" w:color="auto"/>
        <w:left w:val="none" w:sz="0" w:space="0" w:color="auto"/>
        <w:bottom w:val="none" w:sz="0" w:space="0" w:color="auto"/>
        <w:right w:val="none" w:sz="0" w:space="0" w:color="auto"/>
      </w:divBdr>
    </w:div>
    <w:div w:id="1178882920">
      <w:bodyDiv w:val="1"/>
      <w:marLeft w:val="0"/>
      <w:marRight w:val="0"/>
      <w:marTop w:val="0"/>
      <w:marBottom w:val="0"/>
      <w:divBdr>
        <w:top w:val="none" w:sz="0" w:space="0" w:color="auto"/>
        <w:left w:val="none" w:sz="0" w:space="0" w:color="auto"/>
        <w:bottom w:val="none" w:sz="0" w:space="0" w:color="auto"/>
        <w:right w:val="none" w:sz="0" w:space="0" w:color="auto"/>
      </w:divBdr>
    </w:div>
    <w:div w:id="1183209461">
      <w:bodyDiv w:val="1"/>
      <w:marLeft w:val="0"/>
      <w:marRight w:val="0"/>
      <w:marTop w:val="0"/>
      <w:marBottom w:val="0"/>
      <w:divBdr>
        <w:top w:val="none" w:sz="0" w:space="0" w:color="auto"/>
        <w:left w:val="none" w:sz="0" w:space="0" w:color="auto"/>
        <w:bottom w:val="none" w:sz="0" w:space="0" w:color="auto"/>
        <w:right w:val="none" w:sz="0" w:space="0" w:color="auto"/>
      </w:divBdr>
    </w:div>
    <w:div w:id="1192571625">
      <w:bodyDiv w:val="1"/>
      <w:marLeft w:val="0"/>
      <w:marRight w:val="0"/>
      <w:marTop w:val="0"/>
      <w:marBottom w:val="0"/>
      <w:divBdr>
        <w:top w:val="none" w:sz="0" w:space="0" w:color="auto"/>
        <w:left w:val="none" w:sz="0" w:space="0" w:color="auto"/>
        <w:bottom w:val="none" w:sz="0" w:space="0" w:color="auto"/>
        <w:right w:val="none" w:sz="0" w:space="0" w:color="auto"/>
      </w:divBdr>
    </w:div>
    <w:div w:id="1221359614">
      <w:bodyDiv w:val="1"/>
      <w:marLeft w:val="0"/>
      <w:marRight w:val="0"/>
      <w:marTop w:val="0"/>
      <w:marBottom w:val="0"/>
      <w:divBdr>
        <w:top w:val="none" w:sz="0" w:space="0" w:color="auto"/>
        <w:left w:val="none" w:sz="0" w:space="0" w:color="auto"/>
        <w:bottom w:val="none" w:sz="0" w:space="0" w:color="auto"/>
        <w:right w:val="none" w:sz="0" w:space="0" w:color="auto"/>
      </w:divBdr>
    </w:div>
    <w:div w:id="1229342449">
      <w:bodyDiv w:val="1"/>
      <w:marLeft w:val="0"/>
      <w:marRight w:val="0"/>
      <w:marTop w:val="0"/>
      <w:marBottom w:val="0"/>
      <w:divBdr>
        <w:top w:val="none" w:sz="0" w:space="0" w:color="auto"/>
        <w:left w:val="none" w:sz="0" w:space="0" w:color="auto"/>
        <w:bottom w:val="none" w:sz="0" w:space="0" w:color="auto"/>
        <w:right w:val="none" w:sz="0" w:space="0" w:color="auto"/>
      </w:divBdr>
    </w:div>
    <w:div w:id="1231310954">
      <w:bodyDiv w:val="1"/>
      <w:marLeft w:val="0"/>
      <w:marRight w:val="0"/>
      <w:marTop w:val="0"/>
      <w:marBottom w:val="0"/>
      <w:divBdr>
        <w:top w:val="none" w:sz="0" w:space="0" w:color="auto"/>
        <w:left w:val="none" w:sz="0" w:space="0" w:color="auto"/>
        <w:bottom w:val="none" w:sz="0" w:space="0" w:color="auto"/>
        <w:right w:val="none" w:sz="0" w:space="0" w:color="auto"/>
      </w:divBdr>
    </w:div>
    <w:div w:id="1249968148">
      <w:bodyDiv w:val="1"/>
      <w:marLeft w:val="0"/>
      <w:marRight w:val="0"/>
      <w:marTop w:val="0"/>
      <w:marBottom w:val="0"/>
      <w:divBdr>
        <w:top w:val="none" w:sz="0" w:space="0" w:color="auto"/>
        <w:left w:val="none" w:sz="0" w:space="0" w:color="auto"/>
        <w:bottom w:val="none" w:sz="0" w:space="0" w:color="auto"/>
        <w:right w:val="none" w:sz="0" w:space="0" w:color="auto"/>
      </w:divBdr>
    </w:div>
    <w:div w:id="1256136221">
      <w:bodyDiv w:val="1"/>
      <w:marLeft w:val="0"/>
      <w:marRight w:val="0"/>
      <w:marTop w:val="0"/>
      <w:marBottom w:val="0"/>
      <w:divBdr>
        <w:top w:val="none" w:sz="0" w:space="0" w:color="auto"/>
        <w:left w:val="none" w:sz="0" w:space="0" w:color="auto"/>
        <w:bottom w:val="none" w:sz="0" w:space="0" w:color="auto"/>
        <w:right w:val="none" w:sz="0" w:space="0" w:color="auto"/>
      </w:divBdr>
    </w:div>
    <w:div w:id="1270549395">
      <w:bodyDiv w:val="1"/>
      <w:marLeft w:val="0"/>
      <w:marRight w:val="0"/>
      <w:marTop w:val="0"/>
      <w:marBottom w:val="0"/>
      <w:divBdr>
        <w:top w:val="none" w:sz="0" w:space="0" w:color="auto"/>
        <w:left w:val="none" w:sz="0" w:space="0" w:color="auto"/>
        <w:bottom w:val="none" w:sz="0" w:space="0" w:color="auto"/>
        <w:right w:val="none" w:sz="0" w:space="0" w:color="auto"/>
      </w:divBdr>
    </w:div>
    <w:div w:id="1271815497">
      <w:bodyDiv w:val="1"/>
      <w:marLeft w:val="0"/>
      <w:marRight w:val="0"/>
      <w:marTop w:val="0"/>
      <w:marBottom w:val="0"/>
      <w:divBdr>
        <w:top w:val="none" w:sz="0" w:space="0" w:color="auto"/>
        <w:left w:val="none" w:sz="0" w:space="0" w:color="auto"/>
        <w:bottom w:val="none" w:sz="0" w:space="0" w:color="auto"/>
        <w:right w:val="none" w:sz="0" w:space="0" w:color="auto"/>
      </w:divBdr>
    </w:div>
    <w:div w:id="1301618865">
      <w:bodyDiv w:val="1"/>
      <w:marLeft w:val="0"/>
      <w:marRight w:val="0"/>
      <w:marTop w:val="0"/>
      <w:marBottom w:val="0"/>
      <w:divBdr>
        <w:top w:val="none" w:sz="0" w:space="0" w:color="auto"/>
        <w:left w:val="none" w:sz="0" w:space="0" w:color="auto"/>
        <w:bottom w:val="none" w:sz="0" w:space="0" w:color="auto"/>
        <w:right w:val="none" w:sz="0" w:space="0" w:color="auto"/>
      </w:divBdr>
    </w:div>
    <w:div w:id="1307856441">
      <w:bodyDiv w:val="1"/>
      <w:marLeft w:val="0"/>
      <w:marRight w:val="0"/>
      <w:marTop w:val="0"/>
      <w:marBottom w:val="0"/>
      <w:divBdr>
        <w:top w:val="none" w:sz="0" w:space="0" w:color="auto"/>
        <w:left w:val="none" w:sz="0" w:space="0" w:color="auto"/>
        <w:bottom w:val="none" w:sz="0" w:space="0" w:color="auto"/>
        <w:right w:val="none" w:sz="0" w:space="0" w:color="auto"/>
      </w:divBdr>
    </w:div>
    <w:div w:id="1308364853">
      <w:bodyDiv w:val="1"/>
      <w:marLeft w:val="0"/>
      <w:marRight w:val="0"/>
      <w:marTop w:val="0"/>
      <w:marBottom w:val="0"/>
      <w:divBdr>
        <w:top w:val="none" w:sz="0" w:space="0" w:color="auto"/>
        <w:left w:val="none" w:sz="0" w:space="0" w:color="auto"/>
        <w:bottom w:val="none" w:sz="0" w:space="0" w:color="auto"/>
        <w:right w:val="none" w:sz="0" w:space="0" w:color="auto"/>
      </w:divBdr>
    </w:div>
    <w:div w:id="1323854381">
      <w:bodyDiv w:val="1"/>
      <w:marLeft w:val="0"/>
      <w:marRight w:val="0"/>
      <w:marTop w:val="0"/>
      <w:marBottom w:val="0"/>
      <w:divBdr>
        <w:top w:val="none" w:sz="0" w:space="0" w:color="auto"/>
        <w:left w:val="none" w:sz="0" w:space="0" w:color="auto"/>
        <w:bottom w:val="none" w:sz="0" w:space="0" w:color="auto"/>
        <w:right w:val="none" w:sz="0" w:space="0" w:color="auto"/>
      </w:divBdr>
    </w:div>
    <w:div w:id="1334724753">
      <w:bodyDiv w:val="1"/>
      <w:marLeft w:val="0"/>
      <w:marRight w:val="0"/>
      <w:marTop w:val="0"/>
      <w:marBottom w:val="0"/>
      <w:divBdr>
        <w:top w:val="none" w:sz="0" w:space="0" w:color="auto"/>
        <w:left w:val="none" w:sz="0" w:space="0" w:color="auto"/>
        <w:bottom w:val="none" w:sz="0" w:space="0" w:color="auto"/>
        <w:right w:val="none" w:sz="0" w:space="0" w:color="auto"/>
      </w:divBdr>
    </w:div>
    <w:div w:id="1337001717">
      <w:bodyDiv w:val="1"/>
      <w:marLeft w:val="0"/>
      <w:marRight w:val="0"/>
      <w:marTop w:val="0"/>
      <w:marBottom w:val="0"/>
      <w:divBdr>
        <w:top w:val="none" w:sz="0" w:space="0" w:color="auto"/>
        <w:left w:val="none" w:sz="0" w:space="0" w:color="auto"/>
        <w:bottom w:val="none" w:sz="0" w:space="0" w:color="auto"/>
        <w:right w:val="none" w:sz="0" w:space="0" w:color="auto"/>
      </w:divBdr>
    </w:div>
    <w:div w:id="1360666737">
      <w:bodyDiv w:val="1"/>
      <w:marLeft w:val="0"/>
      <w:marRight w:val="0"/>
      <w:marTop w:val="0"/>
      <w:marBottom w:val="0"/>
      <w:divBdr>
        <w:top w:val="none" w:sz="0" w:space="0" w:color="auto"/>
        <w:left w:val="none" w:sz="0" w:space="0" w:color="auto"/>
        <w:bottom w:val="none" w:sz="0" w:space="0" w:color="auto"/>
        <w:right w:val="none" w:sz="0" w:space="0" w:color="auto"/>
      </w:divBdr>
    </w:div>
    <w:div w:id="1383555247">
      <w:bodyDiv w:val="1"/>
      <w:marLeft w:val="0"/>
      <w:marRight w:val="0"/>
      <w:marTop w:val="0"/>
      <w:marBottom w:val="0"/>
      <w:divBdr>
        <w:top w:val="none" w:sz="0" w:space="0" w:color="auto"/>
        <w:left w:val="none" w:sz="0" w:space="0" w:color="auto"/>
        <w:bottom w:val="none" w:sz="0" w:space="0" w:color="auto"/>
        <w:right w:val="none" w:sz="0" w:space="0" w:color="auto"/>
      </w:divBdr>
    </w:div>
    <w:div w:id="1386685568">
      <w:bodyDiv w:val="1"/>
      <w:marLeft w:val="0"/>
      <w:marRight w:val="0"/>
      <w:marTop w:val="0"/>
      <w:marBottom w:val="0"/>
      <w:divBdr>
        <w:top w:val="none" w:sz="0" w:space="0" w:color="auto"/>
        <w:left w:val="none" w:sz="0" w:space="0" w:color="auto"/>
        <w:bottom w:val="none" w:sz="0" w:space="0" w:color="auto"/>
        <w:right w:val="none" w:sz="0" w:space="0" w:color="auto"/>
      </w:divBdr>
    </w:div>
    <w:div w:id="1413888068">
      <w:bodyDiv w:val="1"/>
      <w:marLeft w:val="0"/>
      <w:marRight w:val="0"/>
      <w:marTop w:val="0"/>
      <w:marBottom w:val="0"/>
      <w:divBdr>
        <w:top w:val="none" w:sz="0" w:space="0" w:color="auto"/>
        <w:left w:val="none" w:sz="0" w:space="0" w:color="auto"/>
        <w:bottom w:val="none" w:sz="0" w:space="0" w:color="auto"/>
        <w:right w:val="none" w:sz="0" w:space="0" w:color="auto"/>
      </w:divBdr>
    </w:div>
    <w:div w:id="1424648592">
      <w:bodyDiv w:val="1"/>
      <w:marLeft w:val="0"/>
      <w:marRight w:val="0"/>
      <w:marTop w:val="0"/>
      <w:marBottom w:val="0"/>
      <w:divBdr>
        <w:top w:val="none" w:sz="0" w:space="0" w:color="auto"/>
        <w:left w:val="none" w:sz="0" w:space="0" w:color="auto"/>
        <w:bottom w:val="none" w:sz="0" w:space="0" w:color="auto"/>
        <w:right w:val="none" w:sz="0" w:space="0" w:color="auto"/>
      </w:divBdr>
    </w:div>
    <w:div w:id="1459763457">
      <w:bodyDiv w:val="1"/>
      <w:marLeft w:val="0"/>
      <w:marRight w:val="0"/>
      <w:marTop w:val="0"/>
      <w:marBottom w:val="0"/>
      <w:divBdr>
        <w:top w:val="none" w:sz="0" w:space="0" w:color="auto"/>
        <w:left w:val="none" w:sz="0" w:space="0" w:color="auto"/>
        <w:bottom w:val="none" w:sz="0" w:space="0" w:color="auto"/>
        <w:right w:val="none" w:sz="0" w:space="0" w:color="auto"/>
      </w:divBdr>
    </w:div>
    <w:div w:id="1469546039">
      <w:bodyDiv w:val="1"/>
      <w:marLeft w:val="0"/>
      <w:marRight w:val="0"/>
      <w:marTop w:val="0"/>
      <w:marBottom w:val="0"/>
      <w:divBdr>
        <w:top w:val="none" w:sz="0" w:space="0" w:color="auto"/>
        <w:left w:val="none" w:sz="0" w:space="0" w:color="auto"/>
        <w:bottom w:val="none" w:sz="0" w:space="0" w:color="auto"/>
        <w:right w:val="none" w:sz="0" w:space="0" w:color="auto"/>
      </w:divBdr>
    </w:div>
    <w:div w:id="1505894538">
      <w:bodyDiv w:val="1"/>
      <w:marLeft w:val="0"/>
      <w:marRight w:val="0"/>
      <w:marTop w:val="0"/>
      <w:marBottom w:val="0"/>
      <w:divBdr>
        <w:top w:val="none" w:sz="0" w:space="0" w:color="auto"/>
        <w:left w:val="none" w:sz="0" w:space="0" w:color="auto"/>
        <w:bottom w:val="none" w:sz="0" w:space="0" w:color="auto"/>
        <w:right w:val="none" w:sz="0" w:space="0" w:color="auto"/>
      </w:divBdr>
      <w:divsChild>
        <w:div w:id="1287541888">
          <w:marLeft w:val="0"/>
          <w:marRight w:val="0"/>
          <w:marTop w:val="0"/>
          <w:marBottom w:val="0"/>
          <w:divBdr>
            <w:top w:val="none" w:sz="0" w:space="0" w:color="auto"/>
            <w:left w:val="none" w:sz="0" w:space="0" w:color="auto"/>
            <w:bottom w:val="none" w:sz="0" w:space="0" w:color="auto"/>
            <w:right w:val="none" w:sz="0" w:space="0" w:color="auto"/>
          </w:divBdr>
          <w:divsChild>
            <w:div w:id="617956012">
              <w:marLeft w:val="0"/>
              <w:marRight w:val="0"/>
              <w:marTop w:val="0"/>
              <w:marBottom w:val="0"/>
              <w:divBdr>
                <w:top w:val="none" w:sz="0" w:space="0" w:color="auto"/>
                <w:left w:val="none" w:sz="0" w:space="0" w:color="auto"/>
                <w:bottom w:val="none" w:sz="0" w:space="0" w:color="auto"/>
                <w:right w:val="none" w:sz="0" w:space="0" w:color="auto"/>
              </w:divBdr>
              <w:divsChild>
                <w:div w:id="1144657922">
                  <w:marLeft w:val="0"/>
                  <w:marRight w:val="0"/>
                  <w:marTop w:val="0"/>
                  <w:marBottom w:val="0"/>
                  <w:divBdr>
                    <w:top w:val="none" w:sz="0" w:space="0" w:color="auto"/>
                    <w:left w:val="none" w:sz="0" w:space="0" w:color="auto"/>
                    <w:bottom w:val="none" w:sz="0" w:space="0" w:color="auto"/>
                    <w:right w:val="none" w:sz="0" w:space="0" w:color="auto"/>
                  </w:divBdr>
                  <w:divsChild>
                    <w:div w:id="904602828">
                      <w:marLeft w:val="0"/>
                      <w:marRight w:val="0"/>
                      <w:marTop w:val="0"/>
                      <w:marBottom w:val="0"/>
                      <w:divBdr>
                        <w:top w:val="none" w:sz="0" w:space="0" w:color="auto"/>
                        <w:left w:val="none" w:sz="0" w:space="0" w:color="auto"/>
                        <w:bottom w:val="none" w:sz="0" w:space="0" w:color="auto"/>
                        <w:right w:val="none" w:sz="0" w:space="0" w:color="auto"/>
                      </w:divBdr>
                      <w:divsChild>
                        <w:div w:id="1906838790">
                          <w:marLeft w:val="0"/>
                          <w:marRight w:val="0"/>
                          <w:marTop w:val="0"/>
                          <w:marBottom w:val="0"/>
                          <w:divBdr>
                            <w:top w:val="none" w:sz="0" w:space="0" w:color="auto"/>
                            <w:left w:val="none" w:sz="0" w:space="0" w:color="auto"/>
                            <w:bottom w:val="none" w:sz="0" w:space="0" w:color="auto"/>
                            <w:right w:val="none" w:sz="0" w:space="0" w:color="auto"/>
                          </w:divBdr>
                          <w:divsChild>
                            <w:div w:id="135532855">
                              <w:marLeft w:val="0"/>
                              <w:marRight w:val="0"/>
                              <w:marTop w:val="0"/>
                              <w:marBottom w:val="0"/>
                              <w:divBdr>
                                <w:top w:val="none" w:sz="0" w:space="0" w:color="auto"/>
                                <w:left w:val="none" w:sz="0" w:space="0" w:color="auto"/>
                                <w:bottom w:val="none" w:sz="0" w:space="0" w:color="auto"/>
                                <w:right w:val="none" w:sz="0" w:space="0" w:color="auto"/>
                              </w:divBdr>
                              <w:divsChild>
                                <w:div w:id="1870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232237">
      <w:bodyDiv w:val="1"/>
      <w:marLeft w:val="0"/>
      <w:marRight w:val="0"/>
      <w:marTop w:val="0"/>
      <w:marBottom w:val="0"/>
      <w:divBdr>
        <w:top w:val="none" w:sz="0" w:space="0" w:color="auto"/>
        <w:left w:val="none" w:sz="0" w:space="0" w:color="auto"/>
        <w:bottom w:val="none" w:sz="0" w:space="0" w:color="auto"/>
        <w:right w:val="none" w:sz="0" w:space="0" w:color="auto"/>
      </w:divBdr>
    </w:div>
    <w:div w:id="1552231437">
      <w:bodyDiv w:val="1"/>
      <w:marLeft w:val="0"/>
      <w:marRight w:val="0"/>
      <w:marTop w:val="0"/>
      <w:marBottom w:val="0"/>
      <w:divBdr>
        <w:top w:val="none" w:sz="0" w:space="0" w:color="auto"/>
        <w:left w:val="none" w:sz="0" w:space="0" w:color="auto"/>
        <w:bottom w:val="none" w:sz="0" w:space="0" w:color="auto"/>
        <w:right w:val="none" w:sz="0" w:space="0" w:color="auto"/>
      </w:divBdr>
    </w:div>
    <w:div w:id="1575165554">
      <w:bodyDiv w:val="1"/>
      <w:marLeft w:val="0"/>
      <w:marRight w:val="0"/>
      <w:marTop w:val="0"/>
      <w:marBottom w:val="0"/>
      <w:divBdr>
        <w:top w:val="none" w:sz="0" w:space="0" w:color="auto"/>
        <w:left w:val="none" w:sz="0" w:space="0" w:color="auto"/>
        <w:bottom w:val="none" w:sz="0" w:space="0" w:color="auto"/>
        <w:right w:val="none" w:sz="0" w:space="0" w:color="auto"/>
      </w:divBdr>
    </w:div>
    <w:div w:id="1641761625">
      <w:bodyDiv w:val="1"/>
      <w:marLeft w:val="0"/>
      <w:marRight w:val="0"/>
      <w:marTop w:val="0"/>
      <w:marBottom w:val="0"/>
      <w:divBdr>
        <w:top w:val="none" w:sz="0" w:space="0" w:color="auto"/>
        <w:left w:val="none" w:sz="0" w:space="0" w:color="auto"/>
        <w:bottom w:val="none" w:sz="0" w:space="0" w:color="auto"/>
        <w:right w:val="none" w:sz="0" w:space="0" w:color="auto"/>
      </w:divBdr>
    </w:div>
    <w:div w:id="1646157799">
      <w:bodyDiv w:val="1"/>
      <w:marLeft w:val="0"/>
      <w:marRight w:val="0"/>
      <w:marTop w:val="0"/>
      <w:marBottom w:val="0"/>
      <w:divBdr>
        <w:top w:val="none" w:sz="0" w:space="0" w:color="auto"/>
        <w:left w:val="none" w:sz="0" w:space="0" w:color="auto"/>
        <w:bottom w:val="none" w:sz="0" w:space="0" w:color="auto"/>
        <w:right w:val="none" w:sz="0" w:space="0" w:color="auto"/>
      </w:divBdr>
      <w:divsChild>
        <w:div w:id="441344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164989">
      <w:bodyDiv w:val="1"/>
      <w:marLeft w:val="0"/>
      <w:marRight w:val="0"/>
      <w:marTop w:val="0"/>
      <w:marBottom w:val="0"/>
      <w:divBdr>
        <w:top w:val="none" w:sz="0" w:space="0" w:color="auto"/>
        <w:left w:val="none" w:sz="0" w:space="0" w:color="auto"/>
        <w:bottom w:val="none" w:sz="0" w:space="0" w:color="auto"/>
        <w:right w:val="none" w:sz="0" w:space="0" w:color="auto"/>
      </w:divBdr>
    </w:div>
    <w:div w:id="1650984409">
      <w:bodyDiv w:val="1"/>
      <w:marLeft w:val="0"/>
      <w:marRight w:val="0"/>
      <w:marTop w:val="0"/>
      <w:marBottom w:val="0"/>
      <w:divBdr>
        <w:top w:val="none" w:sz="0" w:space="0" w:color="auto"/>
        <w:left w:val="none" w:sz="0" w:space="0" w:color="auto"/>
        <w:bottom w:val="none" w:sz="0" w:space="0" w:color="auto"/>
        <w:right w:val="none" w:sz="0" w:space="0" w:color="auto"/>
      </w:divBdr>
    </w:div>
    <w:div w:id="1655715161">
      <w:bodyDiv w:val="1"/>
      <w:marLeft w:val="0"/>
      <w:marRight w:val="0"/>
      <w:marTop w:val="0"/>
      <w:marBottom w:val="0"/>
      <w:divBdr>
        <w:top w:val="none" w:sz="0" w:space="0" w:color="auto"/>
        <w:left w:val="none" w:sz="0" w:space="0" w:color="auto"/>
        <w:bottom w:val="none" w:sz="0" w:space="0" w:color="auto"/>
        <w:right w:val="none" w:sz="0" w:space="0" w:color="auto"/>
      </w:divBdr>
    </w:div>
    <w:div w:id="1664091390">
      <w:bodyDiv w:val="1"/>
      <w:marLeft w:val="0"/>
      <w:marRight w:val="0"/>
      <w:marTop w:val="0"/>
      <w:marBottom w:val="0"/>
      <w:divBdr>
        <w:top w:val="none" w:sz="0" w:space="0" w:color="auto"/>
        <w:left w:val="none" w:sz="0" w:space="0" w:color="auto"/>
        <w:bottom w:val="none" w:sz="0" w:space="0" w:color="auto"/>
        <w:right w:val="none" w:sz="0" w:space="0" w:color="auto"/>
      </w:divBdr>
    </w:div>
    <w:div w:id="1711801467">
      <w:bodyDiv w:val="1"/>
      <w:marLeft w:val="0"/>
      <w:marRight w:val="0"/>
      <w:marTop w:val="0"/>
      <w:marBottom w:val="0"/>
      <w:divBdr>
        <w:top w:val="none" w:sz="0" w:space="0" w:color="auto"/>
        <w:left w:val="none" w:sz="0" w:space="0" w:color="auto"/>
        <w:bottom w:val="none" w:sz="0" w:space="0" w:color="auto"/>
        <w:right w:val="none" w:sz="0" w:space="0" w:color="auto"/>
      </w:divBdr>
    </w:div>
    <w:div w:id="1730150422">
      <w:bodyDiv w:val="1"/>
      <w:marLeft w:val="0"/>
      <w:marRight w:val="0"/>
      <w:marTop w:val="0"/>
      <w:marBottom w:val="0"/>
      <w:divBdr>
        <w:top w:val="none" w:sz="0" w:space="0" w:color="auto"/>
        <w:left w:val="none" w:sz="0" w:space="0" w:color="auto"/>
        <w:bottom w:val="none" w:sz="0" w:space="0" w:color="auto"/>
        <w:right w:val="none" w:sz="0" w:space="0" w:color="auto"/>
      </w:divBdr>
    </w:div>
    <w:div w:id="1749308876">
      <w:bodyDiv w:val="1"/>
      <w:marLeft w:val="0"/>
      <w:marRight w:val="0"/>
      <w:marTop w:val="0"/>
      <w:marBottom w:val="0"/>
      <w:divBdr>
        <w:top w:val="none" w:sz="0" w:space="0" w:color="auto"/>
        <w:left w:val="none" w:sz="0" w:space="0" w:color="auto"/>
        <w:bottom w:val="none" w:sz="0" w:space="0" w:color="auto"/>
        <w:right w:val="none" w:sz="0" w:space="0" w:color="auto"/>
      </w:divBdr>
    </w:div>
    <w:div w:id="1787042172">
      <w:bodyDiv w:val="1"/>
      <w:marLeft w:val="0"/>
      <w:marRight w:val="0"/>
      <w:marTop w:val="0"/>
      <w:marBottom w:val="0"/>
      <w:divBdr>
        <w:top w:val="none" w:sz="0" w:space="0" w:color="auto"/>
        <w:left w:val="none" w:sz="0" w:space="0" w:color="auto"/>
        <w:bottom w:val="none" w:sz="0" w:space="0" w:color="auto"/>
        <w:right w:val="none" w:sz="0" w:space="0" w:color="auto"/>
      </w:divBdr>
      <w:divsChild>
        <w:div w:id="180873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897197">
      <w:bodyDiv w:val="1"/>
      <w:marLeft w:val="0"/>
      <w:marRight w:val="0"/>
      <w:marTop w:val="0"/>
      <w:marBottom w:val="0"/>
      <w:divBdr>
        <w:top w:val="none" w:sz="0" w:space="0" w:color="auto"/>
        <w:left w:val="none" w:sz="0" w:space="0" w:color="auto"/>
        <w:bottom w:val="none" w:sz="0" w:space="0" w:color="auto"/>
        <w:right w:val="none" w:sz="0" w:space="0" w:color="auto"/>
      </w:divBdr>
    </w:div>
    <w:div w:id="1824081439">
      <w:bodyDiv w:val="1"/>
      <w:marLeft w:val="0"/>
      <w:marRight w:val="0"/>
      <w:marTop w:val="0"/>
      <w:marBottom w:val="0"/>
      <w:divBdr>
        <w:top w:val="none" w:sz="0" w:space="0" w:color="auto"/>
        <w:left w:val="none" w:sz="0" w:space="0" w:color="auto"/>
        <w:bottom w:val="none" w:sz="0" w:space="0" w:color="auto"/>
        <w:right w:val="none" w:sz="0" w:space="0" w:color="auto"/>
      </w:divBdr>
    </w:div>
    <w:div w:id="1825119465">
      <w:bodyDiv w:val="1"/>
      <w:marLeft w:val="0"/>
      <w:marRight w:val="0"/>
      <w:marTop w:val="0"/>
      <w:marBottom w:val="0"/>
      <w:divBdr>
        <w:top w:val="none" w:sz="0" w:space="0" w:color="auto"/>
        <w:left w:val="none" w:sz="0" w:space="0" w:color="auto"/>
        <w:bottom w:val="none" w:sz="0" w:space="0" w:color="auto"/>
        <w:right w:val="none" w:sz="0" w:space="0" w:color="auto"/>
      </w:divBdr>
    </w:div>
    <w:div w:id="1830713676">
      <w:bodyDiv w:val="1"/>
      <w:marLeft w:val="0"/>
      <w:marRight w:val="0"/>
      <w:marTop w:val="0"/>
      <w:marBottom w:val="0"/>
      <w:divBdr>
        <w:top w:val="none" w:sz="0" w:space="0" w:color="auto"/>
        <w:left w:val="none" w:sz="0" w:space="0" w:color="auto"/>
        <w:bottom w:val="none" w:sz="0" w:space="0" w:color="auto"/>
        <w:right w:val="none" w:sz="0" w:space="0" w:color="auto"/>
      </w:divBdr>
    </w:div>
    <w:div w:id="1835609993">
      <w:bodyDiv w:val="1"/>
      <w:marLeft w:val="0"/>
      <w:marRight w:val="0"/>
      <w:marTop w:val="0"/>
      <w:marBottom w:val="0"/>
      <w:divBdr>
        <w:top w:val="none" w:sz="0" w:space="0" w:color="auto"/>
        <w:left w:val="none" w:sz="0" w:space="0" w:color="auto"/>
        <w:bottom w:val="none" w:sz="0" w:space="0" w:color="auto"/>
        <w:right w:val="none" w:sz="0" w:space="0" w:color="auto"/>
      </w:divBdr>
    </w:div>
    <w:div w:id="1871069297">
      <w:bodyDiv w:val="1"/>
      <w:marLeft w:val="0"/>
      <w:marRight w:val="0"/>
      <w:marTop w:val="0"/>
      <w:marBottom w:val="0"/>
      <w:divBdr>
        <w:top w:val="none" w:sz="0" w:space="0" w:color="auto"/>
        <w:left w:val="none" w:sz="0" w:space="0" w:color="auto"/>
        <w:bottom w:val="none" w:sz="0" w:space="0" w:color="auto"/>
        <w:right w:val="none" w:sz="0" w:space="0" w:color="auto"/>
      </w:divBdr>
    </w:div>
    <w:div w:id="1881092198">
      <w:bodyDiv w:val="1"/>
      <w:marLeft w:val="0"/>
      <w:marRight w:val="0"/>
      <w:marTop w:val="0"/>
      <w:marBottom w:val="0"/>
      <w:divBdr>
        <w:top w:val="none" w:sz="0" w:space="0" w:color="auto"/>
        <w:left w:val="none" w:sz="0" w:space="0" w:color="auto"/>
        <w:bottom w:val="none" w:sz="0" w:space="0" w:color="auto"/>
        <w:right w:val="none" w:sz="0" w:space="0" w:color="auto"/>
      </w:divBdr>
    </w:div>
    <w:div w:id="1911621131">
      <w:bodyDiv w:val="1"/>
      <w:marLeft w:val="0"/>
      <w:marRight w:val="0"/>
      <w:marTop w:val="0"/>
      <w:marBottom w:val="0"/>
      <w:divBdr>
        <w:top w:val="none" w:sz="0" w:space="0" w:color="auto"/>
        <w:left w:val="none" w:sz="0" w:space="0" w:color="auto"/>
        <w:bottom w:val="none" w:sz="0" w:space="0" w:color="auto"/>
        <w:right w:val="none" w:sz="0" w:space="0" w:color="auto"/>
      </w:divBdr>
    </w:div>
    <w:div w:id="1922909522">
      <w:bodyDiv w:val="1"/>
      <w:marLeft w:val="0"/>
      <w:marRight w:val="0"/>
      <w:marTop w:val="0"/>
      <w:marBottom w:val="0"/>
      <w:divBdr>
        <w:top w:val="none" w:sz="0" w:space="0" w:color="auto"/>
        <w:left w:val="none" w:sz="0" w:space="0" w:color="auto"/>
        <w:bottom w:val="none" w:sz="0" w:space="0" w:color="auto"/>
        <w:right w:val="none" w:sz="0" w:space="0" w:color="auto"/>
      </w:divBdr>
    </w:div>
    <w:div w:id="1925066880">
      <w:bodyDiv w:val="1"/>
      <w:marLeft w:val="0"/>
      <w:marRight w:val="0"/>
      <w:marTop w:val="0"/>
      <w:marBottom w:val="0"/>
      <w:divBdr>
        <w:top w:val="none" w:sz="0" w:space="0" w:color="auto"/>
        <w:left w:val="none" w:sz="0" w:space="0" w:color="auto"/>
        <w:bottom w:val="none" w:sz="0" w:space="0" w:color="auto"/>
        <w:right w:val="none" w:sz="0" w:space="0" w:color="auto"/>
      </w:divBdr>
    </w:div>
    <w:div w:id="1931348727">
      <w:bodyDiv w:val="1"/>
      <w:marLeft w:val="0"/>
      <w:marRight w:val="0"/>
      <w:marTop w:val="0"/>
      <w:marBottom w:val="0"/>
      <w:divBdr>
        <w:top w:val="none" w:sz="0" w:space="0" w:color="auto"/>
        <w:left w:val="none" w:sz="0" w:space="0" w:color="auto"/>
        <w:bottom w:val="none" w:sz="0" w:space="0" w:color="auto"/>
        <w:right w:val="none" w:sz="0" w:space="0" w:color="auto"/>
      </w:divBdr>
    </w:div>
    <w:div w:id="1931743198">
      <w:bodyDiv w:val="1"/>
      <w:marLeft w:val="0"/>
      <w:marRight w:val="0"/>
      <w:marTop w:val="0"/>
      <w:marBottom w:val="0"/>
      <w:divBdr>
        <w:top w:val="none" w:sz="0" w:space="0" w:color="auto"/>
        <w:left w:val="none" w:sz="0" w:space="0" w:color="auto"/>
        <w:bottom w:val="none" w:sz="0" w:space="0" w:color="auto"/>
        <w:right w:val="none" w:sz="0" w:space="0" w:color="auto"/>
      </w:divBdr>
    </w:div>
    <w:div w:id="1944915253">
      <w:bodyDiv w:val="1"/>
      <w:marLeft w:val="0"/>
      <w:marRight w:val="0"/>
      <w:marTop w:val="0"/>
      <w:marBottom w:val="0"/>
      <w:divBdr>
        <w:top w:val="none" w:sz="0" w:space="0" w:color="auto"/>
        <w:left w:val="none" w:sz="0" w:space="0" w:color="auto"/>
        <w:bottom w:val="none" w:sz="0" w:space="0" w:color="auto"/>
        <w:right w:val="none" w:sz="0" w:space="0" w:color="auto"/>
      </w:divBdr>
    </w:div>
    <w:div w:id="1970429604">
      <w:bodyDiv w:val="1"/>
      <w:marLeft w:val="0"/>
      <w:marRight w:val="0"/>
      <w:marTop w:val="0"/>
      <w:marBottom w:val="0"/>
      <w:divBdr>
        <w:top w:val="none" w:sz="0" w:space="0" w:color="auto"/>
        <w:left w:val="none" w:sz="0" w:space="0" w:color="auto"/>
        <w:bottom w:val="none" w:sz="0" w:space="0" w:color="auto"/>
        <w:right w:val="none" w:sz="0" w:space="0" w:color="auto"/>
      </w:divBdr>
    </w:div>
    <w:div w:id="1978534884">
      <w:bodyDiv w:val="1"/>
      <w:marLeft w:val="0"/>
      <w:marRight w:val="0"/>
      <w:marTop w:val="0"/>
      <w:marBottom w:val="0"/>
      <w:divBdr>
        <w:top w:val="none" w:sz="0" w:space="0" w:color="auto"/>
        <w:left w:val="none" w:sz="0" w:space="0" w:color="auto"/>
        <w:bottom w:val="none" w:sz="0" w:space="0" w:color="auto"/>
        <w:right w:val="none" w:sz="0" w:space="0" w:color="auto"/>
      </w:divBdr>
    </w:div>
    <w:div w:id="1989623995">
      <w:bodyDiv w:val="1"/>
      <w:marLeft w:val="0"/>
      <w:marRight w:val="0"/>
      <w:marTop w:val="0"/>
      <w:marBottom w:val="0"/>
      <w:divBdr>
        <w:top w:val="none" w:sz="0" w:space="0" w:color="auto"/>
        <w:left w:val="none" w:sz="0" w:space="0" w:color="auto"/>
        <w:bottom w:val="none" w:sz="0" w:space="0" w:color="auto"/>
        <w:right w:val="none" w:sz="0" w:space="0" w:color="auto"/>
      </w:divBdr>
    </w:div>
    <w:div w:id="2015301488">
      <w:bodyDiv w:val="1"/>
      <w:marLeft w:val="0"/>
      <w:marRight w:val="0"/>
      <w:marTop w:val="0"/>
      <w:marBottom w:val="0"/>
      <w:divBdr>
        <w:top w:val="none" w:sz="0" w:space="0" w:color="auto"/>
        <w:left w:val="none" w:sz="0" w:space="0" w:color="auto"/>
        <w:bottom w:val="none" w:sz="0" w:space="0" w:color="auto"/>
        <w:right w:val="none" w:sz="0" w:space="0" w:color="auto"/>
      </w:divBdr>
      <w:divsChild>
        <w:div w:id="191681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724968">
      <w:bodyDiv w:val="1"/>
      <w:marLeft w:val="0"/>
      <w:marRight w:val="0"/>
      <w:marTop w:val="0"/>
      <w:marBottom w:val="0"/>
      <w:divBdr>
        <w:top w:val="none" w:sz="0" w:space="0" w:color="auto"/>
        <w:left w:val="none" w:sz="0" w:space="0" w:color="auto"/>
        <w:bottom w:val="none" w:sz="0" w:space="0" w:color="auto"/>
        <w:right w:val="none" w:sz="0" w:space="0" w:color="auto"/>
      </w:divBdr>
    </w:div>
    <w:div w:id="2051610759">
      <w:bodyDiv w:val="1"/>
      <w:marLeft w:val="0"/>
      <w:marRight w:val="0"/>
      <w:marTop w:val="0"/>
      <w:marBottom w:val="0"/>
      <w:divBdr>
        <w:top w:val="none" w:sz="0" w:space="0" w:color="auto"/>
        <w:left w:val="none" w:sz="0" w:space="0" w:color="auto"/>
        <w:bottom w:val="none" w:sz="0" w:space="0" w:color="auto"/>
        <w:right w:val="none" w:sz="0" w:space="0" w:color="auto"/>
      </w:divBdr>
    </w:div>
    <w:div w:id="2064479907">
      <w:bodyDiv w:val="1"/>
      <w:marLeft w:val="0"/>
      <w:marRight w:val="0"/>
      <w:marTop w:val="0"/>
      <w:marBottom w:val="0"/>
      <w:divBdr>
        <w:top w:val="none" w:sz="0" w:space="0" w:color="auto"/>
        <w:left w:val="none" w:sz="0" w:space="0" w:color="auto"/>
        <w:bottom w:val="none" w:sz="0" w:space="0" w:color="auto"/>
        <w:right w:val="none" w:sz="0" w:space="0" w:color="auto"/>
      </w:divBdr>
    </w:div>
    <w:div w:id="20822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A97F-1A46-4C0B-B4AF-F668652D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41</cp:revision>
  <cp:lastPrinted>2016-10-21T19:07:00Z</cp:lastPrinted>
  <dcterms:created xsi:type="dcterms:W3CDTF">2016-10-20T17:49:00Z</dcterms:created>
  <dcterms:modified xsi:type="dcterms:W3CDTF">2016-10-28T16:16:00Z</dcterms:modified>
</cp:coreProperties>
</file>