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747" w:rsidRPr="00A03D6F" w:rsidRDefault="00C21747" w:rsidP="00C21747">
      <w:pPr>
        <w:pStyle w:val="Title"/>
        <w:tabs>
          <w:tab w:val="clear" w:pos="360"/>
          <w:tab w:val="left" w:pos="0"/>
        </w:tabs>
        <w:spacing w:line="240" w:lineRule="auto"/>
      </w:pPr>
      <w:r w:rsidRPr="00A03D6F">
        <w:t>BEFORE THE</w:t>
      </w:r>
    </w:p>
    <w:p w:rsidR="00C21747" w:rsidRPr="00A03D6F" w:rsidRDefault="00C21747" w:rsidP="00C21747">
      <w:pPr>
        <w:tabs>
          <w:tab w:val="left" w:pos="0"/>
        </w:tabs>
        <w:spacing w:before="0" w:after="0" w:line="240" w:lineRule="auto"/>
        <w:jc w:val="center"/>
        <w:rPr>
          <w:b/>
        </w:rPr>
      </w:pPr>
      <w:r>
        <w:rPr>
          <w:b/>
        </w:rPr>
        <w:t>P</w:t>
      </w:r>
      <w:r w:rsidRPr="00A03D6F">
        <w:rPr>
          <w:b/>
        </w:rPr>
        <w:t>ENNSYLVANIA PUBLIC UTILITY COMMISSION</w:t>
      </w:r>
    </w:p>
    <w:p w:rsidR="00C21747" w:rsidRPr="00A03D6F" w:rsidRDefault="00C21747" w:rsidP="00C21747">
      <w:pPr>
        <w:tabs>
          <w:tab w:val="left" w:pos="0"/>
        </w:tabs>
        <w:spacing w:before="0" w:after="0" w:line="240" w:lineRule="auto"/>
        <w:jc w:val="both"/>
        <w:rPr>
          <w:b/>
        </w:rPr>
      </w:pPr>
    </w:p>
    <w:p w:rsidR="00C21747" w:rsidRDefault="00C21747" w:rsidP="00C21747">
      <w:pPr>
        <w:tabs>
          <w:tab w:val="clear" w:pos="1440"/>
          <w:tab w:val="left" w:pos="0"/>
        </w:tabs>
        <w:spacing w:before="0" w:after="0" w:line="240" w:lineRule="auto"/>
        <w:jc w:val="both"/>
        <w:rPr>
          <w:rFonts w:eastAsia="SimSun"/>
        </w:rPr>
      </w:pPr>
    </w:p>
    <w:p w:rsidR="00C21747" w:rsidRDefault="00C21747" w:rsidP="00C21747">
      <w:pPr>
        <w:tabs>
          <w:tab w:val="clear" w:pos="1440"/>
          <w:tab w:val="left" w:pos="0"/>
        </w:tabs>
        <w:spacing w:before="0" w:after="0" w:line="240" w:lineRule="auto"/>
        <w:jc w:val="both"/>
        <w:rPr>
          <w:rFonts w:eastAsia="SimSun"/>
        </w:rPr>
      </w:pPr>
    </w:p>
    <w:p w:rsidR="00C21747" w:rsidRPr="007A3633" w:rsidRDefault="00C21747" w:rsidP="00C21747">
      <w:pPr>
        <w:tabs>
          <w:tab w:val="clear" w:pos="1440"/>
          <w:tab w:val="left" w:pos="0"/>
        </w:tabs>
        <w:spacing w:before="0" w:after="0" w:line="240" w:lineRule="auto"/>
        <w:jc w:val="both"/>
        <w:rPr>
          <w:rFonts w:eastAsia="SimSun"/>
          <w:b/>
        </w:rPr>
      </w:pPr>
      <w:r w:rsidRPr="007A3633">
        <w:rPr>
          <w:rFonts w:eastAsia="SimSun"/>
        </w:rPr>
        <w:t>Linda Anderson</w:t>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b/>
        </w:rPr>
        <w:t>:</w:t>
      </w:r>
    </w:p>
    <w:p w:rsidR="00C21747" w:rsidRPr="007A3633" w:rsidRDefault="00C21747" w:rsidP="00C21747">
      <w:pPr>
        <w:tabs>
          <w:tab w:val="clear" w:pos="1440"/>
          <w:tab w:val="left" w:pos="0"/>
        </w:tabs>
        <w:spacing w:before="0" w:after="0" w:line="240" w:lineRule="auto"/>
        <w:jc w:val="both"/>
        <w:rPr>
          <w:rFonts w:eastAsia="SimSun"/>
        </w:rPr>
      </w:pPr>
      <w:r w:rsidRPr="007A3633">
        <w:rPr>
          <w:rFonts w:eastAsia="SimSun"/>
          <w:b/>
        </w:rPr>
        <w:tab/>
      </w:r>
      <w:r w:rsidRPr="007A3633">
        <w:rPr>
          <w:rFonts w:eastAsia="SimSun"/>
          <w:b/>
        </w:rPr>
        <w:tab/>
      </w:r>
      <w:r w:rsidRPr="007A3633">
        <w:rPr>
          <w:rFonts w:eastAsia="SimSun"/>
          <w:b/>
        </w:rPr>
        <w:tab/>
      </w:r>
      <w:r w:rsidRPr="007A3633">
        <w:rPr>
          <w:rFonts w:eastAsia="SimSun"/>
          <w:b/>
        </w:rPr>
        <w:tab/>
      </w:r>
      <w:r w:rsidRPr="007A3633">
        <w:rPr>
          <w:rFonts w:eastAsia="SimSun"/>
          <w:b/>
        </w:rPr>
        <w:tab/>
      </w:r>
      <w:r w:rsidRPr="007A3633">
        <w:rPr>
          <w:rFonts w:eastAsia="SimSun"/>
          <w:b/>
        </w:rPr>
        <w:tab/>
      </w:r>
      <w:r w:rsidRPr="007A3633">
        <w:rPr>
          <w:rFonts w:eastAsia="SimSun"/>
          <w:b/>
        </w:rPr>
        <w:tab/>
        <w:t>:</w:t>
      </w:r>
    </w:p>
    <w:p w:rsidR="00C21747" w:rsidRPr="007A3633" w:rsidRDefault="00C21747" w:rsidP="00C21747">
      <w:pPr>
        <w:tabs>
          <w:tab w:val="clear" w:pos="1440"/>
          <w:tab w:val="left" w:pos="0"/>
        </w:tabs>
        <w:spacing w:before="0" w:after="0" w:line="240" w:lineRule="auto"/>
        <w:jc w:val="both"/>
        <w:rPr>
          <w:rFonts w:eastAsia="SimSun"/>
        </w:rPr>
      </w:pPr>
      <w:r w:rsidRPr="007A3633">
        <w:rPr>
          <w:rFonts w:eastAsia="SimSun"/>
        </w:rPr>
        <w:tab/>
        <w:t>v.</w:t>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b/>
        </w:rPr>
        <w:t>:</w:t>
      </w:r>
      <w:r w:rsidRPr="007A3633">
        <w:rPr>
          <w:rFonts w:eastAsia="SimSun"/>
        </w:rPr>
        <w:tab/>
      </w:r>
      <w:r w:rsidRPr="007A3633">
        <w:rPr>
          <w:rFonts w:eastAsia="SimSun"/>
        </w:rPr>
        <w:tab/>
        <w:t>C-2015-2513850</w:t>
      </w:r>
    </w:p>
    <w:p w:rsidR="00C21747" w:rsidRPr="007A3633" w:rsidRDefault="00C21747" w:rsidP="00C21747">
      <w:pPr>
        <w:tabs>
          <w:tab w:val="clear" w:pos="1440"/>
          <w:tab w:val="left" w:pos="0"/>
        </w:tabs>
        <w:spacing w:before="0" w:after="0" w:line="240" w:lineRule="auto"/>
        <w:jc w:val="both"/>
        <w:rPr>
          <w:rFonts w:eastAsia="SimSun"/>
        </w:rPr>
      </w:pP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b/>
        </w:rPr>
        <w:t>:</w:t>
      </w:r>
    </w:p>
    <w:p w:rsidR="00C21747" w:rsidRPr="007A3633" w:rsidRDefault="00C21747" w:rsidP="00DF3F0F">
      <w:pPr>
        <w:tabs>
          <w:tab w:val="clear" w:pos="1440"/>
          <w:tab w:val="left" w:pos="0"/>
        </w:tabs>
        <w:spacing w:before="0" w:after="0" w:line="240" w:lineRule="auto"/>
        <w:jc w:val="both"/>
        <w:rPr>
          <w:rFonts w:eastAsia="SimSun"/>
          <w:b/>
        </w:rPr>
      </w:pPr>
      <w:proofErr w:type="gramStart"/>
      <w:r w:rsidRPr="007A3633">
        <w:rPr>
          <w:rFonts w:eastAsia="SimSun"/>
        </w:rPr>
        <w:t>Columbia Gas of Pennsylvania, Inc.</w:t>
      </w:r>
      <w:proofErr w:type="gramEnd"/>
      <w:r w:rsidRPr="007A3633">
        <w:rPr>
          <w:rFonts w:eastAsia="SimSun"/>
        </w:rPr>
        <w:tab/>
      </w:r>
      <w:r w:rsidRPr="007A3633">
        <w:rPr>
          <w:rFonts w:eastAsia="SimSun"/>
        </w:rPr>
        <w:tab/>
      </w:r>
      <w:r w:rsidRPr="007A3633">
        <w:rPr>
          <w:rFonts w:eastAsia="SimSun"/>
        </w:rPr>
        <w:tab/>
      </w:r>
      <w:r w:rsidRPr="007A3633">
        <w:rPr>
          <w:rFonts w:eastAsia="SimSun"/>
          <w:b/>
        </w:rPr>
        <w:t>:</w:t>
      </w:r>
    </w:p>
    <w:p w:rsidR="00C21747" w:rsidRPr="007A3633" w:rsidRDefault="00C21747" w:rsidP="00DF3F0F">
      <w:pPr>
        <w:tabs>
          <w:tab w:val="clear" w:pos="1440"/>
          <w:tab w:val="left" w:pos="0"/>
        </w:tabs>
        <w:spacing w:before="0" w:after="0" w:line="240" w:lineRule="auto"/>
        <w:jc w:val="both"/>
        <w:rPr>
          <w:rFonts w:eastAsia="SimSun"/>
          <w:b/>
        </w:rPr>
      </w:pPr>
    </w:p>
    <w:p w:rsidR="00C21747" w:rsidRDefault="00C21747" w:rsidP="00DF3F0F">
      <w:pPr>
        <w:tabs>
          <w:tab w:val="clear" w:pos="1440"/>
          <w:tab w:val="left" w:pos="0"/>
        </w:tabs>
        <w:spacing w:before="0" w:after="0" w:line="240" w:lineRule="auto"/>
        <w:jc w:val="both"/>
        <w:rPr>
          <w:rFonts w:eastAsia="SimSun"/>
          <w:b/>
        </w:rPr>
      </w:pPr>
    </w:p>
    <w:p w:rsidR="00DF3F0F" w:rsidRPr="007A3633" w:rsidRDefault="00DF3F0F" w:rsidP="00DF3F0F">
      <w:pPr>
        <w:tabs>
          <w:tab w:val="clear" w:pos="1440"/>
          <w:tab w:val="left" w:pos="0"/>
        </w:tabs>
        <w:spacing w:before="0" w:after="0" w:line="240" w:lineRule="auto"/>
        <w:jc w:val="both"/>
        <w:rPr>
          <w:rFonts w:eastAsia="SimSun"/>
          <w:b/>
        </w:rPr>
      </w:pPr>
    </w:p>
    <w:p w:rsidR="0011534A" w:rsidRPr="00183222" w:rsidRDefault="0011534A" w:rsidP="00183222">
      <w:pPr>
        <w:spacing w:before="0" w:after="0" w:line="240" w:lineRule="auto"/>
        <w:jc w:val="center"/>
        <w:rPr>
          <w:b/>
        </w:rPr>
      </w:pPr>
      <w:r w:rsidRPr="00183222">
        <w:rPr>
          <w:b/>
        </w:rPr>
        <w:t>INTERIM ORDER</w:t>
      </w:r>
    </w:p>
    <w:p w:rsidR="0011534A" w:rsidRDefault="0011534A" w:rsidP="00183222">
      <w:pPr>
        <w:spacing w:before="0" w:after="0" w:line="240" w:lineRule="auto"/>
        <w:jc w:val="center"/>
        <w:rPr>
          <w:b/>
          <w:u w:val="single"/>
        </w:rPr>
      </w:pPr>
      <w:r w:rsidRPr="00183222">
        <w:rPr>
          <w:b/>
          <w:u w:val="single"/>
        </w:rPr>
        <w:t>DENYING REQUEST FOR SUSPENSION OF THE LITIGATION SCHEDULE</w:t>
      </w:r>
    </w:p>
    <w:p w:rsidR="00DF3F0F" w:rsidRDefault="00DF3F0F" w:rsidP="00183222">
      <w:pPr>
        <w:spacing w:before="0" w:after="0" w:line="240" w:lineRule="auto"/>
        <w:jc w:val="center"/>
        <w:rPr>
          <w:b/>
          <w:u w:val="single"/>
        </w:rPr>
      </w:pPr>
    </w:p>
    <w:p w:rsidR="0011534A" w:rsidRDefault="0011534A" w:rsidP="0059005B">
      <w:pPr>
        <w:spacing w:before="0" w:after="0"/>
      </w:pPr>
      <w:r>
        <w:tab/>
        <w:t>On November 18, 2015, Linda Anderson (Complainant) filed a formal complaint against Columbia Gas of Pennsylvania, Inc.  (Columbia).  She alleged, among other things, that the wireless device installed on her meter poses a health risk to her.  On November 25, 2015, Columbia filed an answer which denied the material allegations of her complaint.</w:t>
      </w:r>
    </w:p>
    <w:p w:rsidR="0059005B" w:rsidRDefault="0059005B" w:rsidP="0059005B">
      <w:pPr>
        <w:spacing w:before="0" w:after="0"/>
      </w:pPr>
    </w:p>
    <w:p w:rsidR="0011534A" w:rsidRDefault="0011534A" w:rsidP="0059005B">
      <w:pPr>
        <w:spacing w:before="0" w:after="0"/>
      </w:pPr>
      <w:r>
        <w:tab/>
        <w:t>By hearing notice dated December 4, 2015, the case was assigned to me and scheduled for a telephonic hearing on January 28, 2016.  On January 19, 2016, Attorney Edward</w:t>
      </w:r>
      <w:r w:rsidR="0059005B">
        <w:t> </w:t>
      </w:r>
      <w:r w:rsidR="00DF3F0F">
        <w:t xml:space="preserve">G. </w:t>
      </w:r>
      <w:r>
        <w:t>Lanza filed a notice of appearance to represent the Complainant and requested a continuance of the hearing because he had been recently retained by the Complainant.  By interim order dated January 19, 2016, the request for a continuance was granted</w:t>
      </w:r>
      <w:r w:rsidR="00A937D8">
        <w:t xml:space="preserve"> and the hearing was rescheduled to March 8, 2016.</w:t>
      </w:r>
    </w:p>
    <w:p w:rsidR="0059005B" w:rsidRDefault="0059005B" w:rsidP="0059005B">
      <w:pPr>
        <w:spacing w:before="0" w:after="0"/>
      </w:pPr>
    </w:p>
    <w:p w:rsidR="00A937D8" w:rsidRDefault="00A937D8" w:rsidP="0059005B">
      <w:pPr>
        <w:spacing w:before="0" w:after="0"/>
      </w:pPr>
      <w:r>
        <w:tab/>
        <w:t xml:space="preserve">By email dated February 25, 2016, the Complainant requested a continuance of the March 8, 2016 hearing.  Counsel represented that the parties had engaged in settlement negotiations and needed more time to continue their discussions.  </w:t>
      </w:r>
      <w:r w:rsidR="0089051B">
        <w:t>By interim order dated February 26, 2016, the second continuance request was granted.  The parties were directed to submit a status report in 30 days describing the progress of their negotiations and to propose alternate hearing dates if settlement was not imminent by that time.</w:t>
      </w:r>
    </w:p>
    <w:p w:rsidR="00B86CAA" w:rsidRDefault="00B86CAA" w:rsidP="0059005B">
      <w:pPr>
        <w:spacing w:before="0" w:after="0"/>
      </w:pPr>
    </w:p>
    <w:p w:rsidR="0089051B" w:rsidRDefault="0089051B" w:rsidP="0059005B">
      <w:pPr>
        <w:spacing w:before="0" w:after="0"/>
      </w:pPr>
      <w:r>
        <w:lastRenderedPageBreak/>
        <w:tab/>
        <w:t xml:space="preserve">By email dated March 25, 2016, the parties informed me that they had a telephone conference on February 8, 2016, and had agreed to informally provide information to the Complainant to address some of her concerns.  The parties reported that progress had been made toward </w:t>
      </w:r>
      <w:r w:rsidR="0037774F">
        <w:t xml:space="preserve">an </w:t>
      </w:r>
      <w:r>
        <w:t xml:space="preserve">agreement and </w:t>
      </w:r>
      <w:r w:rsidR="001A7A9E">
        <w:t>requested an additional 30 days in order to continue their discussion.  By email dated March 28, 2016, the parties were directed to provide a</w:t>
      </w:r>
      <w:r w:rsidR="00DF3F0F">
        <w:t xml:space="preserve"> further status report by April </w:t>
      </w:r>
      <w:r w:rsidR="001A7A9E">
        <w:t>28, 2016.</w:t>
      </w:r>
    </w:p>
    <w:p w:rsidR="0059005B" w:rsidRDefault="0059005B" w:rsidP="0059005B">
      <w:pPr>
        <w:spacing w:before="0" w:after="0"/>
      </w:pPr>
    </w:p>
    <w:p w:rsidR="001A7A9E" w:rsidRDefault="001A7A9E" w:rsidP="0059005B">
      <w:pPr>
        <w:spacing w:before="0" w:after="0"/>
      </w:pPr>
      <w:r>
        <w:tab/>
        <w:t xml:space="preserve">By email dated April 29, 2016, the parties reported that they had been unable to reach a settlement.  Accordingly, a telephonic hearing was scheduled for August 8, 2016.  The hearing convened as scheduled.  The Complainant appeared and was represented by Attorney Lanza.  Attorney Larry </w:t>
      </w:r>
      <w:r w:rsidR="00DF3F0F">
        <w:t xml:space="preserve">R. </w:t>
      </w:r>
      <w:proofErr w:type="spellStart"/>
      <w:r>
        <w:t>Crayne</w:t>
      </w:r>
      <w:proofErr w:type="spellEnd"/>
      <w:r>
        <w:t xml:space="preserve"> appeared along with five witnesses on behalf of Columbia.   The parties agreed to engage in the settlement judge process in an effort to resolve the Complainant’s dispute with Columbia.  Following off-the-record discussions, the parties agreed to do an investigation regarding remediation at the Complainant’s property and to investigate some alternatives to the configuration of her meter on the property.</w:t>
      </w:r>
      <w:r>
        <w:rPr>
          <w:rStyle w:val="FootnoteReference"/>
        </w:rPr>
        <w:footnoteReference w:id="1"/>
      </w:r>
      <w:r w:rsidR="0026306C">
        <w:t xml:space="preserve">  A status conference was scheduled for September 22, 2016.</w:t>
      </w:r>
    </w:p>
    <w:p w:rsidR="0059005B" w:rsidRDefault="0059005B" w:rsidP="0059005B">
      <w:pPr>
        <w:spacing w:before="0" w:after="0"/>
      </w:pPr>
    </w:p>
    <w:p w:rsidR="0026306C" w:rsidRDefault="0026306C" w:rsidP="0059005B">
      <w:pPr>
        <w:spacing w:before="0" w:after="0"/>
      </w:pPr>
      <w:r>
        <w:tab/>
        <w:t>The status conference convened as scheduled.  The parties had been unable to reach a resolution of the Complainant’s disputes.  Therefore</w:t>
      </w:r>
      <w:r w:rsidR="006F3906">
        <w:t>,</w:t>
      </w:r>
      <w:r>
        <w:t xml:space="preserve"> the parties agreed to schedule evidentiary hearings for February 21-2</w:t>
      </w:r>
      <w:r w:rsidR="006F3906">
        <w:t>2</w:t>
      </w:r>
      <w:r>
        <w:t>, 2017.  The parties were directed to provide a litigation schedule which provided for the exchange of witness lists, written expert testimony, and deadlines for dispositive motions.</w:t>
      </w:r>
      <w:r w:rsidR="00CA7B55">
        <w:t xml:space="preserve">  On September 30, 2016, the parties provided a schedule which was memorialized in an interim order dated October 3, 2016:</w:t>
      </w:r>
    </w:p>
    <w:p w:rsidR="00B86CAA" w:rsidRDefault="00B86CAA" w:rsidP="0059005B">
      <w:pPr>
        <w:spacing w:before="0"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gridCol w:w="2780"/>
      </w:tblGrid>
      <w:tr w:rsidR="00CA7B55" w:rsidTr="00396671">
        <w:trPr>
          <w:trHeight w:val="284"/>
          <w:jc w:val="center"/>
        </w:trPr>
        <w:tc>
          <w:tcPr>
            <w:tcW w:w="5300" w:type="dxa"/>
          </w:tcPr>
          <w:p w:rsidR="00CA7B55" w:rsidRDefault="00CA7B55" w:rsidP="00CA7B55">
            <w:pPr>
              <w:spacing w:before="0" w:after="0" w:line="240" w:lineRule="auto"/>
            </w:pPr>
            <w:r>
              <w:t>Exchange of witness lists</w:t>
            </w:r>
          </w:p>
        </w:tc>
        <w:tc>
          <w:tcPr>
            <w:tcW w:w="2780" w:type="dxa"/>
          </w:tcPr>
          <w:p w:rsidR="00CA7B55" w:rsidRDefault="00CA7B55" w:rsidP="00CA7B55">
            <w:pPr>
              <w:spacing w:before="0" w:after="0" w:line="240" w:lineRule="auto"/>
            </w:pPr>
            <w:r>
              <w:t>November 21, 2016</w:t>
            </w:r>
          </w:p>
        </w:tc>
      </w:tr>
      <w:tr w:rsidR="00CA7B55" w:rsidTr="00396671">
        <w:trPr>
          <w:trHeight w:val="267"/>
          <w:jc w:val="center"/>
        </w:trPr>
        <w:tc>
          <w:tcPr>
            <w:tcW w:w="5300" w:type="dxa"/>
          </w:tcPr>
          <w:p w:rsidR="00CA7B55" w:rsidRDefault="00CA7B55" w:rsidP="00CA7B55">
            <w:pPr>
              <w:spacing w:before="0" w:after="0" w:line="240" w:lineRule="auto"/>
            </w:pPr>
            <w:r>
              <w:t>Complainant’s written direct expert testimony</w:t>
            </w:r>
          </w:p>
        </w:tc>
        <w:tc>
          <w:tcPr>
            <w:tcW w:w="2780" w:type="dxa"/>
          </w:tcPr>
          <w:p w:rsidR="00CA7B55" w:rsidRDefault="00CA7B55" w:rsidP="00CA7B55">
            <w:pPr>
              <w:spacing w:before="0" w:after="0" w:line="240" w:lineRule="auto"/>
            </w:pPr>
            <w:r>
              <w:t>December 6, 2016</w:t>
            </w:r>
          </w:p>
        </w:tc>
      </w:tr>
      <w:tr w:rsidR="00CA7B55" w:rsidTr="00396671">
        <w:trPr>
          <w:trHeight w:val="284"/>
          <w:jc w:val="center"/>
        </w:trPr>
        <w:tc>
          <w:tcPr>
            <w:tcW w:w="5300" w:type="dxa"/>
          </w:tcPr>
          <w:p w:rsidR="00CA7B55" w:rsidRDefault="00CA7B55" w:rsidP="00CA7B55">
            <w:pPr>
              <w:spacing w:before="0" w:after="0" w:line="240" w:lineRule="auto"/>
            </w:pPr>
            <w:r>
              <w:t>Columbia’s written rebuttal expert testimony</w:t>
            </w:r>
          </w:p>
        </w:tc>
        <w:tc>
          <w:tcPr>
            <w:tcW w:w="2780" w:type="dxa"/>
          </w:tcPr>
          <w:p w:rsidR="00CA7B55" w:rsidRDefault="00CA7B55" w:rsidP="00CA7B55">
            <w:pPr>
              <w:spacing w:before="0" w:after="0" w:line="240" w:lineRule="auto"/>
            </w:pPr>
            <w:r>
              <w:t>January 6, 2017</w:t>
            </w:r>
          </w:p>
        </w:tc>
      </w:tr>
      <w:tr w:rsidR="00CA7B55" w:rsidTr="00396671">
        <w:trPr>
          <w:trHeight w:val="267"/>
          <w:jc w:val="center"/>
        </w:trPr>
        <w:tc>
          <w:tcPr>
            <w:tcW w:w="5300" w:type="dxa"/>
          </w:tcPr>
          <w:p w:rsidR="00CA7B55" w:rsidRDefault="00CA7B55" w:rsidP="00CA7B55">
            <w:pPr>
              <w:spacing w:before="0" w:after="0" w:line="240" w:lineRule="auto"/>
            </w:pPr>
            <w:r>
              <w:t>Complainant’s written surrebuttal testimony</w:t>
            </w:r>
          </w:p>
        </w:tc>
        <w:tc>
          <w:tcPr>
            <w:tcW w:w="2780" w:type="dxa"/>
          </w:tcPr>
          <w:p w:rsidR="00CA7B55" w:rsidRDefault="00CA7B55" w:rsidP="00CA7B55">
            <w:pPr>
              <w:spacing w:before="0" w:after="0" w:line="240" w:lineRule="auto"/>
            </w:pPr>
            <w:r>
              <w:t>February 1, 2017</w:t>
            </w:r>
          </w:p>
        </w:tc>
      </w:tr>
      <w:tr w:rsidR="00CA7B55" w:rsidTr="00396671">
        <w:trPr>
          <w:trHeight w:val="284"/>
          <w:jc w:val="center"/>
        </w:trPr>
        <w:tc>
          <w:tcPr>
            <w:tcW w:w="5300" w:type="dxa"/>
          </w:tcPr>
          <w:p w:rsidR="00CA7B55" w:rsidRDefault="00CA7B55" w:rsidP="00CA7B55">
            <w:pPr>
              <w:spacing w:before="0" w:after="0" w:line="240" w:lineRule="auto"/>
            </w:pPr>
            <w:r>
              <w:t>Exchange of proposed hearing exhibits</w:t>
            </w:r>
          </w:p>
        </w:tc>
        <w:tc>
          <w:tcPr>
            <w:tcW w:w="2780" w:type="dxa"/>
          </w:tcPr>
          <w:p w:rsidR="00CA7B55" w:rsidRDefault="00CA7B55" w:rsidP="00CA7B55">
            <w:pPr>
              <w:spacing w:before="0" w:after="0" w:line="240" w:lineRule="auto"/>
            </w:pPr>
            <w:r>
              <w:t>February 16, 2017</w:t>
            </w:r>
          </w:p>
        </w:tc>
      </w:tr>
      <w:tr w:rsidR="00CA7B55" w:rsidTr="00396671">
        <w:trPr>
          <w:trHeight w:val="267"/>
          <w:jc w:val="center"/>
        </w:trPr>
        <w:tc>
          <w:tcPr>
            <w:tcW w:w="5300" w:type="dxa"/>
          </w:tcPr>
          <w:p w:rsidR="00CA7B55" w:rsidRDefault="00CA7B55" w:rsidP="00CA7B55">
            <w:pPr>
              <w:spacing w:before="0" w:after="0" w:line="240" w:lineRule="auto"/>
            </w:pPr>
            <w:r>
              <w:t>Telephonic evidentiary hearings</w:t>
            </w:r>
          </w:p>
        </w:tc>
        <w:tc>
          <w:tcPr>
            <w:tcW w:w="2780" w:type="dxa"/>
          </w:tcPr>
          <w:p w:rsidR="00CA7B55" w:rsidRDefault="00CA7B55" w:rsidP="00CA7B55">
            <w:pPr>
              <w:spacing w:before="0" w:after="0" w:line="240" w:lineRule="auto"/>
            </w:pPr>
            <w:r>
              <w:t>February 21-22, 2017</w:t>
            </w:r>
          </w:p>
          <w:p w:rsidR="00B86CAA" w:rsidRDefault="00B86CAA" w:rsidP="00CA7B55">
            <w:pPr>
              <w:spacing w:before="0" w:after="0" w:line="240" w:lineRule="auto"/>
            </w:pPr>
          </w:p>
        </w:tc>
      </w:tr>
    </w:tbl>
    <w:p w:rsidR="00CA7B55" w:rsidRDefault="00285AB4" w:rsidP="0059005B">
      <w:pPr>
        <w:spacing w:before="0" w:after="0"/>
      </w:pPr>
      <w:r>
        <w:lastRenderedPageBreak/>
        <w:tab/>
        <w:t>On November 18, 2016, the Complainant filed a motion for a 90-day suspension of the hearing schedule.  The Complainant represented that she h</w:t>
      </w:r>
      <w:r w:rsidR="00DF3F0F">
        <w:t>ad suffered a fall on September </w:t>
      </w:r>
      <w:r>
        <w:t>25, 2016, and has been recuperating in a rehabilitation facility.  The motion states that due to her medical condition the Complainant is unable to fully participate in the preparation of her case.</w:t>
      </w:r>
    </w:p>
    <w:p w:rsidR="00407581" w:rsidRDefault="00407581" w:rsidP="0059005B">
      <w:pPr>
        <w:spacing w:before="0" w:after="0"/>
      </w:pPr>
    </w:p>
    <w:p w:rsidR="00723D09" w:rsidRDefault="0071769A" w:rsidP="0059005B">
      <w:pPr>
        <w:spacing w:before="0" w:after="0"/>
      </w:pPr>
      <w:r>
        <w:tab/>
        <w:t xml:space="preserve">The Complainant’s request for a suspension of the litigation schedule is denied as set forth in the order below.  The formal complaint has been pending before the Commission in excess of a year.  </w:t>
      </w:r>
      <w:r w:rsidR="00D50424" w:rsidRPr="00D50424">
        <w:t xml:space="preserve">Pursuant to 52 </w:t>
      </w:r>
      <w:proofErr w:type="spellStart"/>
      <w:r w:rsidR="00D50424" w:rsidRPr="00D50424">
        <w:t>Pa.Code</w:t>
      </w:r>
      <w:proofErr w:type="spellEnd"/>
      <w:r w:rsidR="00D50424" w:rsidRPr="00D50424">
        <w:t xml:space="preserve"> §</w:t>
      </w:r>
      <w:r w:rsidR="00DF3F0F">
        <w:t xml:space="preserve"> </w:t>
      </w:r>
      <w:r w:rsidR="00D50424" w:rsidRPr="00D50424">
        <w:t xml:space="preserve">1.15(b) requests for continuance will be considered for good cause.  </w:t>
      </w:r>
      <w:r>
        <w:t>Although I am not unsympathetic to the Complainant’s physical and medical challenges, she is represented by counsel.</w:t>
      </w:r>
      <w:r w:rsidR="00DF3F0F">
        <w:t xml:space="preserve"> </w:t>
      </w:r>
      <w:r>
        <w:t xml:space="preserve"> She has been represented by Mr. Lanza since January, </w:t>
      </w:r>
      <w:r w:rsidR="006F3906">
        <w:t xml:space="preserve">2016 </w:t>
      </w:r>
      <w:r>
        <w:t xml:space="preserve">and has had opportunity to provide him with the paperwork necessary to advocate for her position or to make arrangements for another person to provide that paperwork to him. </w:t>
      </w:r>
      <w:r w:rsidR="00613D43">
        <w:t>Furthermore, t</w:t>
      </w:r>
      <w:r>
        <w:t>o the extent she required accommodation</w:t>
      </w:r>
      <w:r w:rsidR="00C469CD">
        <w:t xml:space="preserve"> </w:t>
      </w:r>
      <w:r>
        <w:t xml:space="preserve">due to her </w:t>
      </w:r>
      <w:proofErr w:type="gramStart"/>
      <w:r>
        <w:t>rehabilitation,</w:t>
      </w:r>
      <w:proofErr w:type="gramEnd"/>
      <w:r>
        <w:t xml:space="preserve"> a continuance should have been requested long before the day before a witness list was due.</w:t>
      </w:r>
      <w:r w:rsidR="00501554">
        <w:rPr>
          <w:rStyle w:val="FootnoteReference"/>
        </w:rPr>
        <w:footnoteReference w:id="2"/>
      </w:r>
      <w:r>
        <w:t xml:space="preserve">  </w:t>
      </w:r>
    </w:p>
    <w:p w:rsidR="0059005B" w:rsidRDefault="0059005B" w:rsidP="0059005B">
      <w:pPr>
        <w:spacing w:before="0" w:after="0"/>
      </w:pPr>
    </w:p>
    <w:p w:rsidR="009646E1" w:rsidRDefault="00723D09" w:rsidP="0059005B">
      <w:pPr>
        <w:spacing w:before="0" w:after="0"/>
      </w:pPr>
      <w:r>
        <w:tab/>
      </w:r>
      <w:r w:rsidR="00791061">
        <w:t xml:space="preserve">This matter has effectively been continued five times. </w:t>
      </w:r>
      <w:r w:rsidR="00782FF2">
        <w:t xml:space="preserve"> </w:t>
      </w:r>
      <w:r w:rsidR="00782FF2" w:rsidRPr="00782FF2">
        <w:t>Further due process does not require that an administrative tribunal grant a never-ending series of continuances.</w:t>
      </w:r>
      <w:r w:rsidR="00782FF2">
        <w:rPr>
          <w:rStyle w:val="FootnoteReference"/>
        </w:rPr>
        <w:footnoteReference w:id="3"/>
      </w:r>
      <w:r w:rsidR="00782FF2" w:rsidRPr="00782FF2">
        <w:t xml:space="preserve"> </w:t>
      </w:r>
      <w:r w:rsidR="00C41BCC">
        <w:t xml:space="preserve"> </w:t>
      </w:r>
      <w:r w:rsidR="00C41BCC" w:rsidRPr="00C41BCC">
        <w:t>I have a responsibility, as the presiding officer, to regulate the course of the proceedings and impose appropriate time limitations on the parties.</w:t>
      </w:r>
      <w:r w:rsidR="00C41BCC">
        <w:rPr>
          <w:rStyle w:val="FootnoteReference"/>
        </w:rPr>
        <w:footnoteReference w:id="4"/>
      </w:r>
      <w:r w:rsidR="00C41BCC" w:rsidRPr="00C41BCC">
        <w:t xml:space="preserve">  The law does not provide for unlimited hearing days or hearing time and parties must conclude their cases within a reasonable period of time.</w:t>
      </w:r>
      <w:r w:rsidR="00C228B1">
        <w:rPr>
          <w:rStyle w:val="FootnoteReference"/>
        </w:rPr>
        <w:footnoteReference w:id="5"/>
      </w:r>
      <w:r w:rsidR="00C41BCC" w:rsidRPr="00C41BCC">
        <w:t xml:space="preserve">  </w:t>
      </w:r>
      <w:r w:rsidR="00C41BCC">
        <w:t>Accordingly, n</w:t>
      </w:r>
      <w:r w:rsidR="00791061">
        <w:t xml:space="preserve">o further </w:t>
      </w:r>
      <w:r w:rsidR="00151DA8">
        <w:t>delays of the hearing on this matter are warranted</w:t>
      </w:r>
      <w:r w:rsidR="00791061">
        <w:t>.</w:t>
      </w:r>
    </w:p>
    <w:p w:rsidR="00B86CAA" w:rsidRDefault="00B86CAA" w:rsidP="0059005B">
      <w:pPr>
        <w:spacing w:before="0" w:after="0"/>
      </w:pPr>
    </w:p>
    <w:p w:rsidR="00B86CAA" w:rsidRDefault="00B86CAA" w:rsidP="0059005B">
      <w:pPr>
        <w:spacing w:before="0" w:after="0"/>
      </w:pPr>
    </w:p>
    <w:p w:rsidR="00B86CAA" w:rsidRDefault="00B86CAA" w:rsidP="0059005B">
      <w:pPr>
        <w:spacing w:before="0" w:after="0"/>
      </w:pPr>
    </w:p>
    <w:p w:rsidR="009646E1" w:rsidRDefault="009646E1" w:rsidP="0059005B">
      <w:pPr>
        <w:spacing w:before="0" w:after="0"/>
      </w:pPr>
      <w:bookmarkStart w:id="0" w:name="_GoBack"/>
      <w:bookmarkEnd w:id="0"/>
      <w:r>
        <w:lastRenderedPageBreak/>
        <w:tab/>
        <w:t>THEREFORE</w:t>
      </w:r>
      <w:r w:rsidR="002B0F6C">
        <w:t>,</w:t>
      </w:r>
    </w:p>
    <w:p w:rsidR="0059005B" w:rsidRDefault="0059005B" w:rsidP="0059005B">
      <w:pPr>
        <w:spacing w:before="0" w:after="0"/>
      </w:pPr>
    </w:p>
    <w:p w:rsidR="009646E1" w:rsidRDefault="009646E1" w:rsidP="0059005B">
      <w:pPr>
        <w:spacing w:before="0" w:after="0"/>
      </w:pPr>
      <w:r>
        <w:tab/>
        <w:t>IT IS ORDERED</w:t>
      </w:r>
      <w:r>
        <w:tab/>
      </w:r>
    </w:p>
    <w:p w:rsidR="009646E1" w:rsidRDefault="009646E1">
      <w:r>
        <w:tab/>
        <w:t xml:space="preserve">That </w:t>
      </w:r>
      <w:r w:rsidR="006F3906">
        <w:t>Linda Anderson</w:t>
      </w:r>
      <w:r>
        <w:t xml:space="preserve">’s request for a suspension of the litigation schedule </w:t>
      </w:r>
      <w:r w:rsidR="006F3906">
        <w:t xml:space="preserve">at the above docket </w:t>
      </w:r>
      <w:r>
        <w:t>is denied.</w:t>
      </w:r>
    </w:p>
    <w:p w:rsidR="00DF3F0F" w:rsidRDefault="00DF3F0F"/>
    <w:p w:rsidR="008073CB" w:rsidRPr="008073CB" w:rsidRDefault="008073CB" w:rsidP="008073CB">
      <w:pPr>
        <w:tabs>
          <w:tab w:val="clear" w:pos="1440"/>
        </w:tabs>
        <w:spacing w:before="0" w:after="0" w:line="240" w:lineRule="auto"/>
        <w:rPr>
          <w:szCs w:val="24"/>
        </w:rPr>
      </w:pPr>
      <w:r w:rsidRPr="008073CB">
        <w:rPr>
          <w:szCs w:val="24"/>
        </w:rPr>
        <w:t xml:space="preserve">Date:  </w:t>
      </w:r>
      <w:r w:rsidRPr="008073CB">
        <w:rPr>
          <w:szCs w:val="24"/>
          <w:u w:val="single"/>
        </w:rPr>
        <w:t xml:space="preserve">November </w:t>
      </w:r>
      <w:r>
        <w:rPr>
          <w:szCs w:val="24"/>
          <w:u w:val="single"/>
        </w:rPr>
        <w:t>22</w:t>
      </w:r>
      <w:r w:rsidRPr="008073CB">
        <w:rPr>
          <w:szCs w:val="24"/>
          <w:u w:val="single"/>
        </w:rPr>
        <w:t>, 2016</w:t>
      </w:r>
      <w:r w:rsidRPr="008073CB">
        <w:rPr>
          <w:szCs w:val="24"/>
        </w:rPr>
        <w:tab/>
      </w:r>
      <w:r w:rsidRPr="008073CB">
        <w:rPr>
          <w:szCs w:val="24"/>
        </w:rPr>
        <w:tab/>
      </w:r>
      <w:r w:rsidRPr="008073CB">
        <w:rPr>
          <w:szCs w:val="24"/>
        </w:rPr>
        <w:tab/>
      </w:r>
      <w:r w:rsidR="0059005B">
        <w:rPr>
          <w:szCs w:val="24"/>
        </w:rPr>
        <w:tab/>
      </w:r>
      <w:r w:rsidRPr="008073CB">
        <w:rPr>
          <w:szCs w:val="24"/>
          <w:u w:val="single"/>
        </w:rPr>
        <w:tab/>
      </w:r>
      <w:r w:rsidRPr="008073CB">
        <w:rPr>
          <w:szCs w:val="24"/>
          <w:u w:val="single"/>
        </w:rPr>
        <w:tab/>
      </w:r>
      <w:r w:rsidRPr="008073CB">
        <w:rPr>
          <w:szCs w:val="24"/>
          <w:u w:val="single"/>
        </w:rPr>
        <w:tab/>
      </w:r>
      <w:r w:rsidRPr="008073CB">
        <w:rPr>
          <w:szCs w:val="24"/>
          <w:u w:val="single"/>
        </w:rPr>
        <w:tab/>
      </w:r>
      <w:r w:rsidRPr="008073CB">
        <w:rPr>
          <w:szCs w:val="24"/>
          <w:u w:val="single"/>
        </w:rPr>
        <w:tab/>
      </w:r>
      <w:r w:rsidRPr="008073CB">
        <w:rPr>
          <w:szCs w:val="24"/>
          <w:u w:val="single"/>
        </w:rPr>
        <w:tab/>
      </w:r>
    </w:p>
    <w:p w:rsidR="008073CB" w:rsidRPr="008073CB" w:rsidRDefault="008073CB" w:rsidP="008073CB">
      <w:pPr>
        <w:tabs>
          <w:tab w:val="clear" w:pos="1440"/>
        </w:tabs>
        <w:spacing w:before="0" w:after="0" w:line="240" w:lineRule="auto"/>
        <w:rPr>
          <w:szCs w:val="24"/>
        </w:rPr>
      </w:pPr>
      <w:r w:rsidRPr="008073CB">
        <w:rPr>
          <w:szCs w:val="24"/>
        </w:rPr>
        <w:tab/>
      </w:r>
      <w:r w:rsidRPr="008073CB">
        <w:rPr>
          <w:szCs w:val="24"/>
        </w:rPr>
        <w:tab/>
      </w:r>
      <w:r w:rsidRPr="008073CB">
        <w:rPr>
          <w:szCs w:val="24"/>
        </w:rPr>
        <w:tab/>
      </w:r>
      <w:r w:rsidRPr="008073CB">
        <w:rPr>
          <w:szCs w:val="24"/>
        </w:rPr>
        <w:tab/>
      </w:r>
      <w:r w:rsidRPr="008073CB">
        <w:rPr>
          <w:szCs w:val="24"/>
        </w:rPr>
        <w:tab/>
      </w:r>
      <w:r w:rsidRPr="008073CB">
        <w:rPr>
          <w:szCs w:val="24"/>
        </w:rPr>
        <w:tab/>
      </w:r>
      <w:r w:rsidR="0059005B">
        <w:rPr>
          <w:szCs w:val="24"/>
        </w:rPr>
        <w:tab/>
      </w:r>
      <w:r w:rsidRPr="008073CB">
        <w:rPr>
          <w:szCs w:val="24"/>
        </w:rPr>
        <w:t>Mary D. Long</w:t>
      </w:r>
    </w:p>
    <w:p w:rsidR="008073CB" w:rsidRPr="008073CB" w:rsidRDefault="008073CB" w:rsidP="008073CB">
      <w:pPr>
        <w:tabs>
          <w:tab w:val="clear" w:pos="1440"/>
        </w:tabs>
        <w:spacing w:before="0" w:after="0" w:line="240" w:lineRule="auto"/>
        <w:rPr>
          <w:szCs w:val="24"/>
        </w:rPr>
      </w:pPr>
      <w:r w:rsidRPr="008073CB">
        <w:rPr>
          <w:szCs w:val="24"/>
        </w:rPr>
        <w:tab/>
      </w:r>
      <w:r w:rsidRPr="008073CB">
        <w:rPr>
          <w:szCs w:val="24"/>
        </w:rPr>
        <w:tab/>
      </w:r>
      <w:r w:rsidRPr="008073CB">
        <w:rPr>
          <w:szCs w:val="24"/>
        </w:rPr>
        <w:tab/>
      </w:r>
      <w:r w:rsidRPr="008073CB">
        <w:rPr>
          <w:szCs w:val="24"/>
        </w:rPr>
        <w:tab/>
      </w:r>
      <w:r w:rsidRPr="008073CB">
        <w:rPr>
          <w:szCs w:val="24"/>
        </w:rPr>
        <w:tab/>
      </w:r>
      <w:r w:rsidRPr="008073CB">
        <w:rPr>
          <w:szCs w:val="24"/>
        </w:rPr>
        <w:tab/>
      </w:r>
      <w:r w:rsidR="0059005B">
        <w:rPr>
          <w:szCs w:val="24"/>
        </w:rPr>
        <w:tab/>
      </w:r>
      <w:r w:rsidRPr="008073CB">
        <w:rPr>
          <w:szCs w:val="24"/>
        </w:rPr>
        <w:t>Administrative Law Judge</w:t>
      </w:r>
    </w:p>
    <w:p w:rsidR="00DD500D" w:rsidRDefault="00DD500D"/>
    <w:p w:rsidR="00DD500D" w:rsidRDefault="00DD500D">
      <w:pPr>
        <w:tabs>
          <w:tab w:val="clear" w:pos="1440"/>
        </w:tabs>
        <w:spacing w:before="0" w:after="200" w:line="276" w:lineRule="auto"/>
      </w:pPr>
      <w:r>
        <w:br w:type="page"/>
      </w:r>
    </w:p>
    <w:p w:rsidR="00DD500D" w:rsidRDefault="00DD500D">
      <w:pPr>
        <w:sectPr w:rsidR="00DD500D" w:rsidSect="003E1A28">
          <w:footerReference w:type="default" r:id="rId8"/>
          <w:pgSz w:w="12240" w:h="15840"/>
          <w:pgMar w:top="1440" w:right="1440" w:bottom="1440" w:left="1440" w:header="720" w:footer="720" w:gutter="0"/>
          <w:cols w:space="720"/>
          <w:titlePg/>
          <w:docGrid w:linePitch="360"/>
        </w:sectPr>
      </w:pPr>
    </w:p>
    <w:p w:rsidR="00FA643A" w:rsidRPr="00FA643A" w:rsidRDefault="00FA643A" w:rsidP="00FA643A">
      <w:pPr>
        <w:tabs>
          <w:tab w:val="clear" w:pos="1440"/>
        </w:tabs>
        <w:spacing w:before="0" w:after="0" w:line="240" w:lineRule="auto"/>
        <w:contextualSpacing/>
        <w:rPr>
          <w:rFonts w:ascii="Microsoft Sans Serif" w:eastAsiaTheme="minorEastAsia" w:hAnsiTheme="minorHAnsi" w:cstheme="minorBidi"/>
          <w:szCs w:val="22"/>
        </w:rPr>
      </w:pPr>
      <w:r w:rsidRPr="00FA643A">
        <w:rPr>
          <w:rFonts w:ascii="Microsoft Sans Serif" w:eastAsiaTheme="minorEastAsia" w:hAnsiTheme="minorHAnsi" w:cstheme="minorBidi"/>
          <w:b/>
          <w:szCs w:val="22"/>
          <w:u w:val="single"/>
        </w:rPr>
        <w:lastRenderedPageBreak/>
        <w:t xml:space="preserve">C-2015-2513850 </w:t>
      </w:r>
      <w:r w:rsidRPr="00FA643A">
        <w:rPr>
          <w:rFonts w:ascii="Microsoft Sans Serif" w:eastAsiaTheme="minorEastAsia" w:hAnsiTheme="minorHAnsi" w:cstheme="minorBidi"/>
          <w:b/>
          <w:szCs w:val="22"/>
          <w:u w:val="single"/>
        </w:rPr>
        <w:t>–</w:t>
      </w:r>
      <w:r w:rsidRPr="00FA643A">
        <w:rPr>
          <w:rFonts w:ascii="Microsoft Sans Serif" w:eastAsiaTheme="minorEastAsia" w:hAnsiTheme="minorHAnsi" w:cstheme="minorBidi"/>
          <w:b/>
          <w:szCs w:val="22"/>
          <w:u w:val="single"/>
        </w:rPr>
        <w:t xml:space="preserve"> </w:t>
      </w:r>
      <w:proofErr w:type="gramStart"/>
      <w:r w:rsidRPr="00FA643A">
        <w:rPr>
          <w:rFonts w:ascii="Microsoft Sans Serif" w:eastAsiaTheme="minorEastAsia" w:hAnsiTheme="minorHAnsi" w:cstheme="minorBidi"/>
          <w:b/>
          <w:szCs w:val="22"/>
          <w:u w:val="single"/>
        </w:rPr>
        <w:t>LINDA  ANDERSON</w:t>
      </w:r>
      <w:proofErr w:type="gramEnd"/>
      <w:r w:rsidRPr="00FA643A">
        <w:rPr>
          <w:rFonts w:ascii="Microsoft Sans Serif" w:eastAsiaTheme="minorEastAsia" w:hAnsiTheme="minorHAnsi" w:cstheme="minorBidi"/>
          <w:b/>
          <w:szCs w:val="22"/>
          <w:u w:val="single"/>
        </w:rPr>
        <w:t xml:space="preserve"> v. COLUMBIA GAS OF PENNSYLVANIA INC</w:t>
      </w:r>
      <w:r w:rsidRPr="00FA643A">
        <w:rPr>
          <w:rFonts w:ascii="Microsoft Sans Serif" w:eastAsiaTheme="minorEastAsia" w:hAnsiTheme="minorHAnsi" w:cstheme="minorBidi"/>
          <w:b/>
          <w:szCs w:val="22"/>
          <w:u w:val="single"/>
        </w:rPr>
        <w:cr/>
      </w:r>
      <w:r w:rsidRPr="00FA643A">
        <w:rPr>
          <w:rFonts w:ascii="Microsoft Sans Serif" w:eastAsiaTheme="minorEastAsia" w:hAnsiTheme="minorHAnsi" w:cstheme="minorBidi"/>
          <w:b/>
          <w:szCs w:val="22"/>
          <w:u w:val="single"/>
        </w:rPr>
        <w:cr/>
      </w:r>
      <w:r w:rsidRPr="00FA643A">
        <w:rPr>
          <w:rFonts w:ascii="Microsoft Sans Serif" w:eastAsiaTheme="minorEastAsia" w:hAnsiTheme="minorHAnsi" w:cstheme="minorBidi"/>
          <w:i/>
          <w:szCs w:val="22"/>
        </w:rPr>
        <w:t>(Revised 11/22/2016)</w:t>
      </w:r>
      <w:r w:rsidRPr="00FA643A">
        <w:rPr>
          <w:rFonts w:ascii="Microsoft Sans Serif" w:eastAsiaTheme="minorEastAsia" w:hAnsiTheme="minorHAnsi" w:cstheme="minorBidi"/>
          <w:i/>
          <w:szCs w:val="22"/>
        </w:rPr>
        <w:cr/>
      </w:r>
    </w:p>
    <w:p w:rsidR="00FA643A" w:rsidRPr="00FA643A" w:rsidRDefault="00FA643A" w:rsidP="00FA643A">
      <w:pPr>
        <w:tabs>
          <w:tab w:val="clear" w:pos="1440"/>
        </w:tabs>
        <w:spacing w:before="0" w:after="0" w:line="240" w:lineRule="auto"/>
        <w:contextualSpacing/>
        <w:rPr>
          <w:rFonts w:ascii="Microsoft Sans Serif" w:eastAsiaTheme="minorEastAsia" w:hAnsiTheme="minorHAnsi" w:cstheme="minorBidi"/>
          <w:szCs w:val="22"/>
        </w:rPr>
      </w:pPr>
      <w:r w:rsidRPr="00FA643A">
        <w:rPr>
          <w:rFonts w:ascii="Microsoft Sans Serif" w:eastAsiaTheme="minorEastAsia" w:hAnsiTheme="minorHAnsi" w:cstheme="minorBidi"/>
          <w:szCs w:val="22"/>
        </w:rPr>
        <w:t>LINDA ANDERSON</w:t>
      </w:r>
      <w:r w:rsidRPr="00FA643A">
        <w:rPr>
          <w:rFonts w:ascii="Microsoft Sans Serif" w:eastAsiaTheme="minorEastAsia" w:hAnsiTheme="minorHAnsi" w:cstheme="minorBidi"/>
          <w:szCs w:val="22"/>
        </w:rPr>
        <w:cr/>
        <w:t>804 BAUMAN AVE</w:t>
      </w:r>
      <w:r w:rsidRPr="00FA643A">
        <w:rPr>
          <w:rFonts w:ascii="Microsoft Sans Serif" w:eastAsiaTheme="minorEastAsia" w:hAnsiTheme="minorHAnsi" w:cstheme="minorBidi"/>
          <w:szCs w:val="22"/>
        </w:rPr>
        <w:cr/>
        <w:t>BADEN PA  15005</w:t>
      </w:r>
      <w:r w:rsidRPr="00FA643A">
        <w:rPr>
          <w:rFonts w:ascii="Microsoft Sans Serif" w:eastAsiaTheme="minorEastAsia" w:hAnsiTheme="minorHAnsi" w:cstheme="minorBidi"/>
          <w:szCs w:val="22"/>
        </w:rPr>
        <w:cr/>
        <w:t>724.869.9463</w:t>
      </w:r>
      <w:r w:rsidRPr="00FA643A">
        <w:rPr>
          <w:rFonts w:ascii="Microsoft Sans Serif" w:eastAsiaTheme="minorEastAsia" w:hAnsiTheme="minorHAnsi" w:cstheme="minorBidi"/>
          <w:szCs w:val="22"/>
        </w:rPr>
        <w:cr/>
      </w:r>
    </w:p>
    <w:p w:rsidR="00FA643A" w:rsidRPr="00FA643A" w:rsidRDefault="00FA643A" w:rsidP="00FA643A">
      <w:pPr>
        <w:tabs>
          <w:tab w:val="clear" w:pos="1440"/>
        </w:tabs>
        <w:spacing w:before="0" w:after="0" w:line="240" w:lineRule="auto"/>
        <w:contextualSpacing/>
        <w:rPr>
          <w:rFonts w:ascii="Microsoft Sans Serif" w:eastAsiaTheme="minorEastAsia" w:hAnsiTheme="minorHAnsi" w:cstheme="minorBidi"/>
          <w:szCs w:val="22"/>
        </w:rPr>
      </w:pPr>
      <w:r w:rsidRPr="00FA643A">
        <w:rPr>
          <w:rFonts w:ascii="Microsoft Sans Serif" w:eastAsiaTheme="minorEastAsia" w:hAnsiTheme="minorHAnsi" w:cstheme="minorBidi"/>
          <w:szCs w:val="22"/>
        </w:rPr>
        <w:t>EDWARD G. LANZA ESQUIRE</w:t>
      </w:r>
    </w:p>
    <w:p w:rsidR="00FA643A" w:rsidRPr="00FA643A" w:rsidRDefault="00FA643A" w:rsidP="00FA643A">
      <w:pPr>
        <w:tabs>
          <w:tab w:val="clear" w:pos="1440"/>
        </w:tabs>
        <w:spacing w:before="0" w:after="0" w:line="240" w:lineRule="auto"/>
        <w:contextualSpacing/>
        <w:rPr>
          <w:rFonts w:ascii="Microsoft Sans Serif" w:eastAsiaTheme="minorEastAsia" w:hAnsiTheme="minorHAnsi" w:cstheme="minorBidi"/>
          <w:szCs w:val="22"/>
        </w:rPr>
      </w:pPr>
      <w:r w:rsidRPr="00FA643A">
        <w:rPr>
          <w:rFonts w:ascii="Microsoft Sans Serif" w:eastAsiaTheme="minorEastAsia" w:hAnsiTheme="minorHAnsi" w:cstheme="minorBidi"/>
          <w:szCs w:val="22"/>
        </w:rPr>
        <w:t>THE LANZA FIRM, LLC</w:t>
      </w:r>
    </w:p>
    <w:p w:rsidR="00FA643A" w:rsidRPr="00FA643A" w:rsidRDefault="00FA643A" w:rsidP="00FA643A">
      <w:pPr>
        <w:tabs>
          <w:tab w:val="clear" w:pos="1440"/>
        </w:tabs>
        <w:spacing w:before="0" w:after="0" w:line="240" w:lineRule="auto"/>
        <w:contextualSpacing/>
        <w:rPr>
          <w:rFonts w:ascii="Microsoft Sans Serif" w:eastAsiaTheme="minorEastAsia" w:hAnsiTheme="minorHAnsi" w:cstheme="minorBidi"/>
          <w:szCs w:val="22"/>
        </w:rPr>
      </w:pPr>
      <w:r w:rsidRPr="00FA643A">
        <w:rPr>
          <w:rFonts w:ascii="Microsoft Sans Serif" w:eastAsiaTheme="minorEastAsia" w:hAnsiTheme="minorHAnsi" w:cstheme="minorBidi"/>
          <w:szCs w:val="22"/>
        </w:rPr>
        <w:t>PO BOX 61336</w:t>
      </w:r>
    </w:p>
    <w:p w:rsidR="00FA643A" w:rsidRPr="00FA643A" w:rsidRDefault="00FA643A" w:rsidP="00FA643A">
      <w:pPr>
        <w:tabs>
          <w:tab w:val="clear" w:pos="1440"/>
        </w:tabs>
        <w:spacing w:before="0" w:after="0" w:line="240" w:lineRule="auto"/>
        <w:contextualSpacing/>
        <w:rPr>
          <w:rFonts w:ascii="Microsoft Sans Serif" w:eastAsiaTheme="minorEastAsia" w:hAnsiTheme="minorHAnsi" w:cstheme="minorBidi"/>
          <w:szCs w:val="22"/>
        </w:rPr>
      </w:pPr>
      <w:r w:rsidRPr="00FA643A">
        <w:rPr>
          <w:rFonts w:ascii="Microsoft Sans Serif" w:eastAsiaTheme="minorEastAsia" w:hAnsiTheme="minorHAnsi" w:cstheme="minorBidi"/>
          <w:szCs w:val="22"/>
        </w:rPr>
        <w:t>HARRISBURG PA 17106-1336</w:t>
      </w:r>
    </w:p>
    <w:p w:rsidR="00FA643A" w:rsidRPr="00FA643A" w:rsidRDefault="00FA643A" w:rsidP="00FA643A">
      <w:pPr>
        <w:tabs>
          <w:tab w:val="clear" w:pos="1440"/>
        </w:tabs>
        <w:spacing w:before="0" w:after="0" w:line="240" w:lineRule="auto"/>
        <w:contextualSpacing/>
        <w:rPr>
          <w:rFonts w:ascii="Microsoft Sans Serif" w:eastAsiaTheme="minorEastAsia" w:hAnsiTheme="minorHAnsi" w:cstheme="minorBidi"/>
          <w:szCs w:val="22"/>
        </w:rPr>
      </w:pPr>
      <w:r w:rsidRPr="00FA643A">
        <w:rPr>
          <w:rFonts w:ascii="Microsoft Sans Serif" w:eastAsiaTheme="minorEastAsia" w:hAnsiTheme="minorHAnsi" w:cstheme="minorBidi"/>
          <w:szCs w:val="22"/>
        </w:rPr>
        <w:t>717.576.2696</w:t>
      </w:r>
    </w:p>
    <w:p w:rsidR="00FA643A" w:rsidRPr="00FA643A" w:rsidRDefault="00FA643A" w:rsidP="00FA643A">
      <w:pPr>
        <w:tabs>
          <w:tab w:val="clear" w:pos="1440"/>
        </w:tabs>
        <w:spacing w:before="0" w:after="0" w:line="240" w:lineRule="auto"/>
        <w:contextualSpacing/>
        <w:rPr>
          <w:rFonts w:ascii="Microsoft Sans Serif" w:eastAsiaTheme="minorEastAsia" w:hAnsiTheme="minorHAnsi" w:cstheme="minorBidi"/>
          <w:i/>
          <w:szCs w:val="22"/>
        </w:rPr>
      </w:pPr>
      <w:r w:rsidRPr="00FA643A">
        <w:rPr>
          <w:rFonts w:ascii="Microsoft Sans Serif" w:eastAsiaTheme="minorEastAsia" w:hAnsiTheme="minorHAnsi" w:cstheme="minorBidi"/>
          <w:i/>
          <w:szCs w:val="22"/>
        </w:rPr>
        <w:t>(Representing Complainant)</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szCs w:val="24"/>
        </w:rPr>
      </w:pPr>
      <w:r w:rsidRPr="00FA643A">
        <w:rPr>
          <w:rFonts w:ascii="Microsoft Sans Serif" w:eastAsiaTheme="minorEastAsia" w:hAnsiTheme="minorHAnsi" w:cstheme="minorBidi"/>
          <w:b/>
          <w:i/>
          <w:szCs w:val="22"/>
          <w:u w:val="single"/>
        </w:rPr>
        <w:t>-ACCEPTS ELECTRONIC SERVICE-</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szCs w:val="24"/>
        </w:rPr>
      </w:pP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caps/>
          <w:szCs w:val="24"/>
        </w:rPr>
      </w:pPr>
      <w:r w:rsidRPr="00FA643A">
        <w:rPr>
          <w:rFonts w:ascii="Microsoft Sans Serif" w:eastAsiaTheme="minorEastAsia" w:hAnsi="Microsoft Sans Serif" w:cs="Microsoft Sans Serif"/>
          <w:caps/>
          <w:szCs w:val="24"/>
        </w:rPr>
        <w:t>*Theodore J. Gallagher ESQUIRE</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caps/>
          <w:szCs w:val="24"/>
        </w:rPr>
      </w:pPr>
      <w:r w:rsidRPr="00FA643A">
        <w:rPr>
          <w:rFonts w:ascii="Microsoft Sans Serif" w:eastAsiaTheme="minorEastAsia" w:hAnsi="Microsoft Sans Serif" w:cs="Microsoft Sans Serif"/>
          <w:caps/>
          <w:szCs w:val="24"/>
        </w:rPr>
        <w:t>Meagan Bielanin Moore ESQUIRE</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caps/>
          <w:szCs w:val="24"/>
        </w:rPr>
      </w:pPr>
      <w:proofErr w:type="gramStart"/>
      <w:r w:rsidRPr="00FA643A">
        <w:rPr>
          <w:rFonts w:ascii="Microsoft Sans Serif" w:eastAsiaTheme="minorEastAsia" w:hAnsi="Microsoft Sans Serif" w:cs="Microsoft Sans Serif"/>
          <w:caps/>
          <w:szCs w:val="24"/>
        </w:rPr>
        <w:t>NiSource Corporate Services Co.</w:t>
      </w:r>
      <w:proofErr w:type="gramEnd"/>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caps/>
          <w:szCs w:val="24"/>
        </w:rPr>
      </w:pPr>
      <w:r w:rsidRPr="00FA643A">
        <w:rPr>
          <w:rFonts w:ascii="Microsoft Sans Serif" w:eastAsiaTheme="minorEastAsia" w:hAnsi="Microsoft Sans Serif" w:cs="Microsoft Sans Serif"/>
          <w:caps/>
          <w:szCs w:val="24"/>
        </w:rPr>
        <w:t>121 Champion Way</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szCs w:val="24"/>
        </w:rPr>
      </w:pPr>
      <w:r w:rsidRPr="00FA643A">
        <w:rPr>
          <w:rFonts w:ascii="Microsoft Sans Serif" w:eastAsiaTheme="minorEastAsia" w:hAnsi="Microsoft Sans Serif" w:cs="Microsoft Sans Serif"/>
          <w:caps/>
          <w:szCs w:val="24"/>
        </w:rPr>
        <w:t xml:space="preserve">Canonsburg, Pa </w:t>
      </w:r>
      <w:r w:rsidRPr="00FA643A">
        <w:rPr>
          <w:rFonts w:ascii="Microsoft Sans Serif" w:eastAsiaTheme="minorEastAsia" w:hAnsi="Microsoft Sans Serif" w:cs="Microsoft Sans Serif"/>
          <w:szCs w:val="24"/>
        </w:rPr>
        <w:t>15317</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szCs w:val="24"/>
        </w:rPr>
      </w:pPr>
      <w:r w:rsidRPr="00FA643A">
        <w:rPr>
          <w:rFonts w:ascii="Microsoft Sans Serif" w:eastAsiaTheme="minorEastAsia" w:hAnsi="Microsoft Sans Serif" w:cs="Microsoft Sans Serif"/>
          <w:szCs w:val="24"/>
        </w:rPr>
        <w:t>724.416.6355 (Gallagher)</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szCs w:val="24"/>
        </w:rPr>
      </w:pPr>
      <w:r w:rsidRPr="00FA643A">
        <w:rPr>
          <w:rFonts w:ascii="Microsoft Sans Serif" w:eastAsiaTheme="minorEastAsia" w:hAnsi="Microsoft Sans Serif" w:cs="Microsoft Sans Serif"/>
          <w:szCs w:val="24"/>
        </w:rPr>
        <w:t>724.416.6347 (Moore)</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i/>
          <w:szCs w:val="24"/>
        </w:rPr>
      </w:pPr>
      <w:proofErr w:type="gramStart"/>
      <w:r w:rsidRPr="00FA643A">
        <w:rPr>
          <w:rFonts w:ascii="Microsoft Sans Serif" w:eastAsiaTheme="minorEastAsia" w:hAnsi="Microsoft Sans Serif" w:cs="Microsoft Sans Serif"/>
          <w:i/>
          <w:szCs w:val="24"/>
        </w:rPr>
        <w:t>(Representing Columbia Gas of Pennsylvania, Inc.)</w:t>
      </w:r>
      <w:proofErr w:type="gramEnd"/>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i/>
          <w:szCs w:val="24"/>
        </w:rPr>
      </w:pPr>
      <w:r w:rsidRPr="00FA643A">
        <w:rPr>
          <w:rFonts w:ascii="Microsoft Sans Serif" w:eastAsiaTheme="minorEastAsia" w:hAnsiTheme="minorHAnsi" w:cstheme="minorBidi"/>
          <w:b/>
          <w:i/>
          <w:szCs w:val="22"/>
          <w:u w:val="single"/>
        </w:rPr>
        <w:t>*-ACCEPTS ELECTRONIC SERVICE-</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szCs w:val="24"/>
        </w:rPr>
      </w:pP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caps/>
          <w:szCs w:val="24"/>
        </w:rPr>
      </w:pPr>
      <w:r w:rsidRPr="00FA643A">
        <w:rPr>
          <w:rFonts w:ascii="Microsoft Sans Serif" w:eastAsiaTheme="minorEastAsia" w:hAnsi="Microsoft Sans Serif" w:cs="Microsoft Sans Serif"/>
          <w:caps/>
          <w:szCs w:val="24"/>
        </w:rPr>
        <w:t>Andrew S. Tubbs ESQUIRE</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caps/>
          <w:szCs w:val="24"/>
        </w:rPr>
      </w:pPr>
      <w:proofErr w:type="gramStart"/>
      <w:r w:rsidRPr="00FA643A">
        <w:rPr>
          <w:rFonts w:ascii="Microsoft Sans Serif" w:eastAsiaTheme="minorEastAsia" w:hAnsi="Microsoft Sans Serif" w:cs="Microsoft Sans Serif"/>
          <w:caps/>
          <w:szCs w:val="24"/>
        </w:rPr>
        <w:t>NiSource Corporate Services Co.</w:t>
      </w:r>
      <w:proofErr w:type="gramEnd"/>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caps/>
          <w:szCs w:val="24"/>
        </w:rPr>
      </w:pPr>
      <w:r w:rsidRPr="00FA643A">
        <w:rPr>
          <w:rFonts w:ascii="Microsoft Sans Serif" w:eastAsiaTheme="minorEastAsia" w:hAnsi="Microsoft Sans Serif" w:cs="Microsoft Sans Serif"/>
          <w:caps/>
          <w:szCs w:val="24"/>
        </w:rPr>
        <w:t>800 N. Third St., Suite 204</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caps/>
          <w:szCs w:val="24"/>
        </w:rPr>
      </w:pPr>
      <w:r w:rsidRPr="00FA643A">
        <w:rPr>
          <w:rFonts w:ascii="Microsoft Sans Serif" w:eastAsiaTheme="minorEastAsia" w:hAnsi="Microsoft Sans Serif" w:cs="Microsoft Sans Serif"/>
          <w:caps/>
          <w:szCs w:val="24"/>
        </w:rPr>
        <w:t>Harrisburg, PA 17102</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szCs w:val="24"/>
        </w:rPr>
      </w:pPr>
      <w:r w:rsidRPr="00FA643A">
        <w:rPr>
          <w:rFonts w:ascii="Microsoft Sans Serif" w:eastAsiaTheme="minorEastAsia" w:hAnsi="Microsoft Sans Serif" w:cs="Microsoft Sans Serif"/>
          <w:szCs w:val="24"/>
        </w:rPr>
        <w:t>717.238.0463</w:t>
      </w:r>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i/>
          <w:szCs w:val="24"/>
        </w:rPr>
      </w:pPr>
      <w:proofErr w:type="gramStart"/>
      <w:r w:rsidRPr="00FA643A">
        <w:rPr>
          <w:rFonts w:ascii="Microsoft Sans Serif" w:eastAsiaTheme="minorEastAsia" w:hAnsi="Microsoft Sans Serif" w:cs="Microsoft Sans Serif"/>
          <w:i/>
          <w:szCs w:val="24"/>
        </w:rPr>
        <w:t>(Representing Columbia Gas of Pennsylvania, Inc.)</w:t>
      </w:r>
      <w:proofErr w:type="gramEnd"/>
    </w:p>
    <w:p w:rsidR="00FA643A" w:rsidRPr="00FA643A" w:rsidRDefault="00FA643A" w:rsidP="00FA643A">
      <w:pPr>
        <w:tabs>
          <w:tab w:val="clear" w:pos="1440"/>
        </w:tabs>
        <w:spacing w:before="0" w:after="0" w:line="240" w:lineRule="auto"/>
        <w:contextualSpacing/>
        <w:rPr>
          <w:rFonts w:ascii="Microsoft Sans Serif" w:eastAsiaTheme="minorEastAsia" w:hAnsi="Microsoft Sans Serif" w:cs="Microsoft Sans Serif"/>
          <w:i/>
          <w:szCs w:val="24"/>
        </w:rPr>
      </w:pPr>
      <w:r w:rsidRPr="00FA643A">
        <w:rPr>
          <w:rFonts w:ascii="Microsoft Sans Serif" w:eastAsiaTheme="minorEastAsia" w:hAnsiTheme="minorHAnsi" w:cstheme="minorBidi"/>
          <w:b/>
          <w:i/>
          <w:szCs w:val="22"/>
          <w:u w:val="single"/>
        </w:rPr>
        <w:t>-ACCEPTS ELECTRONIC SERVICE-</w:t>
      </w:r>
    </w:p>
    <w:p w:rsidR="00DF3F0F" w:rsidRDefault="00DF3F0F"/>
    <w:p w:rsidR="00DF3F0F" w:rsidRDefault="00DF3F0F"/>
    <w:p w:rsidR="00DF3F0F" w:rsidRDefault="00DF3F0F"/>
    <w:p w:rsidR="004247B8" w:rsidRDefault="004247B8">
      <w:r>
        <w:tab/>
      </w:r>
    </w:p>
    <w:sectPr w:rsidR="004247B8" w:rsidSect="003E1A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C5F" w:rsidRDefault="000F2C5F" w:rsidP="001A7A9E">
      <w:pPr>
        <w:spacing w:before="0" w:after="0" w:line="240" w:lineRule="auto"/>
      </w:pPr>
      <w:r>
        <w:separator/>
      </w:r>
    </w:p>
  </w:endnote>
  <w:endnote w:type="continuationSeparator" w:id="0">
    <w:p w:rsidR="000F2C5F" w:rsidRDefault="000F2C5F" w:rsidP="001A7A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080937"/>
      <w:docPartObj>
        <w:docPartGallery w:val="Page Numbers (Bottom of Page)"/>
        <w:docPartUnique/>
      </w:docPartObj>
    </w:sdtPr>
    <w:sdtEndPr>
      <w:rPr>
        <w:noProof/>
      </w:rPr>
    </w:sdtEndPr>
    <w:sdtContent>
      <w:p w:rsidR="003E1A28" w:rsidRDefault="003E1A28">
        <w:pPr>
          <w:pStyle w:val="Footer"/>
          <w:jc w:val="center"/>
        </w:pPr>
        <w:r>
          <w:fldChar w:fldCharType="begin"/>
        </w:r>
        <w:r>
          <w:instrText xml:space="preserve"> PAGE   \* MERGEFORMAT </w:instrText>
        </w:r>
        <w:r>
          <w:fldChar w:fldCharType="separate"/>
        </w:r>
        <w:r w:rsidR="00241297">
          <w:rPr>
            <w:noProof/>
          </w:rPr>
          <w:t>4</w:t>
        </w:r>
        <w:r>
          <w:rPr>
            <w:noProof/>
          </w:rPr>
          <w:fldChar w:fldCharType="end"/>
        </w:r>
      </w:p>
    </w:sdtContent>
  </w:sdt>
  <w:p w:rsidR="003E1A28" w:rsidRDefault="003E1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C5F" w:rsidRDefault="000F2C5F" w:rsidP="001A7A9E">
      <w:pPr>
        <w:spacing w:before="0" w:after="0" w:line="240" w:lineRule="auto"/>
      </w:pPr>
      <w:r>
        <w:separator/>
      </w:r>
    </w:p>
  </w:footnote>
  <w:footnote w:type="continuationSeparator" w:id="0">
    <w:p w:rsidR="000F2C5F" w:rsidRDefault="000F2C5F" w:rsidP="001A7A9E">
      <w:pPr>
        <w:spacing w:before="0" w:after="0" w:line="240" w:lineRule="auto"/>
      </w:pPr>
      <w:r>
        <w:continuationSeparator/>
      </w:r>
    </w:p>
  </w:footnote>
  <w:footnote w:id="1">
    <w:p w:rsidR="001A7A9E" w:rsidRDefault="001A7A9E">
      <w:pPr>
        <w:pStyle w:val="FootnoteText"/>
      </w:pPr>
      <w:r>
        <w:rPr>
          <w:rStyle w:val="FootnoteReference"/>
        </w:rPr>
        <w:footnoteRef/>
      </w:r>
      <w:r>
        <w:t xml:space="preserve"> </w:t>
      </w:r>
      <w:r>
        <w:tab/>
        <w:t>N.T. 12 (August 8, 2016).</w:t>
      </w:r>
    </w:p>
  </w:footnote>
  <w:footnote w:id="2">
    <w:p w:rsidR="00501554" w:rsidRDefault="00501554" w:rsidP="0059005B">
      <w:pPr>
        <w:pStyle w:val="FootnoteText"/>
        <w:spacing w:after="0"/>
      </w:pPr>
      <w:r>
        <w:rPr>
          <w:rStyle w:val="FootnoteReference"/>
        </w:rPr>
        <w:footnoteRef/>
      </w:r>
      <w:r>
        <w:t xml:space="preserve">  </w:t>
      </w:r>
      <w:r>
        <w:tab/>
      </w:r>
      <w:r w:rsidRPr="00501554">
        <w:rPr>
          <w:i/>
        </w:rPr>
        <w:t>Skowronek v.</w:t>
      </w:r>
      <w:r>
        <w:t xml:space="preserve"> </w:t>
      </w:r>
      <w:r w:rsidRPr="00782FF2">
        <w:rPr>
          <w:i/>
        </w:rPr>
        <w:t>Unemploym</w:t>
      </w:r>
      <w:r>
        <w:rPr>
          <w:i/>
        </w:rPr>
        <w:t>ent Compensation Board of Revie</w:t>
      </w:r>
      <w:r w:rsidR="00DF3F0F">
        <w:rPr>
          <w:i/>
        </w:rPr>
        <w:t>w</w:t>
      </w:r>
      <w:proofErr w:type="gramStart"/>
      <w:r>
        <w:rPr>
          <w:i/>
        </w:rPr>
        <w:t xml:space="preserve">, </w:t>
      </w:r>
      <w:r>
        <w:t xml:space="preserve"> 921</w:t>
      </w:r>
      <w:proofErr w:type="gramEnd"/>
      <w:r>
        <w:t xml:space="preserve"> A.2d 555 (</w:t>
      </w:r>
      <w:proofErr w:type="spellStart"/>
      <w:r>
        <w:t>Pa.C</w:t>
      </w:r>
      <w:r w:rsidR="00DF3F0F">
        <w:t>mwlth</w:t>
      </w:r>
      <w:proofErr w:type="spellEnd"/>
      <w:r>
        <w:t>. 2007)</w:t>
      </w:r>
      <w:r w:rsidR="00DF3F0F">
        <w:t xml:space="preserve"> </w:t>
      </w:r>
      <w:r>
        <w:t>(hearing officer did not abuse his discretion in denying a last-minute request for a continuance).</w:t>
      </w:r>
    </w:p>
    <w:p w:rsidR="00DF3F0F" w:rsidRPr="00501554" w:rsidRDefault="00DF3F0F" w:rsidP="0059005B">
      <w:pPr>
        <w:pStyle w:val="FootnoteText"/>
        <w:spacing w:after="0"/>
      </w:pPr>
    </w:p>
  </w:footnote>
  <w:footnote w:id="3">
    <w:p w:rsidR="00782FF2" w:rsidRDefault="00782FF2" w:rsidP="0059005B">
      <w:pPr>
        <w:pStyle w:val="FootnoteText"/>
        <w:spacing w:after="0"/>
      </w:pPr>
      <w:r>
        <w:rPr>
          <w:rStyle w:val="FootnoteReference"/>
        </w:rPr>
        <w:footnoteRef/>
      </w:r>
      <w:r>
        <w:t xml:space="preserve">    </w:t>
      </w:r>
      <w:r>
        <w:tab/>
      </w:r>
      <w:proofErr w:type="gramStart"/>
      <w:r w:rsidRPr="00782FF2">
        <w:rPr>
          <w:i/>
        </w:rPr>
        <w:t>Steadwell v. Unemployment Compensation Board of Review</w:t>
      </w:r>
      <w:r w:rsidRPr="00782FF2">
        <w:t>, 463 A.2d 1298 (</w:t>
      </w:r>
      <w:proofErr w:type="spellStart"/>
      <w:r w:rsidRPr="00782FF2">
        <w:t>Pa.C</w:t>
      </w:r>
      <w:r w:rsidR="00DF3F0F">
        <w:t>mwlth</w:t>
      </w:r>
      <w:proofErr w:type="spellEnd"/>
      <w:r w:rsidRPr="00782FF2">
        <w:t>. 1983).</w:t>
      </w:r>
      <w:proofErr w:type="gramEnd"/>
    </w:p>
    <w:p w:rsidR="00DF3F0F" w:rsidRDefault="00DF3F0F" w:rsidP="0059005B">
      <w:pPr>
        <w:pStyle w:val="FootnoteText"/>
        <w:spacing w:after="0"/>
      </w:pPr>
    </w:p>
  </w:footnote>
  <w:footnote w:id="4">
    <w:p w:rsidR="00DF3F0F" w:rsidRDefault="00C41BCC" w:rsidP="0059005B">
      <w:pPr>
        <w:pStyle w:val="FootnoteText"/>
        <w:spacing w:after="0"/>
      </w:pPr>
      <w:r>
        <w:rPr>
          <w:rStyle w:val="FootnoteReference"/>
        </w:rPr>
        <w:footnoteRef/>
      </w:r>
      <w:r>
        <w:t xml:space="preserve"> </w:t>
      </w:r>
      <w:r w:rsidR="001C5C8D">
        <w:t xml:space="preserve"> </w:t>
      </w:r>
      <w:r w:rsidR="001C5C8D">
        <w:tab/>
      </w:r>
      <w:proofErr w:type="gramStart"/>
      <w:r w:rsidRPr="00C41BCC">
        <w:t xml:space="preserve">66 </w:t>
      </w:r>
      <w:proofErr w:type="spellStart"/>
      <w:r w:rsidRPr="00C41BCC">
        <w:t>Pa.C.S</w:t>
      </w:r>
      <w:proofErr w:type="spellEnd"/>
      <w:r w:rsidRPr="00C41BCC">
        <w:t>.</w:t>
      </w:r>
      <w:proofErr w:type="gramEnd"/>
      <w:r w:rsidRPr="00C41BCC">
        <w:t xml:space="preserve"> §</w:t>
      </w:r>
      <w:r w:rsidR="00DF3F0F">
        <w:t xml:space="preserve"> </w:t>
      </w:r>
      <w:r w:rsidRPr="00C41BCC">
        <w:t>331(d</w:t>
      </w:r>
      <w:proofErr w:type="gramStart"/>
      <w:r w:rsidRPr="00C41BCC">
        <w:t>)(</w:t>
      </w:r>
      <w:proofErr w:type="gramEnd"/>
      <w:r w:rsidRPr="00C41BCC">
        <w:t xml:space="preserve">4); 52 </w:t>
      </w:r>
      <w:proofErr w:type="spellStart"/>
      <w:r w:rsidRPr="00C41BCC">
        <w:t>Pa.Code</w:t>
      </w:r>
      <w:proofErr w:type="spellEnd"/>
      <w:r w:rsidRPr="00C41BCC">
        <w:t xml:space="preserve"> §</w:t>
      </w:r>
      <w:r w:rsidR="00DF3F0F">
        <w:t xml:space="preserve"> </w:t>
      </w:r>
      <w:r w:rsidRPr="00C41BCC">
        <w:t xml:space="preserve">5.403. </w:t>
      </w:r>
    </w:p>
    <w:p w:rsidR="00C41BCC" w:rsidRDefault="00C41BCC" w:rsidP="0059005B">
      <w:pPr>
        <w:pStyle w:val="FootnoteText"/>
        <w:spacing w:after="0"/>
      </w:pPr>
      <w:r w:rsidRPr="00C41BCC">
        <w:t xml:space="preserve"> </w:t>
      </w:r>
    </w:p>
  </w:footnote>
  <w:footnote w:id="5">
    <w:p w:rsidR="00C228B1" w:rsidRPr="00C228B1" w:rsidRDefault="00C228B1">
      <w:pPr>
        <w:pStyle w:val="FootnoteText"/>
      </w:pPr>
      <w:r>
        <w:rPr>
          <w:rStyle w:val="FootnoteReference"/>
        </w:rPr>
        <w:footnoteRef/>
      </w:r>
      <w:r>
        <w:t xml:space="preserve">  </w:t>
      </w:r>
      <w:r>
        <w:tab/>
      </w:r>
      <w:r>
        <w:rPr>
          <w:i/>
        </w:rPr>
        <w:t>Morningstar v. United Telephone Company of Pennsylvania,</w:t>
      </w:r>
      <w:r>
        <w:t xml:space="preserve"> Docket No. C-20055486 (Initial Decision served August 28, 2007, exceptions granted in part and denied in part on other grounds by Opinion and Order dated February 28,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2E4DD6"/>
    <w:multiLevelType w:val="hybridMultilevel"/>
    <w:tmpl w:val="EBA47466"/>
    <w:lvl w:ilvl="0" w:tplc="01404906">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2"/>
  </w:num>
  <w:num w:numId="2">
    <w:abstractNumId w:val="14"/>
  </w:num>
  <w:num w:numId="3">
    <w:abstractNumId w:val="20"/>
  </w:num>
  <w:num w:numId="4">
    <w:abstractNumId w:val="24"/>
  </w:num>
  <w:num w:numId="5">
    <w:abstractNumId w:val="8"/>
  </w:num>
  <w:num w:numId="6">
    <w:abstractNumId w:val="6"/>
  </w:num>
  <w:num w:numId="7">
    <w:abstractNumId w:val="4"/>
  </w:num>
  <w:num w:numId="8">
    <w:abstractNumId w:val="23"/>
  </w:num>
  <w:num w:numId="9">
    <w:abstractNumId w:val="2"/>
  </w:num>
  <w:num w:numId="10">
    <w:abstractNumId w:val="16"/>
  </w:num>
  <w:num w:numId="11">
    <w:abstractNumId w:val="19"/>
  </w:num>
  <w:num w:numId="12">
    <w:abstractNumId w:val="12"/>
  </w:num>
  <w:num w:numId="13">
    <w:abstractNumId w:val="17"/>
  </w:num>
  <w:num w:numId="14">
    <w:abstractNumId w:val="21"/>
  </w:num>
  <w:num w:numId="15">
    <w:abstractNumId w:val="0"/>
  </w:num>
  <w:num w:numId="16">
    <w:abstractNumId w:val="15"/>
  </w:num>
  <w:num w:numId="17">
    <w:abstractNumId w:val="15"/>
  </w:num>
  <w:num w:numId="18">
    <w:abstractNumId w:val="7"/>
  </w:num>
  <w:num w:numId="19">
    <w:abstractNumId w:val="13"/>
  </w:num>
  <w:num w:numId="20">
    <w:abstractNumId w:val="25"/>
  </w:num>
  <w:num w:numId="21">
    <w:abstractNumId w:val="10"/>
  </w:num>
  <w:num w:numId="22">
    <w:abstractNumId w:val="3"/>
  </w:num>
  <w:num w:numId="23">
    <w:abstractNumId w:val="11"/>
  </w:num>
  <w:num w:numId="24">
    <w:abstractNumId w:val="26"/>
  </w:num>
  <w:num w:numId="25">
    <w:abstractNumId w:val="1"/>
  </w:num>
  <w:num w:numId="26">
    <w:abstractNumId w:val="5"/>
  </w:num>
  <w:num w:numId="27">
    <w:abstractNumId w:val="1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2D"/>
    <w:rsid w:val="00004C37"/>
    <w:rsid w:val="000E3EDE"/>
    <w:rsid w:val="000F2C5F"/>
    <w:rsid w:val="0011534A"/>
    <w:rsid w:val="00151DA8"/>
    <w:rsid w:val="00183222"/>
    <w:rsid w:val="001A21B6"/>
    <w:rsid w:val="001A7A9E"/>
    <w:rsid w:val="001B1CBA"/>
    <w:rsid w:val="001C5C8D"/>
    <w:rsid w:val="001D2AF7"/>
    <w:rsid w:val="00207743"/>
    <w:rsid w:val="00213167"/>
    <w:rsid w:val="00241297"/>
    <w:rsid w:val="002512F9"/>
    <w:rsid w:val="0026306C"/>
    <w:rsid w:val="00285AB4"/>
    <w:rsid w:val="002A56D0"/>
    <w:rsid w:val="002B0F6C"/>
    <w:rsid w:val="003145FA"/>
    <w:rsid w:val="0035449E"/>
    <w:rsid w:val="00367A41"/>
    <w:rsid w:val="0037774F"/>
    <w:rsid w:val="00393C92"/>
    <w:rsid w:val="00396671"/>
    <w:rsid w:val="003A3E09"/>
    <w:rsid w:val="003E1A28"/>
    <w:rsid w:val="00407581"/>
    <w:rsid w:val="004247B8"/>
    <w:rsid w:val="004D523C"/>
    <w:rsid w:val="00501554"/>
    <w:rsid w:val="00506F38"/>
    <w:rsid w:val="0059005B"/>
    <w:rsid w:val="005A1C17"/>
    <w:rsid w:val="005A2ABA"/>
    <w:rsid w:val="005D180A"/>
    <w:rsid w:val="005E7B69"/>
    <w:rsid w:val="00613D43"/>
    <w:rsid w:val="0061775F"/>
    <w:rsid w:val="00696C0D"/>
    <w:rsid w:val="006C3386"/>
    <w:rsid w:val="006F0329"/>
    <w:rsid w:val="006F3906"/>
    <w:rsid w:val="00700807"/>
    <w:rsid w:val="00712E58"/>
    <w:rsid w:val="0071769A"/>
    <w:rsid w:val="00723D09"/>
    <w:rsid w:val="00782FF2"/>
    <w:rsid w:val="00791061"/>
    <w:rsid w:val="00792796"/>
    <w:rsid w:val="00796B64"/>
    <w:rsid w:val="007D33A3"/>
    <w:rsid w:val="007E6779"/>
    <w:rsid w:val="008073CB"/>
    <w:rsid w:val="00820B4C"/>
    <w:rsid w:val="0083239D"/>
    <w:rsid w:val="008529D2"/>
    <w:rsid w:val="0089051B"/>
    <w:rsid w:val="008D5717"/>
    <w:rsid w:val="008E7B94"/>
    <w:rsid w:val="00917DCA"/>
    <w:rsid w:val="009646E1"/>
    <w:rsid w:val="00A252AA"/>
    <w:rsid w:val="00A47096"/>
    <w:rsid w:val="00A937D8"/>
    <w:rsid w:val="00AA2EC5"/>
    <w:rsid w:val="00AB4C73"/>
    <w:rsid w:val="00AE6F47"/>
    <w:rsid w:val="00B86CAA"/>
    <w:rsid w:val="00B91E47"/>
    <w:rsid w:val="00BC6B21"/>
    <w:rsid w:val="00C21747"/>
    <w:rsid w:val="00C228B1"/>
    <w:rsid w:val="00C41BCC"/>
    <w:rsid w:val="00C469CD"/>
    <w:rsid w:val="00C87E57"/>
    <w:rsid w:val="00CA7B55"/>
    <w:rsid w:val="00CF6143"/>
    <w:rsid w:val="00D50424"/>
    <w:rsid w:val="00DD500D"/>
    <w:rsid w:val="00DD5C37"/>
    <w:rsid w:val="00DF3F0F"/>
    <w:rsid w:val="00E4239A"/>
    <w:rsid w:val="00E66EAA"/>
    <w:rsid w:val="00EC1CBA"/>
    <w:rsid w:val="00ED405D"/>
    <w:rsid w:val="00EE0A2D"/>
    <w:rsid w:val="00EE7801"/>
    <w:rsid w:val="00EF3602"/>
    <w:rsid w:val="00F16554"/>
    <w:rsid w:val="00F544E1"/>
    <w:rsid w:val="00FA643A"/>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F6143"/>
    <w:pPr>
      <w:numPr>
        <w:numId w:val="28"/>
      </w:numPr>
    </w:p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1A7A9E"/>
    <w:rPr>
      <w:vertAlign w:val="superscript"/>
    </w:rPr>
  </w:style>
  <w:style w:type="table" w:styleId="TableGrid">
    <w:name w:val="Table Grid"/>
    <w:basedOn w:val="TableNormal"/>
    <w:uiPriority w:val="59"/>
    <w:rsid w:val="00CA7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21747"/>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C21747"/>
    <w:rPr>
      <w:rFonts w:ascii="Times New Roman" w:eastAsia="SimSun" w:hAnsi="Times New Roman" w:cs="Times New Roman"/>
      <w:b/>
      <w:sz w:val="24"/>
      <w:szCs w:val="20"/>
    </w:rPr>
  </w:style>
  <w:style w:type="paragraph" w:styleId="Header">
    <w:name w:val="header"/>
    <w:basedOn w:val="Normal"/>
    <w:link w:val="HeaderChar"/>
    <w:uiPriority w:val="99"/>
    <w:unhideWhenUsed/>
    <w:rsid w:val="003E1A28"/>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3E1A28"/>
    <w:rPr>
      <w:rFonts w:ascii="Times New Roman" w:hAnsi="Times New Roman" w:cs="Times New Roman"/>
      <w:sz w:val="24"/>
      <w:szCs w:val="20"/>
    </w:rPr>
  </w:style>
  <w:style w:type="paragraph" w:styleId="Footer">
    <w:name w:val="footer"/>
    <w:basedOn w:val="Normal"/>
    <w:link w:val="FooterChar"/>
    <w:uiPriority w:val="99"/>
    <w:unhideWhenUsed/>
    <w:rsid w:val="003E1A28"/>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3E1A28"/>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86CA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F6143"/>
    <w:pPr>
      <w:numPr>
        <w:numId w:val="28"/>
      </w:numPr>
    </w:p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1A7A9E"/>
    <w:rPr>
      <w:vertAlign w:val="superscript"/>
    </w:rPr>
  </w:style>
  <w:style w:type="table" w:styleId="TableGrid">
    <w:name w:val="Table Grid"/>
    <w:basedOn w:val="TableNormal"/>
    <w:uiPriority w:val="59"/>
    <w:rsid w:val="00CA7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21747"/>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C21747"/>
    <w:rPr>
      <w:rFonts w:ascii="Times New Roman" w:eastAsia="SimSun" w:hAnsi="Times New Roman" w:cs="Times New Roman"/>
      <w:b/>
      <w:sz w:val="24"/>
      <w:szCs w:val="20"/>
    </w:rPr>
  </w:style>
  <w:style w:type="paragraph" w:styleId="Header">
    <w:name w:val="header"/>
    <w:basedOn w:val="Normal"/>
    <w:link w:val="HeaderChar"/>
    <w:uiPriority w:val="99"/>
    <w:unhideWhenUsed/>
    <w:rsid w:val="003E1A28"/>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3E1A28"/>
    <w:rPr>
      <w:rFonts w:ascii="Times New Roman" w:hAnsi="Times New Roman" w:cs="Times New Roman"/>
      <w:sz w:val="24"/>
      <w:szCs w:val="20"/>
    </w:rPr>
  </w:style>
  <w:style w:type="paragraph" w:styleId="Footer">
    <w:name w:val="footer"/>
    <w:basedOn w:val="Normal"/>
    <w:link w:val="FooterChar"/>
    <w:uiPriority w:val="99"/>
    <w:unhideWhenUsed/>
    <w:rsid w:val="003E1A28"/>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3E1A28"/>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86CA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11</cp:revision>
  <cp:lastPrinted>2016-11-22T16:17:00Z</cp:lastPrinted>
  <dcterms:created xsi:type="dcterms:W3CDTF">2016-11-21T14:40:00Z</dcterms:created>
  <dcterms:modified xsi:type="dcterms:W3CDTF">2016-11-22T16:18:00Z</dcterms:modified>
</cp:coreProperties>
</file>