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E66" w:rsidRPr="00710E66" w:rsidRDefault="00710E66" w:rsidP="00710E66">
      <w:pPr>
        <w:keepNext/>
        <w:spacing w:after="0" w:line="240" w:lineRule="auto"/>
        <w:jc w:val="center"/>
        <w:outlineLvl w:val="3"/>
        <w:rPr>
          <w:rFonts w:ascii="Times New Roman" w:eastAsia="Times New Roman" w:hAnsi="Times New Roman" w:cs="Times New Roman"/>
          <w:b/>
          <w:sz w:val="32"/>
          <w:szCs w:val="20"/>
        </w:rPr>
      </w:pPr>
      <w:r w:rsidRPr="00710E66">
        <w:rPr>
          <w:rFonts w:ascii="Times New Roman" w:eastAsia="Times New Roman" w:hAnsi="Times New Roman" w:cs="Times New Roman"/>
          <w:b/>
          <w:sz w:val="32"/>
          <w:szCs w:val="20"/>
        </w:rPr>
        <w:t>PENNSYLVANIA</w:t>
      </w:r>
    </w:p>
    <w:p w:rsidR="00710E66" w:rsidRPr="00710E66" w:rsidRDefault="00710E66" w:rsidP="00710E66">
      <w:pPr>
        <w:spacing w:after="0" w:line="240" w:lineRule="auto"/>
        <w:contextualSpacing/>
        <w:jc w:val="center"/>
        <w:rPr>
          <w:rFonts w:ascii="Times New Roman" w:eastAsia="Times New Roman" w:hAnsi="Times New Roman" w:cs="Times New Roman"/>
          <w:b/>
          <w:color w:val="0D0D0D"/>
          <w:sz w:val="26"/>
          <w:szCs w:val="26"/>
        </w:rPr>
      </w:pPr>
      <w:r w:rsidRPr="00710E66">
        <w:rPr>
          <w:rFonts w:ascii="Times New Roman" w:eastAsia="Times New Roman" w:hAnsi="Times New Roman" w:cs="Times New Roman"/>
          <w:b/>
          <w:color w:val="0D0D0D"/>
          <w:sz w:val="26"/>
          <w:szCs w:val="26"/>
        </w:rPr>
        <w:t>PUBLIC UTILITY COMMISSION</w:t>
      </w:r>
    </w:p>
    <w:p w:rsidR="00710E66" w:rsidRPr="00710E66" w:rsidRDefault="00710E66" w:rsidP="00710E66">
      <w:pPr>
        <w:keepNext/>
        <w:spacing w:after="0" w:line="240" w:lineRule="auto"/>
        <w:contextualSpacing/>
        <w:jc w:val="center"/>
        <w:outlineLvl w:val="6"/>
        <w:rPr>
          <w:rFonts w:ascii="Times New Roman" w:eastAsia="Times New Roman" w:hAnsi="Times New Roman" w:cs="Times New Roman"/>
          <w:b/>
          <w:color w:val="0D0D0D"/>
          <w:sz w:val="26"/>
          <w:szCs w:val="26"/>
        </w:rPr>
      </w:pPr>
      <w:r w:rsidRPr="00710E66">
        <w:rPr>
          <w:rFonts w:ascii="Times New Roman" w:eastAsia="Times New Roman" w:hAnsi="Times New Roman" w:cs="Times New Roman"/>
          <w:b/>
          <w:color w:val="0D0D0D"/>
          <w:sz w:val="26"/>
          <w:szCs w:val="26"/>
        </w:rPr>
        <w:t>Harrisburg, PA  17105-3265</w:t>
      </w:r>
    </w:p>
    <w:p w:rsidR="00710E66" w:rsidRPr="00710E66" w:rsidRDefault="00710E66" w:rsidP="00710E66">
      <w:pPr>
        <w:spacing w:after="0" w:line="240" w:lineRule="auto"/>
        <w:contextualSpacing/>
        <w:rPr>
          <w:rFonts w:ascii="Times New Roman" w:eastAsia="Times New Roman" w:hAnsi="Times New Roman" w:cs="Times New Roman"/>
          <w:color w:val="0D0D0D"/>
          <w:sz w:val="26"/>
          <w:szCs w:val="26"/>
        </w:rPr>
      </w:pPr>
    </w:p>
    <w:tbl>
      <w:tblPr>
        <w:tblW w:w="9918" w:type="dxa"/>
        <w:tblLook w:val="01E0" w:firstRow="1" w:lastRow="1" w:firstColumn="1" w:lastColumn="1" w:noHBand="0" w:noVBand="0"/>
      </w:tblPr>
      <w:tblGrid>
        <w:gridCol w:w="5778"/>
        <w:gridCol w:w="4140"/>
      </w:tblGrid>
      <w:tr w:rsidR="00710E66" w:rsidRPr="00710E66" w:rsidTr="00BA64B8">
        <w:trPr>
          <w:trHeight w:val="477"/>
        </w:trPr>
        <w:tc>
          <w:tcPr>
            <w:tcW w:w="5778" w:type="dxa"/>
            <w:vAlign w:val="center"/>
          </w:tcPr>
          <w:p w:rsidR="00710E66" w:rsidRPr="00710E66" w:rsidRDefault="00710E66" w:rsidP="00710E66">
            <w:pPr>
              <w:spacing w:after="0" w:line="240" w:lineRule="auto"/>
              <w:contextualSpacing/>
              <w:jc w:val="right"/>
              <w:rPr>
                <w:rFonts w:ascii="Times New Roman" w:eastAsia="Times New Roman" w:hAnsi="Times New Roman" w:cs="Times New Roman"/>
                <w:color w:val="0D0D0D"/>
                <w:sz w:val="26"/>
                <w:szCs w:val="26"/>
              </w:rPr>
            </w:pPr>
          </w:p>
        </w:tc>
        <w:tc>
          <w:tcPr>
            <w:tcW w:w="4140" w:type="dxa"/>
            <w:vAlign w:val="center"/>
          </w:tcPr>
          <w:p w:rsidR="00710E66" w:rsidRPr="00710E66" w:rsidRDefault="00710E66" w:rsidP="00710E66">
            <w:pPr>
              <w:spacing w:after="0" w:line="240" w:lineRule="auto"/>
              <w:contextualSpacing/>
              <w:rPr>
                <w:rFonts w:ascii="Times New Roman" w:eastAsia="Times New Roman" w:hAnsi="Times New Roman" w:cs="Times New Roman"/>
                <w:color w:val="0D0D0D"/>
                <w:sz w:val="26"/>
                <w:szCs w:val="26"/>
              </w:rPr>
            </w:pPr>
            <w:r w:rsidRPr="00710E66">
              <w:rPr>
                <w:rFonts w:ascii="Times New Roman" w:eastAsia="Times New Roman" w:hAnsi="Times New Roman" w:cs="Times New Roman"/>
                <w:color w:val="0D0D0D"/>
                <w:sz w:val="26"/>
                <w:szCs w:val="26"/>
              </w:rPr>
              <w:t>Public Meeting held August 11, 2016</w:t>
            </w:r>
          </w:p>
        </w:tc>
      </w:tr>
      <w:tr w:rsidR="00710E66" w:rsidRPr="00710E66" w:rsidTr="00BA64B8">
        <w:tc>
          <w:tcPr>
            <w:tcW w:w="5778" w:type="dxa"/>
          </w:tcPr>
          <w:p w:rsidR="00710E66" w:rsidRPr="00710E66" w:rsidRDefault="00710E66" w:rsidP="00710E66">
            <w:pPr>
              <w:spacing w:after="0" w:line="240" w:lineRule="auto"/>
              <w:contextualSpacing/>
              <w:rPr>
                <w:rFonts w:ascii="Times New Roman" w:eastAsia="Times New Roman" w:hAnsi="Times New Roman" w:cs="Times New Roman"/>
                <w:color w:val="0D0D0D"/>
                <w:sz w:val="26"/>
                <w:szCs w:val="26"/>
              </w:rPr>
            </w:pPr>
          </w:p>
          <w:p w:rsidR="00710E66" w:rsidRPr="00710E66" w:rsidRDefault="00710E66" w:rsidP="00710E66">
            <w:pPr>
              <w:spacing w:after="0" w:line="240" w:lineRule="auto"/>
              <w:contextualSpacing/>
              <w:rPr>
                <w:rFonts w:ascii="Times New Roman" w:eastAsia="Times New Roman" w:hAnsi="Times New Roman" w:cs="Times New Roman"/>
                <w:color w:val="0D0D0D"/>
                <w:sz w:val="26"/>
                <w:szCs w:val="26"/>
              </w:rPr>
            </w:pPr>
            <w:r w:rsidRPr="00710E66">
              <w:rPr>
                <w:rFonts w:ascii="Times New Roman" w:eastAsia="Times New Roman" w:hAnsi="Times New Roman" w:cs="Times New Roman"/>
                <w:color w:val="0D0D0D"/>
                <w:sz w:val="26"/>
                <w:szCs w:val="26"/>
              </w:rPr>
              <w:t>Commissioners Present:</w:t>
            </w:r>
          </w:p>
          <w:p w:rsidR="00710E66" w:rsidRPr="00710E66" w:rsidRDefault="00710E66" w:rsidP="00710E66">
            <w:pPr>
              <w:spacing w:after="0" w:line="240" w:lineRule="auto"/>
              <w:ind w:left="720"/>
              <w:contextualSpacing/>
              <w:rPr>
                <w:rFonts w:ascii="Times New Roman" w:eastAsia="Times New Roman" w:hAnsi="Times New Roman" w:cs="Times New Roman"/>
                <w:color w:val="0D0D0D"/>
                <w:sz w:val="26"/>
                <w:szCs w:val="26"/>
              </w:rPr>
            </w:pPr>
            <w:r w:rsidRPr="00710E66">
              <w:rPr>
                <w:rFonts w:ascii="Times New Roman" w:eastAsia="Times New Roman" w:hAnsi="Times New Roman" w:cs="Times New Roman"/>
                <w:color w:val="0D0D0D"/>
                <w:sz w:val="26"/>
                <w:szCs w:val="26"/>
              </w:rPr>
              <w:t>Gladys M. Brown, Chairman</w:t>
            </w:r>
          </w:p>
          <w:p w:rsidR="00710E66" w:rsidRPr="00710E66" w:rsidRDefault="00710E66" w:rsidP="00710E66">
            <w:pPr>
              <w:spacing w:after="0" w:line="240" w:lineRule="auto"/>
              <w:ind w:left="720"/>
              <w:contextualSpacing/>
              <w:rPr>
                <w:rFonts w:ascii="Times New Roman" w:eastAsia="Times New Roman" w:hAnsi="Times New Roman" w:cs="Times New Roman"/>
                <w:color w:val="0D0D0D"/>
                <w:sz w:val="26"/>
                <w:szCs w:val="26"/>
              </w:rPr>
            </w:pPr>
            <w:r w:rsidRPr="00710E66">
              <w:rPr>
                <w:rFonts w:ascii="Times New Roman" w:eastAsia="Times New Roman" w:hAnsi="Times New Roman" w:cs="Times New Roman"/>
                <w:color w:val="0D0D0D"/>
                <w:sz w:val="26"/>
                <w:szCs w:val="26"/>
              </w:rPr>
              <w:t>Andrew G. Place, Vice Chairman, Statement</w:t>
            </w:r>
          </w:p>
          <w:p w:rsidR="00710E66" w:rsidRPr="00710E66" w:rsidRDefault="00710E66" w:rsidP="00710E66">
            <w:pPr>
              <w:spacing w:after="0" w:line="240" w:lineRule="auto"/>
              <w:ind w:left="720"/>
              <w:contextualSpacing/>
              <w:rPr>
                <w:rFonts w:ascii="Times New Roman" w:eastAsia="Times New Roman" w:hAnsi="Times New Roman" w:cs="Times New Roman"/>
                <w:color w:val="0D0D0D"/>
                <w:sz w:val="26"/>
                <w:szCs w:val="26"/>
              </w:rPr>
            </w:pPr>
            <w:r w:rsidRPr="00710E66">
              <w:rPr>
                <w:rFonts w:ascii="Times New Roman" w:eastAsia="Times New Roman" w:hAnsi="Times New Roman" w:cs="Times New Roman"/>
                <w:color w:val="0D0D0D"/>
                <w:sz w:val="26"/>
                <w:szCs w:val="26"/>
              </w:rPr>
              <w:t>John F. Coleman, Jr.</w:t>
            </w:r>
          </w:p>
          <w:p w:rsidR="00710E66" w:rsidRPr="00710E66" w:rsidRDefault="00710E66" w:rsidP="00710E66">
            <w:pPr>
              <w:spacing w:after="0" w:line="240" w:lineRule="auto"/>
              <w:ind w:left="720"/>
              <w:contextualSpacing/>
              <w:rPr>
                <w:rFonts w:ascii="Times New Roman" w:eastAsia="Times New Roman" w:hAnsi="Times New Roman" w:cs="Times New Roman"/>
                <w:color w:val="0D0D0D"/>
                <w:sz w:val="26"/>
                <w:szCs w:val="26"/>
              </w:rPr>
            </w:pPr>
            <w:r w:rsidRPr="00710E66">
              <w:rPr>
                <w:rFonts w:ascii="Times New Roman" w:eastAsia="Times New Roman" w:hAnsi="Times New Roman" w:cs="Times New Roman"/>
                <w:color w:val="0D0D0D"/>
                <w:sz w:val="26"/>
                <w:szCs w:val="26"/>
              </w:rPr>
              <w:t xml:space="preserve">Robert F. </w:t>
            </w:r>
            <w:proofErr w:type="spellStart"/>
            <w:r w:rsidRPr="00710E66">
              <w:rPr>
                <w:rFonts w:ascii="Times New Roman" w:eastAsia="Times New Roman" w:hAnsi="Times New Roman" w:cs="Times New Roman"/>
                <w:color w:val="0D0D0D"/>
                <w:sz w:val="26"/>
                <w:szCs w:val="26"/>
              </w:rPr>
              <w:t>Powelson</w:t>
            </w:r>
            <w:proofErr w:type="spellEnd"/>
          </w:p>
          <w:p w:rsidR="00710E66" w:rsidRPr="00710E66" w:rsidRDefault="00710E66" w:rsidP="00710E66">
            <w:pPr>
              <w:spacing w:after="0" w:line="240" w:lineRule="auto"/>
              <w:ind w:left="720"/>
              <w:contextualSpacing/>
              <w:rPr>
                <w:rFonts w:ascii="Times New Roman" w:eastAsia="Times New Roman" w:hAnsi="Times New Roman" w:cs="Times New Roman"/>
                <w:color w:val="0D0D0D"/>
                <w:sz w:val="26"/>
                <w:szCs w:val="26"/>
              </w:rPr>
            </w:pPr>
            <w:r w:rsidRPr="00710E66">
              <w:rPr>
                <w:rFonts w:ascii="Times New Roman" w:eastAsia="Times New Roman" w:hAnsi="Times New Roman" w:cs="Times New Roman"/>
                <w:color w:val="0D0D0D"/>
                <w:sz w:val="26"/>
                <w:szCs w:val="26"/>
              </w:rPr>
              <w:t>David  W. Sweet</w:t>
            </w:r>
          </w:p>
          <w:p w:rsidR="00710E66" w:rsidRPr="00710E66" w:rsidRDefault="00710E66" w:rsidP="00710E66">
            <w:pPr>
              <w:spacing w:after="0" w:line="240" w:lineRule="auto"/>
              <w:contextualSpacing/>
              <w:rPr>
                <w:rFonts w:ascii="Times New Roman" w:eastAsia="Times New Roman" w:hAnsi="Times New Roman" w:cs="Times New Roman"/>
                <w:color w:val="0D0D0D"/>
                <w:sz w:val="26"/>
                <w:szCs w:val="26"/>
              </w:rPr>
            </w:pPr>
          </w:p>
        </w:tc>
        <w:tc>
          <w:tcPr>
            <w:tcW w:w="4140" w:type="dxa"/>
          </w:tcPr>
          <w:p w:rsidR="00710E66" w:rsidRPr="00710E66" w:rsidRDefault="00710E66" w:rsidP="00710E66">
            <w:pPr>
              <w:spacing w:after="0" w:line="240" w:lineRule="auto"/>
              <w:contextualSpacing/>
              <w:rPr>
                <w:rFonts w:ascii="Times New Roman" w:eastAsia="Times New Roman" w:hAnsi="Times New Roman" w:cs="Times New Roman"/>
                <w:color w:val="0D0D0D"/>
                <w:sz w:val="26"/>
                <w:szCs w:val="26"/>
              </w:rPr>
            </w:pPr>
          </w:p>
        </w:tc>
      </w:tr>
      <w:tr w:rsidR="00710E66" w:rsidRPr="00710E66" w:rsidTr="00BA64B8">
        <w:tc>
          <w:tcPr>
            <w:tcW w:w="5778" w:type="dxa"/>
          </w:tcPr>
          <w:p w:rsidR="00710E66" w:rsidRPr="00710E66" w:rsidRDefault="00710E66" w:rsidP="00710E66">
            <w:pPr>
              <w:spacing w:after="0" w:line="240" w:lineRule="auto"/>
              <w:contextualSpacing/>
              <w:rPr>
                <w:rFonts w:ascii="Times New Roman" w:eastAsia="Times New Roman" w:hAnsi="Times New Roman" w:cs="Times New Roman"/>
                <w:color w:val="0D0D0D"/>
                <w:sz w:val="26"/>
                <w:szCs w:val="26"/>
              </w:rPr>
            </w:pPr>
            <w:r w:rsidRPr="00710E66">
              <w:rPr>
                <w:rFonts w:ascii="Times New Roman" w:eastAsia="Times New Roman" w:hAnsi="Times New Roman" w:cs="Times New Roman"/>
                <w:color w:val="0D0D0D"/>
                <w:sz w:val="26"/>
                <w:szCs w:val="26"/>
              </w:rPr>
              <w:t xml:space="preserve">PECO Energy Company  </w:t>
            </w:r>
          </w:p>
          <w:p w:rsidR="00710E66" w:rsidRPr="00710E66" w:rsidRDefault="00710E66" w:rsidP="00710E66">
            <w:pPr>
              <w:spacing w:after="0" w:line="240" w:lineRule="auto"/>
              <w:contextualSpacing/>
              <w:rPr>
                <w:rFonts w:ascii="Times New Roman" w:eastAsia="Times New Roman" w:hAnsi="Times New Roman" w:cs="Times New Roman"/>
                <w:color w:val="0D0D0D"/>
                <w:sz w:val="26"/>
                <w:szCs w:val="26"/>
              </w:rPr>
            </w:pPr>
            <w:r w:rsidRPr="00710E66">
              <w:rPr>
                <w:rFonts w:ascii="Times New Roman" w:eastAsia="Times New Roman" w:hAnsi="Times New Roman" w:cs="Times New Roman"/>
                <w:color w:val="0D0D0D"/>
                <w:sz w:val="26"/>
                <w:szCs w:val="26"/>
              </w:rPr>
              <w:t xml:space="preserve">Universal Service and Energy Conservation Plan for 2016-2018 Submitted in Compliance with 52 Pa. Code §§ 54.74 and 62.4.  </w:t>
            </w:r>
          </w:p>
        </w:tc>
        <w:tc>
          <w:tcPr>
            <w:tcW w:w="4140" w:type="dxa"/>
          </w:tcPr>
          <w:p w:rsidR="00710E66" w:rsidRPr="00710E66" w:rsidRDefault="00710E66" w:rsidP="00710E66">
            <w:pPr>
              <w:spacing w:after="0" w:line="240" w:lineRule="auto"/>
              <w:contextualSpacing/>
              <w:jc w:val="right"/>
              <w:rPr>
                <w:rFonts w:ascii="Times New Roman" w:eastAsia="Times New Roman" w:hAnsi="Times New Roman" w:cs="Times New Roman"/>
                <w:color w:val="0D0D0D"/>
                <w:sz w:val="26"/>
                <w:szCs w:val="26"/>
              </w:rPr>
            </w:pPr>
            <w:r w:rsidRPr="00710E66">
              <w:rPr>
                <w:rFonts w:ascii="Times New Roman" w:eastAsia="Times New Roman" w:hAnsi="Times New Roman" w:cs="Times New Roman"/>
                <w:color w:val="0D0D0D"/>
                <w:sz w:val="26"/>
                <w:szCs w:val="26"/>
              </w:rPr>
              <w:t>Docket No</w:t>
            </w:r>
            <w:proofErr w:type="gramStart"/>
            <w:r w:rsidRPr="00710E66">
              <w:rPr>
                <w:rFonts w:ascii="Times New Roman" w:eastAsia="Times New Roman" w:hAnsi="Times New Roman" w:cs="Times New Roman"/>
                <w:color w:val="0D0D0D"/>
                <w:sz w:val="26"/>
                <w:szCs w:val="26"/>
              </w:rPr>
              <w:t xml:space="preserve">. </w:t>
            </w:r>
            <w:proofErr w:type="gramEnd"/>
            <w:r w:rsidRPr="00710E66">
              <w:rPr>
                <w:rFonts w:ascii="Times New Roman" w:eastAsia="Times New Roman" w:hAnsi="Times New Roman" w:cs="Times New Roman"/>
                <w:color w:val="0D0D0D"/>
                <w:sz w:val="26"/>
                <w:szCs w:val="26"/>
              </w:rPr>
              <w:t>M-2015-2507139</w:t>
            </w:r>
          </w:p>
        </w:tc>
      </w:tr>
    </w:tbl>
    <w:p w:rsidR="00710E66" w:rsidRPr="00710E66" w:rsidRDefault="00710E66" w:rsidP="00710E66">
      <w:pPr>
        <w:spacing w:after="0" w:line="360" w:lineRule="auto"/>
        <w:contextualSpacing/>
        <w:rPr>
          <w:rFonts w:ascii="Times New Roman" w:eastAsia="Times New Roman" w:hAnsi="Times New Roman" w:cs="Times New Roman"/>
          <w:color w:val="0D0D0D"/>
          <w:sz w:val="26"/>
          <w:szCs w:val="26"/>
        </w:rPr>
      </w:pPr>
    </w:p>
    <w:p w:rsidR="00710E66" w:rsidRPr="00710E66" w:rsidRDefault="00710E66" w:rsidP="00710E66">
      <w:pPr>
        <w:spacing w:after="0" w:line="360" w:lineRule="auto"/>
        <w:rPr>
          <w:rFonts w:ascii="Times New Roman" w:eastAsia="Times New Roman" w:hAnsi="Times New Roman" w:cs="Times New Roman"/>
          <w:sz w:val="24"/>
          <w:szCs w:val="24"/>
        </w:rPr>
      </w:pPr>
    </w:p>
    <w:p w:rsidR="00710E66" w:rsidRPr="00710E66" w:rsidRDefault="00710E66" w:rsidP="00710E66">
      <w:pPr>
        <w:spacing w:after="0" w:line="240" w:lineRule="auto"/>
        <w:jc w:val="center"/>
        <w:rPr>
          <w:rFonts w:ascii="Times New Roman" w:eastAsia="Times New Roman" w:hAnsi="Times New Roman" w:cs="Times New Roman"/>
          <w:sz w:val="26"/>
          <w:szCs w:val="26"/>
        </w:rPr>
      </w:pPr>
      <w:r w:rsidRPr="00710E66">
        <w:rPr>
          <w:rFonts w:ascii="Times New Roman" w:eastAsia="Times New Roman" w:hAnsi="Times New Roman" w:cs="Times New Roman"/>
          <w:b/>
          <w:bCs/>
          <w:sz w:val="26"/>
          <w:szCs w:val="26"/>
          <w:u w:val="single"/>
        </w:rPr>
        <w:t xml:space="preserve">ERRATA NOTICE </w:t>
      </w:r>
    </w:p>
    <w:p w:rsidR="00710E66" w:rsidRPr="00710E66" w:rsidRDefault="00710E66" w:rsidP="00710E66">
      <w:pPr>
        <w:spacing w:after="0" w:line="240" w:lineRule="auto"/>
        <w:ind w:firstLine="1440"/>
        <w:jc w:val="center"/>
        <w:rPr>
          <w:rFonts w:ascii="Times New Roman" w:eastAsia="Times New Roman" w:hAnsi="Times New Roman" w:cs="Times New Roman"/>
          <w:sz w:val="26"/>
          <w:szCs w:val="26"/>
        </w:rPr>
      </w:pPr>
    </w:p>
    <w:p w:rsidR="00710E66" w:rsidRPr="00710E66" w:rsidRDefault="00710E66" w:rsidP="00710E66">
      <w:pPr>
        <w:spacing w:after="0" w:line="240" w:lineRule="auto"/>
        <w:ind w:firstLine="1440"/>
        <w:jc w:val="center"/>
        <w:rPr>
          <w:rFonts w:ascii="Times New Roman" w:eastAsia="Times New Roman" w:hAnsi="Times New Roman" w:cs="Times New Roman"/>
          <w:sz w:val="26"/>
          <w:szCs w:val="26"/>
        </w:rPr>
      </w:pPr>
    </w:p>
    <w:p w:rsidR="00710E66" w:rsidRPr="00710E66" w:rsidRDefault="00710E66" w:rsidP="00710E66">
      <w:pPr>
        <w:spacing w:after="0" w:line="360" w:lineRule="auto"/>
        <w:ind w:firstLine="720"/>
        <w:rPr>
          <w:rFonts w:ascii="Times New Roman" w:eastAsia="Times New Roman" w:hAnsi="Times New Roman" w:cs="Times New Roman"/>
          <w:sz w:val="26"/>
          <w:szCs w:val="26"/>
        </w:rPr>
      </w:pPr>
      <w:r w:rsidRPr="00710E66">
        <w:rPr>
          <w:rFonts w:ascii="Times New Roman" w:eastAsia="Times New Roman" w:hAnsi="Times New Roman" w:cs="Times New Roman"/>
          <w:sz w:val="26"/>
          <w:szCs w:val="26"/>
        </w:rPr>
        <w:t>This is to advise all parties of record that the Order entered on August 11, 2016, in the above-captioned proceeding contains citation errors on pages 40 and 41 concerning references to the Bankruptcy Code.</w:t>
      </w:r>
    </w:p>
    <w:p w:rsidR="00710E66" w:rsidRPr="00710E66" w:rsidRDefault="00710E66" w:rsidP="00710E66">
      <w:pPr>
        <w:spacing w:after="0" w:line="360" w:lineRule="auto"/>
        <w:ind w:firstLine="1440"/>
        <w:rPr>
          <w:rFonts w:ascii="Times New Roman" w:eastAsia="Times New Roman" w:hAnsi="Times New Roman" w:cs="Times New Roman"/>
          <w:sz w:val="26"/>
          <w:szCs w:val="26"/>
        </w:rPr>
      </w:pPr>
    </w:p>
    <w:p w:rsidR="00710E66" w:rsidRPr="00710E66" w:rsidRDefault="00710E66" w:rsidP="00710E66">
      <w:pPr>
        <w:spacing w:after="0" w:line="360" w:lineRule="auto"/>
        <w:ind w:firstLine="720"/>
        <w:rPr>
          <w:rFonts w:ascii="Times New Roman" w:eastAsia="Times New Roman" w:hAnsi="Times New Roman" w:cs="Times New Roman"/>
          <w:sz w:val="26"/>
          <w:szCs w:val="26"/>
        </w:rPr>
      </w:pPr>
      <w:r w:rsidRPr="00710E66">
        <w:rPr>
          <w:rFonts w:ascii="Times New Roman" w:eastAsia="Times New Roman" w:hAnsi="Times New Roman" w:cs="Times New Roman"/>
          <w:sz w:val="26"/>
          <w:szCs w:val="26"/>
        </w:rPr>
        <w:t xml:space="preserve">The citations incorrectly referred to a non-existent section of Title 11 of the United States Code.  The correct references are to 11 U.S.C. § 366 and to 11 U.S.C. § 366(b).  Please find the corrected pages attached for your records.  </w:t>
      </w:r>
    </w:p>
    <w:p w:rsidR="00710E66" w:rsidRPr="00710E66" w:rsidRDefault="00710E66" w:rsidP="00710E66">
      <w:pPr>
        <w:spacing w:after="0" w:line="360" w:lineRule="auto"/>
        <w:ind w:firstLine="1440"/>
        <w:rPr>
          <w:rFonts w:ascii="Times New Roman" w:eastAsia="Times New Roman" w:hAnsi="Times New Roman" w:cs="Times New Roman"/>
          <w:b/>
          <w:sz w:val="26"/>
          <w:szCs w:val="26"/>
        </w:rPr>
      </w:pPr>
    </w:p>
    <w:p w:rsidR="00710E66" w:rsidRPr="00710E66" w:rsidRDefault="00710E66" w:rsidP="00710E66">
      <w:pPr>
        <w:spacing w:after="0" w:line="360" w:lineRule="auto"/>
        <w:ind w:firstLine="720"/>
        <w:rPr>
          <w:rFonts w:ascii="Times New Roman" w:eastAsia="Times New Roman" w:hAnsi="Times New Roman" w:cs="Times New Roman"/>
          <w:sz w:val="26"/>
          <w:szCs w:val="26"/>
        </w:rPr>
      </w:pPr>
      <w:r w:rsidRPr="00710E66">
        <w:rPr>
          <w:rFonts w:ascii="Times New Roman" w:eastAsia="Times New Roman" w:hAnsi="Times New Roman" w:cs="Times New Roman"/>
          <w:sz w:val="26"/>
          <w:szCs w:val="26"/>
        </w:rPr>
        <w:t xml:space="preserve">The Order on the PA PUC website </w:t>
      </w:r>
      <w:proofErr w:type="gramStart"/>
      <w:r w:rsidRPr="00710E66">
        <w:rPr>
          <w:rFonts w:ascii="Times New Roman" w:eastAsia="Times New Roman" w:hAnsi="Times New Roman" w:cs="Times New Roman"/>
          <w:sz w:val="26"/>
          <w:szCs w:val="26"/>
        </w:rPr>
        <w:t>will be corrected</w:t>
      </w:r>
      <w:proofErr w:type="gramEnd"/>
      <w:r w:rsidRPr="00710E66">
        <w:rPr>
          <w:rFonts w:ascii="Times New Roman" w:eastAsia="Times New Roman" w:hAnsi="Times New Roman" w:cs="Times New Roman"/>
          <w:sz w:val="26"/>
          <w:szCs w:val="26"/>
        </w:rPr>
        <w:t xml:space="preserve"> as indicated above. </w:t>
      </w:r>
    </w:p>
    <w:p w:rsidR="00710E66" w:rsidRPr="00710E66" w:rsidRDefault="00710E66" w:rsidP="00710E66">
      <w:pPr>
        <w:pStyle w:val="ListParagraph"/>
        <w:spacing w:line="360" w:lineRule="auto"/>
        <w:ind w:left="360"/>
        <w:rPr>
          <w:rFonts w:ascii="Times New Roman" w:eastAsia="Times New Roman" w:hAnsi="Times New Roman" w:cs="Times New Roman"/>
          <w:bCs/>
          <w:color w:val="0D0D0D" w:themeColor="text1" w:themeTint="F2"/>
          <w:sz w:val="26"/>
          <w:szCs w:val="26"/>
        </w:rPr>
      </w:pPr>
    </w:p>
    <w:p w:rsidR="00710E66" w:rsidRDefault="00710E66">
      <w:pPr>
        <w:rPr>
          <w:rFonts w:ascii="Times New Roman" w:eastAsia="Times New Roman" w:hAnsi="Times New Roman" w:cs="Times New Roman"/>
          <w:bCs/>
          <w:i/>
          <w:color w:val="0D0D0D" w:themeColor="text1" w:themeTint="F2"/>
          <w:sz w:val="26"/>
          <w:szCs w:val="26"/>
        </w:rPr>
      </w:pPr>
      <w:r>
        <w:rPr>
          <w:rFonts w:ascii="Times New Roman" w:eastAsia="Times New Roman" w:hAnsi="Times New Roman" w:cs="Times New Roman"/>
          <w:bCs/>
          <w:i/>
          <w:color w:val="0D0D0D" w:themeColor="text1" w:themeTint="F2"/>
          <w:sz w:val="26"/>
          <w:szCs w:val="26"/>
        </w:rPr>
        <w:br w:type="page"/>
      </w:r>
    </w:p>
    <w:p w:rsidR="00CC61BD" w:rsidRPr="009E21E4" w:rsidRDefault="00CC61BD" w:rsidP="00710E66">
      <w:pPr>
        <w:pStyle w:val="ListParagraph"/>
        <w:numPr>
          <w:ilvl w:val="0"/>
          <w:numId w:val="2"/>
        </w:numPr>
        <w:spacing w:line="360" w:lineRule="auto"/>
        <w:ind w:left="0" w:firstLine="360"/>
        <w:rPr>
          <w:rFonts w:ascii="Times New Roman" w:hAnsi="Times New Roman"/>
          <w:sz w:val="26"/>
          <w:szCs w:val="26"/>
        </w:rPr>
      </w:pPr>
      <w:r w:rsidRPr="009E21E4">
        <w:rPr>
          <w:rFonts w:ascii="Times New Roman" w:eastAsia="Times New Roman" w:hAnsi="Times New Roman" w:cs="Times New Roman"/>
          <w:bCs/>
          <w:i/>
          <w:color w:val="0D0D0D" w:themeColor="text1" w:themeTint="F2"/>
          <w:sz w:val="26"/>
          <w:szCs w:val="26"/>
        </w:rPr>
        <w:lastRenderedPageBreak/>
        <w:t>Resolution</w:t>
      </w:r>
      <w:r w:rsidRPr="009E21E4">
        <w:rPr>
          <w:rFonts w:ascii="Times New Roman" w:eastAsia="Times New Roman" w:hAnsi="Times New Roman" w:cs="Times New Roman"/>
          <w:bCs/>
          <w:color w:val="0D0D0D" w:themeColor="text1" w:themeTint="F2"/>
          <w:sz w:val="26"/>
          <w:szCs w:val="26"/>
        </w:rPr>
        <w:t xml:space="preserve">: </w:t>
      </w:r>
      <w:r w:rsidRPr="009E21E4">
        <w:rPr>
          <w:rFonts w:ascii="Times New Roman" w:hAnsi="Times New Roman"/>
          <w:sz w:val="26"/>
          <w:szCs w:val="26"/>
        </w:rPr>
        <w:t xml:space="preserve">We conclude that PECO may require “adequate assurance of payment, </w:t>
      </w:r>
      <w:proofErr w:type="gramStart"/>
      <w:r w:rsidRPr="009E21E4">
        <w:rPr>
          <w:rFonts w:ascii="Times New Roman" w:hAnsi="Times New Roman"/>
          <w:sz w:val="26"/>
          <w:szCs w:val="26"/>
        </w:rPr>
        <w:t>in</w:t>
      </w:r>
      <w:proofErr w:type="gramEnd"/>
      <w:r w:rsidRPr="009E21E4">
        <w:rPr>
          <w:rFonts w:ascii="Times New Roman" w:hAnsi="Times New Roman"/>
          <w:sz w:val="26"/>
          <w:szCs w:val="26"/>
        </w:rPr>
        <w:t xml:space="preserve"> the form of a deposit or other security, for service rendered after” the date of the order for relief, regardless of the household’s income level.  If the only adequate assurance that the </w:t>
      </w:r>
      <w:r>
        <w:rPr>
          <w:rFonts w:ascii="Times New Roman" w:hAnsi="Times New Roman"/>
          <w:sz w:val="26"/>
          <w:szCs w:val="26"/>
        </w:rPr>
        <w:t>PECO will accept is a cash deposit, it may require one</w:t>
      </w:r>
      <w:r w:rsidRPr="009E21E4">
        <w:rPr>
          <w:rFonts w:ascii="Times New Roman" w:hAnsi="Times New Roman"/>
          <w:sz w:val="26"/>
          <w:szCs w:val="26"/>
        </w:rPr>
        <w:t>.  This comports with the Section 36</w:t>
      </w:r>
      <w:r>
        <w:rPr>
          <w:rFonts w:ascii="Times New Roman" w:hAnsi="Times New Roman"/>
          <w:sz w:val="26"/>
          <w:szCs w:val="26"/>
        </w:rPr>
        <w:t>6</w:t>
      </w:r>
      <w:r w:rsidRPr="009E21E4">
        <w:rPr>
          <w:rFonts w:ascii="Times New Roman" w:hAnsi="Times New Roman"/>
          <w:sz w:val="26"/>
          <w:szCs w:val="26"/>
        </w:rPr>
        <w:t xml:space="preserve"> of the Bankruptcy Code and with Section 1404(a.) of the Public Utility Code. </w:t>
      </w:r>
    </w:p>
    <w:p w:rsidR="00CC61BD" w:rsidRDefault="00CC61BD" w:rsidP="00CC61BD">
      <w:pPr>
        <w:autoSpaceDE w:val="0"/>
        <w:autoSpaceDN w:val="0"/>
        <w:spacing w:line="360" w:lineRule="auto"/>
        <w:rPr>
          <w:rFonts w:ascii="Times New Roman" w:hAnsi="Times New Roman"/>
          <w:sz w:val="26"/>
          <w:szCs w:val="26"/>
        </w:rPr>
      </w:pPr>
    </w:p>
    <w:p w:rsidR="00CC61BD" w:rsidRDefault="00CC61BD" w:rsidP="00CC61BD">
      <w:pPr>
        <w:autoSpaceDE w:val="0"/>
        <w:autoSpaceDN w:val="0"/>
        <w:spacing w:line="360" w:lineRule="auto"/>
        <w:ind w:firstLine="720"/>
        <w:rPr>
          <w:rFonts w:ascii="Times New Roman" w:hAnsi="Times New Roman"/>
          <w:sz w:val="26"/>
          <w:szCs w:val="26"/>
        </w:rPr>
      </w:pPr>
      <w:r>
        <w:rPr>
          <w:rFonts w:ascii="Times New Roman" w:hAnsi="Times New Roman"/>
          <w:sz w:val="26"/>
          <w:szCs w:val="26"/>
        </w:rPr>
        <w:t>The language of Section 1404(a.1) states that “[n]</w:t>
      </w:r>
      <w:proofErr w:type="spellStart"/>
      <w:r>
        <w:rPr>
          <w:rFonts w:ascii="Times New Roman" w:hAnsi="Times New Roman"/>
          <w:sz w:val="26"/>
          <w:szCs w:val="26"/>
        </w:rPr>
        <w:t>otwithstanding</w:t>
      </w:r>
      <w:proofErr w:type="spellEnd"/>
      <w:r>
        <w:rPr>
          <w:rFonts w:ascii="Times New Roman" w:hAnsi="Times New Roman"/>
          <w:sz w:val="26"/>
          <w:szCs w:val="26"/>
        </w:rPr>
        <w:t xml:space="preserve"> subsection [1404</w:t>
      </w:r>
      <w:proofErr w:type="gramStart"/>
      <w:r>
        <w:rPr>
          <w:rFonts w:ascii="Times New Roman" w:hAnsi="Times New Roman"/>
          <w:sz w:val="26"/>
          <w:szCs w:val="26"/>
        </w:rPr>
        <w:t>](</w:t>
      </w:r>
      <w:proofErr w:type="gramEnd"/>
      <w:r>
        <w:rPr>
          <w:rFonts w:ascii="Times New Roman" w:hAnsi="Times New Roman"/>
          <w:sz w:val="26"/>
          <w:szCs w:val="26"/>
        </w:rPr>
        <w:t xml:space="preserve">a), no public utility may require an applicant that is confirmed to be eligible for a customer assistance program to provide a cash deposit.”  If state law were the only consideration, PECO could not implement its proposal.  In this matter, we are however, constrained by federal bankruptcy provisions.  </w:t>
      </w:r>
    </w:p>
    <w:p w:rsidR="00CC61BD" w:rsidRDefault="00CC61BD" w:rsidP="00CC61BD">
      <w:pPr>
        <w:autoSpaceDE w:val="0"/>
        <w:autoSpaceDN w:val="0"/>
        <w:spacing w:line="360" w:lineRule="auto"/>
        <w:ind w:firstLine="720"/>
        <w:rPr>
          <w:rFonts w:ascii="Times New Roman" w:hAnsi="Times New Roman"/>
          <w:sz w:val="26"/>
          <w:szCs w:val="26"/>
        </w:rPr>
      </w:pPr>
    </w:p>
    <w:p w:rsidR="00CC61BD" w:rsidRDefault="00CC61BD" w:rsidP="00CC61BD">
      <w:pPr>
        <w:autoSpaceDE w:val="0"/>
        <w:autoSpaceDN w:val="0"/>
        <w:spacing w:line="360" w:lineRule="auto"/>
        <w:ind w:firstLine="720"/>
        <w:rPr>
          <w:rFonts w:ascii="Times New Roman" w:hAnsi="Times New Roman"/>
          <w:sz w:val="26"/>
          <w:szCs w:val="26"/>
        </w:rPr>
      </w:pPr>
      <w:r>
        <w:rPr>
          <w:rFonts w:ascii="Times New Roman" w:hAnsi="Times New Roman"/>
          <w:sz w:val="26"/>
          <w:szCs w:val="26"/>
        </w:rPr>
        <w:t xml:space="preserve">Federal bankruptcy courts outside the Third Circuit, by reason of the Supremacy Clause of the United States Constitution, have held that the Bankruptcy Code preempts the rules of a state utility commission with regard to security deposits.  </w:t>
      </w:r>
      <w:r>
        <w:rPr>
          <w:rFonts w:ascii="Times New Roman" w:hAnsi="Times New Roman"/>
          <w:i/>
          <w:sz w:val="26"/>
          <w:szCs w:val="26"/>
        </w:rPr>
        <w:t>In re Stagecoach Enterprises, Inc.</w:t>
      </w:r>
      <w:r>
        <w:rPr>
          <w:rFonts w:ascii="Times New Roman" w:hAnsi="Times New Roman"/>
          <w:sz w:val="26"/>
          <w:szCs w:val="26"/>
        </w:rPr>
        <w:t>, 1 B.R. 732, 735 (</w:t>
      </w:r>
      <w:proofErr w:type="spellStart"/>
      <w:r>
        <w:rPr>
          <w:rFonts w:ascii="Times New Roman" w:hAnsi="Times New Roman"/>
          <w:sz w:val="26"/>
          <w:szCs w:val="26"/>
        </w:rPr>
        <w:t>Bankr</w:t>
      </w:r>
      <w:proofErr w:type="spellEnd"/>
      <w:proofErr w:type="gramStart"/>
      <w:r>
        <w:rPr>
          <w:rFonts w:ascii="Times New Roman" w:hAnsi="Times New Roman"/>
          <w:sz w:val="26"/>
          <w:szCs w:val="26"/>
        </w:rPr>
        <w:t xml:space="preserve">. </w:t>
      </w:r>
      <w:proofErr w:type="gramEnd"/>
      <w:r>
        <w:rPr>
          <w:rFonts w:ascii="Times New Roman" w:hAnsi="Times New Roman"/>
          <w:sz w:val="26"/>
          <w:szCs w:val="26"/>
        </w:rPr>
        <w:t xml:space="preserve">M.D. Fla. 1979).  Additionally, if a utility so requests, a customer may be required to provide a security deposit to the utility within 20 days to ensure the continuation of service “regardless of otherwise applicable regulation or state law.”  </w:t>
      </w:r>
      <w:r>
        <w:rPr>
          <w:rFonts w:ascii="Times New Roman" w:hAnsi="Times New Roman"/>
          <w:i/>
          <w:sz w:val="26"/>
          <w:szCs w:val="26"/>
        </w:rPr>
        <w:t>In re Northwest Recreational Activities, Inc.</w:t>
      </w:r>
      <w:r w:rsidRPr="00674DD2">
        <w:rPr>
          <w:rFonts w:ascii="Times New Roman" w:hAnsi="Times New Roman"/>
          <w:sz w:val="26"/>
          <w:szCs w:val="26"/>
        </w:rPr>
        <w:t xml:space="preserve">, </w:t>
      </w:r>
      <w:r>
        <w:rPr>
          <w:rFonts w:ascii="Times New Roman" w:hAnsi="Times New Roman"/>
          <w:sz w:val="26"/>
          <w:szCs w:val="26"/>
        </w:rPr>
        <w:t>8 B.R. 7, 9 (</w:t>
      </w:r>
      <w:proofErr w:type="spellStart"/>
      <w:r>
        <w:rPr>
          <w:rFonts w:ascii="Times New Roman" w:hAnsi="Times New Roman"/>
          <w:sz w:val="26"/>
          <w:szCs w:val="26"/>
        </w:rPr>
        <w:t>Bankr</w:t>
      </w:r>
      <w:proofErr w:type="spellEnd"/>
      <w:proofErr w:type="gramStart"/>
      <w:r>
        <w:rPr>
          <w:rFonts w:ascii="Times New Roman" w:hAnsi="Times New Roman"/>
          <w:sz w:val="26"/>
          <w:szCs w:val="26"/>
        </w:rPr>
        <w:t xml:space="preserve">. </w:t>
      </w:r>
      <w:proofErr w:type="gramEnd"/>
      <w:r>
        <w:rPr>
          <w:rFonts w:ascii="Times New Roman" w:hAnsi="Times New Roman"/>
          <w:sz w:val="26"/>
          <w:szCs w:val="26"/>
        </w:rPr>
        <w:t>N.D. Ga. 1980).  We have previousl</w:t>
      </w:r>
      <w:r w:rsidRPr="00A643A8">
        <w:rPr>
          <w:rFonts w:ascii="Times New Roman" w:hAnsi="Times New Roman" w:cs="Times New Roman"/>
          <w:sz w:val="26"/>
          <w:szCs w:val="26"/>
        </w:rPr>
        <w:t xml:space="preserve">y noted that </w:t>
      </w:r>
      <w:r>
        <w:rPr>
          <w:rFonts w:ascii="Times New Roman" w:hAnsi="Times New Roman" w:cs="Times New Roman"/>
          <w:color w:val="373739"/>
          <w:sz w:val="26"/>
          <w:szCs w:val="26"/>
        </w:rPr>
        <w:t>t</w:t>
      </w:r>
      <w:r w:rsidRPr="00A643A8">
        <w:rPr>
          <w:rFonts w:ascii="Times New Roman" w:hAnsi="Times New Roman" w:cs="Times New Roman"/>
          <w:color w:val="373739"/>
          <w:sz w:val="26"/>
          <w:szCs w:val="26"/>
        </w:rPr>
        <w:t>he “Bankruptcy Courts have deferred to state laws and regulations in other types of terminations, but there is no clear deference to state regulations with regard to terminations for failure to pay the adequate assurance deposit</w:t>
      </w:r>
      <w:r w:rsidRPr="00A643A8">
        <w:rPr>
          <w:rFonts w:ascii="Times New Roman" w:hAnsi="Times New Roman" w:cs="Times New Roman"/>
          <w:sz w:val="26"/>
          <w:szCs w:val="26"/>
        </w:rPr>
        <w:t>.”</w:t>
      </w:r>
      <w:r w:rsidRPr="00B92997">
        <w:rPr>
          <w:rFonts w:ascii="Times New Roman" w:hAnsi="Times New Roman" w:cs="Times New Roman"/>
          <w:sz w:val="26"/>
          <w:szCs w:val="26"/>
        </w:rPr>
        <w:t xml:space="preserve">  </w:t>
      </w:r>
      <w:r w:rsidRPr="00880638">
        <w:rPr>
          <w:rFonts w:ascii="Times New Roman" w:hAnsi="Times New Roman" w:cs="Times New Roman"/>
          <w:i/>
          <w:sz w:val="26"/>
          <w:szCs w:val="26"/>
        </w:rPr>
        <w:t>Smith v. Equitable Gas Co.</w:t>
      </w:r>
      <w:r w:rsidRPr="00880638">
        <w:rPr>
          <w:rFonts w:ascii="Times New Roman" w:hAnsi="Times New Roman" w:cs="Times New Roman"/>
          <w:sz w:val="26"/>
          <w:szCs w:val="26"/>
        </w:rPr>
        <w:t>,</w:t>
      </w:r>
      <w:r w:rsidRPr="004C19DC">
        <w:rPr>
          <w:rFonts w:ascii="Times New Roman" w:hAnsi="Times New Roman" w:cs="Times New Roman"/>
          <w:sz w:val="26"/>
          <w:szCs w:val="26"/>
        </w:rPr>
        <w:t xml:space="preserve"> Docket No. </w:t>
      </w:r>
      <w:proofErr w:type="gramStart"/>
      <w:r w:rsidRPr="004C19DC">
        <w:rPr>
          <w:rFonts w:ascii="Times New Roman" w:hAnsi="Times New Roman" w:cs="Times New Roman"/>
          <w:sz w:val="26"/>
          <w:szCs w:val="26"/>
        </w:rPr>
        <w:t>Z-0</w:t>
      </w:r>
      <w:r>
        <w:rPr>
          <w:rFonts w:ascii="Times New Roman" w:hAnsi="Times New Roman"/>
          <w:sz w:val="26"/>
          <w:szCs w:val="26"/>
        </w:rPr>
        <w:t>0275757, 1996 Pa. PUC LEXIS 192 at 12.</w:t>
      </w:r>
      <w:proofErr w:type="gramEnd"/>
      <w:r>
        <w:rPr>
          <w:rStyle w:val="FootnoteReference"/>
          <w:rFonts w:ascii="Times New Roman" w:hAnsi="Times New Roman"/>
          <w:sz w:val="26"/>
          <w:szCs w:val="26"/>
        </w:rPr>
        <w:footnoteReference w:id="1"/>
      </w:r>
      <w:r>
        <w:rPr>
          <w:rFonts w:ascii="Times New Roman" w:hAnsi="Times New Roman"/>
          <w:sz w:val="26"/>
          <w:szCs w:val="26"/>
        </w:rPr>
        <w:t xml:space="preserve">  </w:t>
      </w:r>
    </w:p>
    <w:p w:rsidR="00CC61BD" w:rsidRDefault="00CC61BD" w:rsidP="00CC61BD">
      <w:pPr>
        <w:autoSpaceDE w:val="0"/>
        <w:autoSpaceDN w:val="0"/>
        <w:spacing w:line="360" w:lineRule="auto"/>
        <w:ind w:firstLine="720"/>
        <w:rPr>
          <w:rFonts w:ascii="Times New Roman" w:hAnsi="Times New Roman"/>
          <w:sz w:val="26"/>
          <w:szCs w:val="26"/>
        </w:rPr>
      </w:pPr>
    </w:p>
    <w:p w:rsidR="00CC61BD" w:rsidRDefault="00CC61BD" w:rsidP="00CC61BD">
      <w:pPr>
        <w:autoSpaceDE w:val="0"/>
        <w:autoSpaceDN w:val="0"/>
        <w:spacing w:line="360" w:lineRule="auto"/>
        <w:ind w:firstLine="720"/>
        <w:rPr>
          <w:rFonts w:ascii="Times New Roman" w:hAnsi="Times New Roman"/>
          <w:sz w:val="26"/>
          <w:szCs w:val="26"/>
        </w:rPr>
      </w:pPr>
      <w:r>
        <w:rPr>
          <w:rFonts w:ascii="Times New Roman" w:hAnsi="Times New Roman"/>
          <w:sz w:val="26"/>
          <w:szCs w:val="26"/>
        </w:rPr>
        <w:lastRenderedPageBreak/>
        <w:t xml:space="preserve">We note, however, that the Third Circuit Court of Appeals found that Congress did not intend for Section 366(b) to render all state procedural protections for utility customers inoperative, specifically with regard to state termination procedures including notice prior to termination, the ban against weekend and holiday termination, tenant protection for landlord defaults, and protections for customers with medical disabilities.  </w:t>
      </w:r>
      <w:r w:rsidRPr="00507544">
        <w:rPr>
          <w:rFonts w:ascii="Times New Roman" w:hAnsi="Times New Roman"/>
          <w:i/>
          <w:sz w:val="26"/>
          <w:szCs w:val="26"/>
        </w:rPr>
        <w:t xml:space="preserve">Begley v. </w:t>
      </w:r>
      <w:proofErr w:type="spellStart"/>
      <w:r w:rsidRPr="00507544">
        <w:rPr>
          <w:rFonts w:ascii="Times New Roman" w:hAnsi="Times New Roman"/>
          <w:i/>
          <w:sz w:val="26"/>
          <w:szCs w:val="26"/>
        </w:rPr>
        <w:t>Phila</w:t>
      </w:r>
      <w:proofErr w:type="spellEnd"/>
      <w:r w:rsidRPr="00507544">
        <w:rPr>
          <w:rFonts w:ascii="Times New Roman" w:hAnsi="Times New Roman"/>
          <w:i/>
          <w:sz w:val="26"/>
          <w:szCs w:val="26"/>
        </w:rPr>
        <w:t xml:space="preserve"> Elec. Co.</w:t>
      </w:r>
      <w:r w:rsidRPr="00507544">
        <w:rPr>
          <w:rFonts w:ascii="Times New Roman" w:hAnsi="Times New Roman"/>
          <w:sz w:val="26"/>
          <w:szCs w:val="26"/>
        </w:rPr>
        <w:t>, 760 F.2d 46</w:t>
      </w:r>
      <w:r>
        <w:rPr>
          <w:rFonts w:ascii="Times New Roman" w:hAnsi="Times New Roman"/>
          <w:sz w:val="26"/>
          <w:szCs w:val="26"/>
        </w:rPr>
        <w:t>, 51</w:t>
      </w:r>
      <w:r w:rsidRPr="00507544">
        <w:rPr>
          <w:rFonts w:ascii="Times New Roman" w:hAnsi="Times New Roman"/>
          <w:sz w:val="26"/>
          <w:szCs w:val="26"/>
        </w:rPr>
        <w:t xml:space="preserve"> (</w:t>
      </w:r>
      <w:proofErr w:type="gramStart"/>
      <w:r w:rsidRPr="00507544">
        <w:rPr>
          <w:rFonts w:ascii="Times New Roman" w:hAnsi="Times New Roman"/>
          <w:sz w:val="26"/>
          <w:szCs w:val="26"/>
        </w:rPr>
        <w:t>3d</w:t>
      </w:r>
      <w:proofErr w:type="gramEnd"/>
      <w:r w:rsidRPr="00507544">
        <w:rPr>
          <w:rFonts w:ascii="Times New Roman" w:hAnsi="Times New Roman"/>
          <w:sz w:val="26"/>
          <w:szCs w:val="26"/>
        </w:rPr>
        <w:t xml:space="preserve"> Cir. 1985)</w:t>
      </w:r>
      <w:r>
        <w:rPr>
          <w:rFonts w:ascii="Times New Roman" w:hAnsi="Times New Roman"/>
          <w:sz w:val="26"/>
          <w:szCs w:val="26"/>
        </w:rPr>
        <w:t xml:space="preserve">.  This does not definitively address whether Pennsylvania’s Section 1404(a.1) protection against cash deposits for customers that are confirmed eligible for CAP survives </w:t>
      </w:r>
      <w:proofErr w:type="gramStart"/>
      <w:r>
        <w:rPr>
          <w:rFonts w:ascii="Times New Roman" w:hAnsi="Times New Roman"/>
          <w:sz w:val="26"/>
          <w:szCs w:val="26"/>
        </w:rPr>
        <w:t>a Section</w:t>
      </w:r>
      <w:proofErr w:type="gramEnd"/>
      <w:r>
        <w:rPr>
          <w:rFonts w:ascii="Times New Roman" w:hAnsi="Times New Roman"/>
          <w:sz w:val="26"/>
          <w:szCs w:val="26"/>
        </w:rPr>
        <w:t xml:space="preserve"> 366(b) preemption. </w:t>
      </w:r>
    </w:p>
    <w:p w:rsidR="00CC61BD" w:rsidRDefault="00CC61BD" w:rsidP="00CC61BD">
      <w:pPr>
        <w:autoSpaceDE w:val="0"/>
        <w:autoSpaceDN w:val="0"/>
        <w:spacing w:line="360" w:lineRule="auto"/>
        <w:ind w:firstLine="720"/>
        <w:rPr>
          <w:rFonts w:ascii="Times New Roman" w:hAnsi="Times New Roman"/>
          <w:sz w:val="26"/>
          <w:szCs w:val="26"/>
        </w:rPr>
      </w:pPr>
    </w:p>
    <w:p w:rsidR="00CC61BD" w:rsidRDefault="00CC61BD" w:rsidP="00CC61BD">
      <w:pPr>
        <w:autoSpaceDE w:val="0"/>
        <w:autoSpaceDN w:val="0"/>
        <w:spacing w:line="360" w:lineRule="auto"/>
        <w:ind w:firstLine="720"/>
        <w:rPr>
          <w:rFonts w:ascii="Times New Roman" w:hAnsi="Times New Roman"/>
          <w:sz w:val="26"/>
          <w:szCs w:val="26"/>
        </w:rPr>
      </w:pPr>
      <w:r>
        <w:rPr>
          <w:rFonts w:ascii="Times New Roman" w:hAnsi="Times New Roman"/>
          <w:sz w:val="26"/>
          <w:szCs w:val="26"/>
        </w:rPr>
        <w:t xml:space="preserve">In addition, the Third Circuit Bankruptcy Court held that the language of Section 366(b) provides that a utility “may” terminate service for failure to provide adequate assurance but is not required to do so.  </w:t>
      </w:r>
      <w:proofErr w:type="spellStart"/>
      <w:r w:rsidRPr="005446EF">
        <w:rPr>
          <w:rFonts w:ascii="Times New Roman" w:hAnsi="Times New Roman"/>
          <w:i/>
          <w:sz w:val="26"/>
          <w:szCs w:val="26"/>
        </w:rPr>
        <w:t>Weisel</w:t>
      </w:r>
      <w:proofErr w:type="spellEnd"/>
      <w:r w:rsidRPr="005446EF">
        <w:rPr>
          <w:rFonts w:ascii="Times New Roman" w:hAnsi="Times New Roman"/>
          <w:i/>
          <w:sz w:val="26"/>
          <w:szCs w:val="26"/>
        </w:rPr>
        <w:t xml:space="preserve"> v. Dominion Peoples Gas Co.</w:t>
      </w:r>
      <w:r w:rsidRPr="005446EF">
        <w:rPr>
          <w:rFonts w:ascii="Times New Roman" w:hAnsi="Times New Roman"/>
          <w:sz w:val="26"/>
          <w:szCs w:val="26"/>
        </w:rPr>
        <w:t>, 428 B.R. 185</w:t>
      </w:r>
      <w:r>
        <w:rPr>
          <w:rFonts w:ascii="Times New Roman" w:hAnsi="Times New Roman"/>
          <w:sz w:val="26"/>
          <w:szCs w:val="26"/>
        </w:rPr>
        <w:t>, 187</w:t>
      </w:r>
      <w:r w:rsidRPr="005446EF">
        <w:rPr>
          <w:rFonts w:ascii="Times New Roman" w:hAnsi="Times New Roman"/>
          <w:sz w:val="26"/>
          <w:szCs w:val="26"/>
        </w:rPr>
        <w:t xml:space="preserve"> (</w:t>
      </w:r>
      <w:proofErr w:type="spellStart"/>
      <w:r w:rsidRPr="005446EF">
        <w:rPr>
          <w:rFonts w:ascii="Times New Roman" w:hAnsi="Times New Roman"/>
          <w:sz w:val="26"/>
          <w:szCs w:val="26"/>
        </w:rPr>
        <w:t>Bankr</w:t>
      </w:r>
      <w:proofErr w:type="spellEnd"/>
      <w:proofErr w:type="gramStart"/>
      <w:r w:rsidRPr="005446EF">
        <w:rPr>
          <w:rFonts w:ascii="Times New Roman" w:hAnsi="Times New Roman"/>
          <w:sz w:val="26"/>
          <w:szCs w:val="26"/>
        </w:rPr>
        <w:t xml:space="preserve">. </w:t>
      </w:r>
      <w:proofErr w:type="gramEnd"/>
      <w:r w:rsidRPr="005446EF">
        <w:rPr>
          <w:rFonts w:ascii="Times New Roman" w:hAnsi="Times New Roman"/>
          <w:sz w:val="26"/>
          <w:szCs w:val="26"/>
        </w:rPr>
        <w:t>W.D. Pa. 2010)</w:t>
      </w:r>
      <w:r>
        <w:rPr>
          <w:rFonts w:ascii="Times New Roman" w:hAnsi="Times New Roman"/>
          <w:sz w:val="26"/>
          <w:szCs w:val="26"/>
        </w:rPr>
        <w:t xml:space="preserve">.  </w:t>
      </w:r>
      <w:proofErr w:type="spellStart"/>
      <w:r w:rsidRPr="003C0605">
        <w:rPr>
          <w:rFonts w:ascii="Times New Roman" w:hAnsi="Times New Roman"/>
          <w:i/>
          <w:sz w:val="26"/>
          <w:szCs w:val="26"/>
        </w:rPr>
        <w:t>Weisel</w:t>
      </w:r>
      <w:proofErr w:type="spellEnd"/>
      <w:r>
        <w:rPr>
          <w:rFonts w:ascii="Times New Roman" w:hAnsi="Times New Roman"/>
          <w:sz w:val="26"/>
          <w:szCs w:val="26"/>
        </w:rPr>
        <w:t xml:space="preserve"> does not squarely address the intersection of Section 366(b) and Subsection 1404(a.1).</w:t>
      </w:r>
    </w:p>
    <w:p w:rsidR="00CC61BD" w:rsidRDefault="00CC61BD" w:rsidP="00CC61BD">
      <w:pPr>
        <w:autoSpaceDE w:val="0"/>
        <w:autoSpaceDN w:val="0"/>
        <w:spacing w:line="360" w:lineRule="auto"/>
        <w:rPr>
          <w:rFonts w:ascii="Times New Roman" w:hAnsi="Times New Roman"/>
          <w:sz w:val="26"/>
          <w:szCs w:val="26"/>
        </w:rPr>
      </w:pPr>
    </w:p>
    <w:p w:rsidR="00CC61BD" w:rsidRDefault="00CC61BD" w:rsidP="00CC61BD">
      <w:pPr>
        <w:autoSpaceDE w:val="0"/>
        <w:autoSpaceDN w:val="0"/>
        <w:spacing w:line="360" w:lineRule="auto"/>
        <w:ind w:firstLine="720"/>
        <w:rPr>
          <w:rFonts w:ascii="Times New Roman" w:hAnsi="Times New Roman"/>
          <w:sz w:val="26"/>
          <w:szCs w:val="26"/>
        </w:rPr>
      </w:pPr>
      <w:r>
        <w:rPr>
          <w:rFonts w:ascii="Times New Roman" w:hAnsi="Times New Roman"/>
          <w:sz w:val="26"/>
          <w:szCs w:val="26"/>
        </w:rPr>
        <w:t>Section § 366(b) specifically requires a utility to restore service after a customer files a petition for ban</w:t>
      </w:r>
      <w:bookmarkStart w:id="0" w:name="_GoBack"/>
      <w:bookmarkEnd w:id="0"/>
      <w:r>
        <w:rPr>
          <w:rFonts w:ascii="Times New Roman" w:hAnsi="Times New Roman"/>
          <w:sz w:val="26"/>
          <w:szCs w:val="26"/>
        </w:rPr>
        <w:t xml:space="preserve">kruptcy and before the customer provides security deposit or other assurance if the customer so requests within 20 days.  </w:t>
      </w:r>
      <w:r>
        <w:rPr>
          <w:rFonts w:ascii="Times New Roman" w:hAnsi="Times New Roman"/>
          <w:i/>
          <w:sz w:val="26"/>
          <w:szCs w:val="26"/>
        </w:rPr>
        <w:t>In re Whittaker</w:t>
      </w:r>
      <w:r>
        <w:rPr>
          <w:rFonts w:ascii="Times New Roman" w:hAnsi="Times New Roman"/>
          <w:sz w:val="26"/>
          <w:szCs w:val="26"/>
        </w:rPr>
        <w:t>, 882 F.2d 791, 793 (3d</w:t>
      </w:r>
      <w:proofErr w:type="gramStart"/>
      <w:r>
        <w:rPr>
          <w:rFonts w:ascii="Times New Roman" w:hAnsi="Times New Roman"/>
          <w:sz w:val="26"/>
          <w:szCs w:val="26"/>
        </w:rPr>
        <w:t>. Cir. 1989).</w:t>
      </w:r>
      <w:proofErr w:type="gramEnd"/>
      <w:r>
        <w:rPr>
          <w:rFonts w:ascii="Times New Roman" w:hAnsi="Times New Roman"/>
          <w:sz w:val="26"/>
          <w:szCs w:val="26"/>
        </w:rPr>
        <w:t xml:space="preserve">  </w:t>
      </w:r>
    </w:p>
    <w:p w:rsidR="00CC61BD" w:rsidRDefault="00CC61BD" w:rsidP="00CC61BD">
      <w:pPr>
        <w:autoSpaceDE w:val="0"/>
        <w:autoSpaceDN w:val="0"/>
        <w:spacing w:line="360" w:lineRule="auto"/>
        <w:ind w:firstLine="720"/>
        <w:rPr>
          <w:rFonts w:ascii="Times New Roman" w:hAnsi="Times New Roman"/>
          <w:sz w:val="26"/>
          <w:szCs w:val="26"/>
        </w:rPr>
      </w:pPr>
    </w:p>
    <w:p w:rsidR="00CC61BD" w:rsidRDefault="00CC61BD" w:rsidP="00CC61BD">
      <w:pPr>
        <w:autoSpaceDE w:val="0"/>
        <w:autoSpaceDN w:val="0"/>
        <w:spacing w:line="360" w:lineRule="auto"/>
        <w:ind w:firstLine="720"/>
        <w:rPr>
          <w:rFonts w:ascii="Times New Roman" w:hAnsi="Times New Roman"/>
          <w:sz w:val="26"/>
          <w:szCs w:val="26"/>
        </w:rPr>
      </w:pPr>
      <w:r>
        <w:rPr>
          <w:rFonts w:ascii="Times New Roman" w:hAnsi="Times New Roman"/>
          <w:sz w:val="26"/>
          <w:szCs w:val="26"/>
        </w:rPr>
        <w:t>When we balance the lack of clearly on-point provisions in the Third Circuit and the decisions of other state bankruptcy courts, we are persuaded that PECO may request adequate assurance consistent with Section 366(b).</w:t>
      </w:r>
    </w:p>
    <w:sectPr w:rsidR="00CC61BD" w:rsidSect="00710E66">
      <w:headerReference w:type="even" r:id="rId8"/>
      <w:headerReference w:type="default" r:id="rId9"/>
      <w:footerReference w:type="even" r:id="rId10"/>
      <w:footerReference w:type="default" r:id="rId11"/>
      <w:pgSz w:w="12240" w:h="15840"/>
      <w:pgMar w:top="1440" w:right="1440" w:bottom="1440" w:left="1440" w:header="720" w:footer="720" w:gutter="0"/>
      <w:pgNumType w:start="4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8B6" w:rsidRDefault="008A38B6" w:rsidP="00CC61BD">
      <w:pPr>
        <w:spacing w:after="0" w:line="240" w:lineRule="auto"/>
      </w:pPr>
      <w:r>
        <w:separator/>
      </w:r>
    </w:p>
  </w:endnote>
  <w:endnote w:type="continuationSeparator" w:id="0">
    <w:p w:rsidR="008A38B6" w:rsidRDefault="008A38B6" w:rsidP="00CC6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E66" w:rsidRDefault="00710E66" w:rsidP="00710E66">
    <w:pPr>
      <w:pStyle w:val="Footer"/>
      <w:jc w:val="center"/>
    </w:pPr>
    <w:r>
      <w:t>41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9322923"/>
      <w:docPartObj>
        <w:docPartGallery w:val="Page Numbers (Bottom of Page)"/>
        <w:docPartUnique/>
      </w:docPartObj>
    </w:sdtPr>
    <w:sdtEndPr>
      <w:rPr>
        <w:noProof/>
      </w:rPr>
    </w:sdtEndPr>
    <w:sdtContent>
      <w:p w:rsidR="00CC61BD" w:rsidRDefault="00710E66">
        <w:pPr>
          <w:pStyle w:val="Footer"/>
          <w:jc w:val="center"/>
        </w:pPr>
        <w:r>
          <w:t>40</w:t>
        </w:r>
      </w:p>
    </w:sdtContent>
  </w:sdt>
  <w:p w:rsidR="00CC61BD" w:rsidRDefault="00CC61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8B6" w:rsidRDefault="008A38B6" w:rsidP="00CC61BD">
      <w:pPr>
        <w:spacing w:after="0" w:line="240" w:lineRule="auto"/>
      </w:pPr>
      <w:r>
        <w:separator/>
      </w:r>
    </w:p>
  </w:footnote>
  <w:footnote w:type="continuationSeparator" w:id="0">
    <w:p w:rsidR="008A38B6" w:rsidRDefault="008A38B6" w:rsidP="00CC61BD">
      <w:pPr>
        <w:spacing w:after="0" w:line="240" w:lineRule="auto"/>
      </w:pPr>
      <w:r>
        <w:continuationSeparator/>
      </w:r>
    </w:p>
  </w:footnote>
  <w:footnote w:id="1">
    <w:p w:rsidR="00CC61BD" w:rsidRPr="00E0255B" w:rsidRDefault="00CC61BD" w:rsidP="00CC61BD">
      <w:pPr>
        <w:pStyle w:val="FootnoteText"/>
        <w:rPr>
          <w:sz w:val="22"/>
          <w:szCs w:val="22"/>
        </w:rPr>
      </w:pPr>
      <w:r w:rsidRPr="00E0255B">
        <w:rPr>
          <w:rStyle w:val="FootnoteReference"/>
          <w:sz w:val="22"/>
          <w:szCs w:val="22"/>
        </w:rPr>
        <w:footnoteRef/>
      </w:r>
      <w:r w:rsidRPr="00E0255B">
        <w:rPr>
          <w:sz w:val="22"/>
          <w:szCs w:val="22"/>
        </w:rPr>
        <w:t xml:space="preserve">  We recognize that this case predates Chapter 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E66" w:rsidRDefault="00710E66" w:rsidP="00710E66">
    <w:pPr>
      <w:pStyle w:val="Header"/>
      <w:jc w:val="center"/>
    </w:pPr>
    <w:r>
      <w:t>CORRECTED PAGE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1BD" w:rsidRDefault="00CC61BD" w:rsidP="00CC61BD">
    <w:pPr>
      <w:pStyle w:val="Header"/>
      <w:jc w:val="center"/>
    </w:pPr>
    <w:r>
      <w:t>CORRECTED PAGE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876F9E"/>
    <w:multiLevelType w:val="hybridMultilevel"/>
    <w:tmpl w:val="B240E2F8"/>
    <w:lvl w:ilvl="0" w:tplc="770A1ED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E22268"/>
    <w:multiLevelType w:val="hybridMultilevel"/>
    <w:tmpl w:val="72547F2A"/>
    <w:lvl w:ilvl="0" w:tplc="A92A3CD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1BD"/>
    <w:rsid w:val="005369C3"/>
    <w:rsid w:val="00710E66"/>
    <w:rsid w:val="00871C2B"/>
    <w:rsid w:val="008A38B6"/>
    <w:rsid w:val="00CC6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1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1,Footnote Text Char1 Char Char,Footnote Text Char Char1 Char Char,Footnote Text Char2 Char Char1 Char Char,Footnote Text Char1 Char Char Char Char Char1"/>
    <w:basedOn w:val="Normal"/>
    <w:link w:val="FootnoteTextChar"/>
    <w:uiPriority w:val="99"/>
    <w:rsid w:val="00CC61B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Footnote Text Char Char1 Char,Footnote Text Char1 Char Char Char,Footnote Text Char Char1 Char Char Char,Footnote Text Char2 Char Char1 Char Char Char,Footnote Text Char1 Char Char Char Char Char1 Char"/>
    <w:basedOn w:val="DefaultParagraphFont"/>
    <w:link w:val="FootnoteText"/>
    <w:uiPriority w:val="99"/>
    <w:rsid w:val="00CC61BD"/>
    <w:rPr>
      <w:rFonts w:ascii="Times New Roman" w:eastAsia="Times New Roman" w:hAnsi="Times New Roman" w:cs="Times New Roman"/>
      <w:sz w:val="20"/>
      <w:szCs w:val="20"/>
    </w:rPr>
  </w:style>
  <w:style w:type="character" w:styleId="FootnoteReference">
    <w:name w:val="footnote reference"/>
    <w:aliases w:val="o,fr,footnote text"/>
    <w:basedOn w:val="DefaultParagraphFont"/>
    <w:uiPriority w:val="99"/>
    <w:rsid w:val="00CC61BD"/>
    <w:rPr>
      <w:vertAlign w:val="superscript"/>
    </w:rPr>
  </w:style>
  <w:style w:type="paragraph" w:styleId="ListParagraph">
    <w:name w:val="List Paragraph"/>
    <w:basedOn w:val="Normal"/>
    <w:uiPriority w:val="34"/>
    <w:qFormat/>
    <w:rsid w:val="00CC61BD"/>
    <w:pPr>
      <w:ind w:left="720"/>
      <w:contextualSpacing/>
    </w:pPr>
  </w:style>
  <w:style w:type="paragraph" w:styleId="Header">
    <w:name w:val="header"/>
    <w:basedOn w:val="Normal"/>
    <w:link w:val="HeaderChar"/>
    <w:uiPriority w:val="99"/>
    <w:unhideWhenUsed/>
    <w:rsid w:val="00CC61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1BD"/>
  </w:style>
  <w:style w:type="paragraph" w:styleId="Footer">
    <w:name w:val="footer"/>
    <w:basedOn w:val="Normal"/>
    <w:link w:val="FooterChar"/>
    <w:uiPriority w:val="99"/>
    <w:unhideWhenUsed/>
    <w:rsid w:val="00CC61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1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1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1,Footnote Text Char1 Char Char,Footnote Text Char Char1 Char Char,Footnote Text Char2 Char Char1 Char Char,Footnote Text Char1 Char Char Char Char Char1"/>
    <w:basedOn w:val="Normal"/>
    <w:link w:val="FootnoteTextChar"/>
    <w:uiPriority w:val="99"/>
    <w:rsid w:val="00CC61B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Footnote Text Char Char1 Char,Footnote Text Char1 Char Char Char,Footnote Text Char Char1 Char Char Char,Footnote Text Char2 Char Char1 Char Char Char,Footnote Text Char1 Char Char Char Char Char1 Char"/>
    <w:basedOn w:val="DefaultParagraphFont"/>
    <w:link w:val="FootnoteText"/>
    <w:uiPriority w:val="99"/>
    <w:rsid w:val="00CC61BD"/>
    <w:rPr>
      <w:rFonts w:ascii="Times New Roman" w:eastAsia="Times New Roman" w:hAnsi="Times New Roman" w:cs="Times New Roman"/>
      <w:sz w:val="20"/>
      <w:szCs w:val="20"/>
    </w:rPr>
  </w:style>
  <w:style w:type="character" w:styleId="FootnoteReference">
    <w:name w:val="footnote reference"/>
    <w:aliases w:val="o,fr,footnote text"/>
    <w:basedOn w:val="DefaultParagraphFont"/>
    <w:uiPriority w:val="99"/>
    <w:rsid w:val="00CC61BD"/>
    <w:rPr>
      <w:vertAlign w:val="superscript"/>
    </w:rPr>
  </w:style>
  <w:style w:type="paragraph" w:styleId="ListParagraph">
    <w:name w:val="List Paragraph"/>
    <w:basedOn w:val="Normal"/>
    <w:uiPriority w:val="34"/>
    <w:qFormat/>
    <w:rsid w:val="00CC61BD"/>
    <w:pPr>
      <w:ind w:left="720"/>
      <w:contextualSpacing/>
    </w:pPr>
  </w:style>
  <w:style w:type="paragraph" w:styleId="Header">
    <w:name w:val="header"/>
    <w:basedOn w:val="Normal"/>
    <w:link w:val="HeaderChar"/>
    <w:uiPriority w:val="99"/>
    <w:unhideWhenUsed/>
    <w:rsid w:val="00CC61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1BD"/>
  </w:style>
  <w:style w:type="paragraph" w:styleId="Footer">
    <w:name w:val="footer"/>
    <w:basedOn w:val="Normal"/>
    <w:link w:val="FooterChar"/>
    <w:uiPriority w:val="99"/>
    <w:unhideWhenUsed/>
    <w:rsid w:val="00CC61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Fink Smith, Louise</dc:creator>
  <cp:lastModifiedBy>Magee, Joseph</cp:lastModifiedBy>
  <cp:revision>2</cp:revision>
  <dcterms:created xsi:type="dcterms:W3CDTF">2016-12-01T14:39:00Z</dcterms:created>
  <dcterms:modified xsi:type="dcterms:W3CDTF">2016-12-01T14:39:00Z</dcterms:modified>
</cp:coreProperties>
</file>