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4A0" w:firstRow="1" w:lastRow="0" w:firstColumn="1" w:lastColumn="0" w:noHBand="0" w:noVBand="1"/>
      </w:tblPr>
      <w:tblGrid>
        <w:gridCol w:w="1363"/>
        <w:gridCol w:w="8075"/>
        <w:gridCol w:w="1452"/>
      </w:tblGrid>
      <w:tr w:rsidR="00427437" w:rsidTr="00427437">
        <w:trPr>
          <w:trHeight w:val="990"/>
          <w:jc w:val="center"/>
        </w:trPr>
        <w:tc>
          <w:tcPr>
            <w:tcW w:w="1363" w:type="dxa"/>
            <w:hideMark/>
          </w:tcPr>
          <w:p w:rsidR="00427437" w:rsidRDefault="00427437">
            <w:pPr>
              <w:jc w:val="right"/>
            </w:pPr>
            <w:r>
              <w:rPr>
                <w:noProof/>
              </w:rPr>
              <w:drawing>
                <wp:inline distT="0" distB="0" distL="0" distR="0" wp14:anchorId="25BBDDD0" wp14:editId="33394C9B">
                  <wp:extent cx="838200" cy="830580"/>
                  <wp:effectExtent l="0" t="0" r="0" b="762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0580"/>
                          </a:xfrm>
                          <a:prstGeom prst="rect">
                            <a:avLst/>
                          </a:prstGeom>
                          <a:noFill/>
                          <a:ln>
                            <a:noFill/>
                          </a:ln>
                        </pic:spPr>
                      </pic:pic>
                    </a:graphicData>
                  </a:graphic>
                </wp:inline>
              </w:drawing>
            </w:r>
          </w:p>
        </w:tc>
        <w:tc>
          <w:tcPr>
            <w:tcW w:w="8075" w:type="dxa"/>
          </w:tcPr>
          <w:p w:rsidR="00427437" w:rsidRDefault="00427437">
            <w:pPr>
              <w:suppressAutoHyphens/>
              <w:spacing w:line="204" w:lineRule="auto"/>
              <w:jc w:val="center"/>
              <w:rPr>
                <w:rFonts w:ascii="Arial" w:hAnsi="Arial"/>
                <w:color w:val="000080"/>
                <w:spacing w:val="-3"/>
                <w:sz w:val="26"/>
              </w:rPr>
            </w:pPr>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27437" w:rsidRDefault="0042743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11B24" w:rsidRDefault="003B62B4" w:rsidP="003B62B4">
      <w:pPr>
        <w:jc w:val="center"/>
        <w:rPr>
          <w:color w:val="000000"/>
          <w:szCs w:val="24"/>
        </w:rPr>
      </w:pPr>
      <w:r>
        <w:rPr>
          <w:color w:val="000000"/>
          <w:szCs w:val="24"/>
        </w:rPr>
        <w:t>December 6, 2016</w:t>
      </w:r>
    </w:p>
    <w:p w:rsidR="004376E3" w:rsidRPr="007C4A66" w:rsidRDefault="00D11B24" w:rsidP="00D11B24">
      <w:pPr>
        <w:tabs>
          <w:tab w:val="left" w:pos="984"/>
        </w:tabs>
        <w:jc w:val="right"/>
        <w:rPr>
          <w:szCs w:val="24"/>
        </w:rPr>
      </w:pPr>
      <w:r>
        <w:rPr>
          <w:color w:val="000000"/>
          <w:szCs w:val="24"/>
        </w:rPr>
        <w:tab/>
      </w:r>
      <w:r w:rsidR="004376E3" w:rsidRPr="007C4A66">
        <w:rPr>
          <w:szCs w:val="24"/>
        </w:rPr>
        <w:t>Docket No. R-20</w:t>
      </w:r>
      <w:r w:rsidR="007C4A66" w:rsidRPr="007C4A66">
        <w:rPr>
          <w:szCs w:val="24"/>
        </w:rPr>
        <w:t>16</w:t>
      </w:r>
      <w:r w:rsidR="004376E3" w:rsidRPr="007C4A66">
        <w:rPr>
          <w:szCs w:val="24"/>
        </w:rPr>
        <w:t>-</w:t>
      </w:r>
      <w:r w:rsidR="007C4A66" w:rsidRPr="007C4A66">
        <w:rPr>
          <w:szCs w:val="24"/>
        </w:rPr>
        <w:t>257692</w:t>
      </w:r>
      <w:r w:rsidR="006E5B1D">
        <w:rPr>
          <w:szCs w:val="24"/>
        </w:rPr>
        <w:t>7</w:t>
      </w:r>
      <w:r w:rsidR="002E5260" w:rsidRPr="007C4A66">
        <w:rPr>
          <w:szCs w:val="24"/>
        </w:rPr>
        <w:fldChar w:fldCharType="begin">
          <w:ffData>
            <w:name w:val="Text15"/>
            <w:enabled/>
            <w:calcOnExit w:val="0"/>
            <w:textInput/>
          </w:ffData>
        </w:fldChar>
      </w:r>
      <w:r w:rsidR="004376E3" w:rsidRPr="007C4A66">
        <w:rPr>
          <w:szCs w:val="24"/>
        </w:rPr>
        <w:instrText xml:space="preserve"> FORMTEXT </w:instrText>
      </w:r>
      <w:r w:rsidR="00057CEA">
        <w:rPr>
          <w:szCs w:val="24"/>
        </w:rPr>
      </w:r>
      <w:r w:rsidR="00057CEA">
        <w:rPr>
          <w:szCs w:val="24"/>
        </w:rPr>
        <w:fldChar w:fldCharType="separate"/>
      </w:r>
      <w:r w:rsidR="002E5260" w:rsidRPr="007C4A66">
        <w:rPr>
          <w:szCs w:val="24"/>
        </w:rPr>
        <w:fldChar w:fldCharType="end"/>
      </w:r>
    </w:p>
    <w:p w:rsidR="007C4A66" w:rsidRPr="007C4A66" w:rsidRDefault="004376E3" w:rsidP="007C4A66">
      <w:pPr>
        <w:pStyle w:val="BodyText"/>
        <w:jc w:val="right"/>
      </w:pPr>
      <w:r w:rsidRPr="007C4A66">
        <w:rPr>
          <w:szCs w:val="24"/>
        </w:rPr>
        <w:t xml:space="preserve">                                                                           </w:t>
      </w:r>
      <w:r w:rsidRPr="007C4A66">
        <w:t xml:space="preserve">Utility Code: </w:t>
      </w:r>
      <w:r w:rsidR="006E5B1D">
        <w:t>310800</w:t>
      </w:r>
    </w:p>
    <w:p w:rsidR="007C4A66" w:rsidRPr="007C4A66" w:rsidRDefault="007C4A66" w:rsidP="007C4A66">
      <w:pPr>
        <w:pStyle w:val="BodyText"/>
        <w:jc w:val="right"/>
      </w:pPr>
    </w:p>
    <w:p w:rsidR="007C4A66" w:rsidRPr="007C4A66" w:rsidRDefault="007C4A66" w:rsidP="00D11B24">
      <w:pPr>
        <w:rPr>
          <w:caps/>
          <w:szCs w:val="24"/>
        </w:rPr>
      </w:pPr>
      <w:r w:rsidRPr="007C4A66">
        <w:rPr>
          <w:caps/>
          <w:szCs w:val="24"/>
        </w:rPr>
        <w:t>JESSICA TIERNEY</w:t>
      </w:r>
    </w:p>
    <w:p w:rsidR="004376E3" w:rsidRPr="007C4A66" w:rsidRDefault="007C4A66" w:rsidP="00D11B24">
      <w:pPr>
        <w:rPr>
          <w:caps/>
          <w:szCs w:val="24"/>
        </w:rPr>
      </w:pPr>
      <w:r w:rsidRPr="007C4A66">
        <w:rPr>
          <w:caps/>
          <w:szCs w:val="24"/>
        </w:rPr>
        <w:t>FRONTIER COMMUNICATIONS SOLUTIONS</w:t>
      </w:r>
      <w:r w:rsidR="004376E3" w:rsidRPr="007C4A66">
        <w:rPr>
          <w:caps/>
          <w:szCs w:val="24"/>
        </w:rPr>
        <w:t xml:space="preserve">                                              </w:t>
      </w:r>
    </w:p>
    <w:p w:rsidR="004376E3" w:rsidRPr="007C4A66" w:rsidRDefault="007C4A66" w:rsidP="00D11B24">
      <w:pPr>
        <w:rPr>
          <w:szCs w:val="24"/>
        </w:rPr>
      </w:pPr>
      <w:r w:rsidRPr="007C4A66">
        <w:rPr>
          <w:szCs w:val="24"/>
        </w:rPr>
        <w:t>21 WEST AVENUE</w:t>
      </w:r>
    </w:p>
    <w:p w:rsidR="004376E3" w:rsidRPr="007C4A66" w:rsidRDefault="007C4A66" w:rsidP="00D11B24">
      <w:pPr>
        <w:rPr>
          <w:szCs w:val="24"/>
        </w:rPr>
      </w:pPr>
      <w:r w:rsidRPr="007C4A66">
        <w:rPr>
          <w:szCs w:val="24"/>
        </w:rPr>
        <w:t>SPENCERPORT NY 14559</w:t>
      </w:r>
    </w:p>
    <w:p w:rsidR="004376E3" w:rsidRPr="00E9717D" w:rsidRDefault="004376E3" w:rsidP="00D11B24">
      <w:pPr>
        <w:ind w:left="-90" w:firstLine="90"/>
        <w:jc w:val="both"/>
        <w:rPr>
          <w:szCs w:val="24"/>
        </w:rPr>
      </w:pPr>
    </w:p>
    <w:p w:rsidR="004376E3" w:rsidRPr="007C4A66" w:rsidRDefault="004376E3" w:rsidP="00D11B24">
      <w:pPr>
        <w:ind w:left="1440" w:hanging="720"/>
        <w:jc w:val="both"/>
        <w:rPr>
          <w:szCs w:val="24"/>
        </w:rPr>
      </w:pPr>
      <w:r w:rsidRPr="00E9717D">
        <w:rPr>
          <w:szCs w:val="24"/>
        </w:rPr>
        <w:t>Re:</w:t>
      </w:r>
      <w:r w:rsidRPr="00E9717D">
        <w:rPr>
          <w:szCs w:val="24"/>
        </w:rPr>
        <w:tab/>
      </w:r>
      <w:r w:rsidR="007C4A66" w:rsidRPr="007C4A66">
        <w:rPr>
          <w:szCs w:val="24"/>
        </w:rPr>
        <w:t xml:space="preserve">Frontier Communications </w:t>
      </w:r>
      <w:r w:rsidR="006E5B1D">
        <w:rPr>
          <w:szCs w:val="24"/>
        </w:rPr>
        <w:t>Commonwealth Telephone Company</w:t>
      </w:r>
    </w:p>
    <w:p w:rsidR="004376E3" w:rsidRPr="007C4A66" w:rsidRDefault="004376E3" w:rsidP="00D11B24">
      <w:pPr>
        <w:ind w:left="1440"/>
        <w:jc w:val="both"/>
        <w:rPr>
          <w:szCs w:val="24"/>
        </w:rPr>
      </w:pPr>
      <w:r w:rsidRPr="007C4A66">
        <w:rPr>
          <w:szCs w:val="24"/>
        </w:rPr>
        <w:t>Revisions to</w:t>
      </w:r>
      <w:r w:rsidR="00D6112F">
        <w:rPr>
          <w:szCs w:val="24"/>
        </w:rPr>
        <w:t xml:space="preserve"> Informational Tariff for Competitive Services</w:t>
      </w:r>
    </w:p>
    <w:p w:rsidR="004376E3" w:rsidRPr="007C4A66" w:rsidRDefault="004376E3" w:rsidP="00D11B24">
      <w:pPr>
        <w:rPr>
          <w:szCs w:val="24"/>
        </w:rPr>
      </w:pPr>
    </w:p>
    <w:p w:rsidR="004376E3" w:rsidRPr="007C4A66" w:rsidRDefault="004376E3" w:rsidP="00D11B24">
      <w:pPr>
        <w:rPr>
          <w:szCs w:val="24"/>
        </w:rPr>
      </w:pPr>
      <w:r w:rsidRPr="007C4A66">
        <w:rPr>
          <w:szCs w:val="24"/>
        </w:rPr>
        <w:t>Dear M</w:t>
      </w:r>
      <w:r w:rsidR="007C4A66">
        <w:rPr>
          <w:szCs w:val="24"/>
        </w:rPr>
        <w:t>s. Tierney</w:t>
      </w:r>
      <w:r w:rsidRPr="007C4A66">
        <w:rPr>
          <w:szCs w:val="24"/>
        </w:rPr>
        <w:t>:</w:t>
      </w:r>
    </w:p>
    <w:p w:rsidR="00D11B24" w:rsidRDefault="00D11B24" w:rsidP="00D11B24">
      <w:pPr>
        <w:rPr>
          <w:szCs w:val="24"/>
        </w:rPr>
      </w:pPr>
    </w:p>
    <w:p w:rsidR="00734009" w:rsidRPr="00BE7C84" w:rsidRDefault="00734009" w:rsidP="00D11B24">
      <w:pPr>
        <w:pStyle w:val="BodyText"/>
        <w:ind w:firstLine="720"/>
        <w:rPr>
          <w:szCs w:val="24"/>
        </w:rPr>
      </w:pPr>
      <w:r w:rsidRPr="00BE7C84">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BE7C84" w:rsidRDefault="00272D3C" w:rsidP="00D11B24">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rsidTr="00145849">
        <w:trPr>
          <w:tblHeader/>
          <w:jc w:val="center"/>
        </w:trPr>
        <w:tc>
          <w:tcPr>
            <w:tcW w:w="1471" w:type="dxa"/>
          </w:tcPr>
          <w:p w:rsidR="009575BA" w:rsidRPr="00272D3C" w:rsidRDefault="009575BA" w:rsidP="00D11B24">
            <w:pPr>
              <w:pStyle w:val="BodyText"/>
              <w:jc w:val="center"/>
              <w:rPr>
                <w:b/>
                <w:szCs w:val="24"/>
              </w:rPr>
            </w:pPr>
            <w:r w:rsidRPr="00272D3C">
              <w:rPr>
                <w:b/>
                <w:szCs w:val="24"/>
              </w:rPr>
              <w:t xml:space="preserve">Supplement </w:t>
            </w:r>
          </w:p>
        </w:tc>
        <w:tc>
          <w:tcPr>
            <w:tcW w:w="1440" w:type="dxa"/>
          </w:tcPr>
          <w:p w:rsidR="00145849" w:rsidRPr="00272D3C" w:rsidRDefault="009575BA" w:rsidP="00C8376E">
            <w:pPr>
              <w:pStyle w:val="BodyText"/>
              <w:jc w:val="center"/>
              <w:rPr>
                <w:b/>
                <w:szCs w:val="24"/>
              </w:rPr>
            </w:pPr>
            <w:r w:rsidRPr="00272D3C">
              <w:rPr>
                <w:b/>
                <w:szCs w:val="24"/>
              </w:rPr>
              <w:t xml:space="preserve">Tariff </w:t>
            </w:r>
          </w:p>
        </w:tc>
        <w:tc>
          <w:tcPr>
            <w:tcW w:w="3653" w:type="dxa"/>
          </w:tcPr>
          <w:p w:rsidR="009575BA" w:rsidRPr="00272D3C" w:rsidRDefault="009575BA" w:rsidP="00D11B24">
            <w:pPr>
              <w:pStyle w:val="BodyText"/>
              <w:jc w:val="center"/>
              <w:rPr>
                <w:b/>
                <w:szCs w:val="24"/>
              </w:rPr>
            </w:pPr>
            <w:r w:rsidRPr="00272D3C">
              <w:rPr>
                <w:b/>
                <w:szCs w:val="24"/>
              </w:rPr>
              <w:t>Description</w:t>
            </w:r>
          </w:p>
        </w:tc>
        <w:tc>
          <w:tcPr>
            <w:tcW w:w="1350" w:type="dxa"/>
          </w:tcPr>
          <w:p w:rsidR="009575BA" w:rsidRPr="00272D3C" w:rsidRDefault="009575BA" w:rsidP="00D11B24">
            <w:pPr>
              <w:pStyle w:val="BodyText"/>
              <w:jc w:val="center"/>
              <w:rPr>
                <w:b/>
                <w:szCs w:val="24"/>
              </w:rPr>
            </w:pPr>
            <w:r w:rsidRPr="00272D3C">
              <w:rPr>
                <w:b/>
                <w:szCs w:val="24"/>
              </w:rPr>
              <w:t>Filed</w:t>
            </w:r>
          </w:p>
        </w:tc>
        <w:tc>
          <w:tcPr>
            <w:tcW w:w="1327" w:type="dxa"/>
          </w:tcPr>
          <w:p w:rsidR="009575BA" w:rsidRPr="00272D3C" w:rsidRDefault="009575BA" w:rsidP="00D11B24">
            <w:pPr>
              <w:pStyle w:val="BodyText"/>
              <w:jc w:val="center"/>
              <w:rPr>
                <w:b/>
                <w:szCs w:val="24"/>
              </w:rPr>
            </w:pPr>
            <w:r w:rsidRPr="00272D3C">
              <w:rPr>
                <w:b/>
                <w:szCs w:val="24"/>
              </w:rPr>
              <w:t>Effective</w:t>
            </w:r>
          </w:p>
        </w:tc>
      </w:tr>
      <w:tr w:rsidR="009575BA" w:rsidRPr="00272D3C" w:rsidTr="00145849">
        <w:trPr>
          <w:jc w:val="center"/>
        </w:trPr>
        <w:tc>
          <w:tcPr>
            <w:tcW w:w="1471" w:type="dxa"/>
          </w:tcPr>
          <w:p w:rsidR="009575BA" w:rsidRPr="00272D3C" w:rsidRDefault="00C8376E" w:rsidP="00D11B24">
            <w:pPr>
              <w:pStyle w:val="BodyText"/>
              <w:jc w:val="center"/>
              <w:rPr>
                <w:szCs w:val="24"/>
              </w:rPr>
            </w:pPr>
            <w:r>
              <w:rPr>
                <w:szCs w:val="24"/>
              </w:rPr>
              <w:t>2</w:t>
            </w:r>
            <w:r w:rsidR="006E5B1D">
              <w:rPr>
                <w:szCs w:val="24"/>
              </w:rPr>
              <w:t>6</w:t>
            </w:r>
          </w:p>
        </w:tc>
        <w:tc>
          <w:tcPr>
            <w:tcW w:w="1440" w:type="dxa"/>
          </w:tcPr>
          <w:p w:rsidR="009575BA" w:rsidRPr="00272D3C" w:rsidRDefault="00C8376E" w:rsidP="00D11B24">
            <w:pPr>
              <w:pStyle w:val="BodyText"/>
              <w:jc w:val="center"/>
              <w:rPr>
                <w:szCs w:val="24"/>
              </w:rPr>
            </w:pPr>
            <w:r>
              <w:rPr>
                <w:szCs w:val="24"/>
              </w:rPr>
              <w:t>500</w:t>
            </w:r>
          </w:p>
        </w:tc>
        <w:tc>
          <w:tcPr>
            <w:tcW w:w="3653" w:type="dxa"/>
          </w:tcPr>
          <w:p w:rsidR="009575BA" w:rsidRPr="00272D3C" w:rsidRDefault="00C8376E" w:rsidP="00D6112F">
            <w:pPr>
              <w:pStyle w:val="BodyText"/>
              <w:rPr>
                <w:szCs w:val="24"/>
              </w:rPr>
            </w:pPr>
            <w:r>
              <w:rPr>
                <w:szCs w:val="24"/>
              </w:rPr>
              <w:t>Rate increase</w:t>
            </w:r>
            <w:r w:rsidR="00D6112F">
              <w:rPr>
                <w:szCs w:val="24"/>
              </w:rPr>
              <w:t>s for certain custom calling services</w:t>
            </w:r>
          </w:p>
        </w:tc>
        <w:tc>
          <w:tcPr>
            <w:tcW w:w="1350" w:type="dxa"/>
          </w:tcPr>
          <w:p w:rsidR="009575BA" w:rsidRPr="00F609A9" w:rsidRDefault="00C8376E" w:rsidP="00C8376E">
            <w:pPr>
              <w:pStyle w:val="BodyText"/>
              <w:jc w:val="center"/>
              <w:rPr>
                <w:szCs w:val="24"/>
              </w:rPr>
            </w:pPr>
            <w:r w:rsidRPr="00F609A9">
              <w:rPr>
                <w:szCs w:val="24"/>
              </w:rPr>
              <w:t>11</w:t>
            </w:r>
            <w:r w:rsidR="009575BA" w:rsidRPr="00F609A9">
              <w:rPr>
                <w:szCs w:val="24"/>
              </w:rPr>
              <w:t>/</w:t>
            </w:r>
            <w:r w:rsidRPr="00F609A9">
              <w:rPr>
                <w:szCs w:val="24"/>
              </w:rPr>
              <w:t>23/2016</w:t>
            </w:r>
          </w:p>
        </w:tc>
        <w:tc>
          <w:tcPr>
            <w:tcW w:w="1327" w:type="dxa"/>
          </w:tcPr>
          <w:p w:rsidR="009575BA" w:rsidRPr="00F609A9" w:rsidRDefault="00C8376E" w:rsidP="00C8376E">
            <w:pPr>
              <w:pStyle w:val="BodyText"/>
              <w:jc w:val="center"/>
              <w:rPr>
                <w:szCs w:val="24"/>
              </w:rPr>
            </w:pPr>
            <w:r w:rsidRPr="00F609A9">
              <w:rPr>
                <w:szCs w:val="24"/>
              </w:rPr>
              <w:t>12/11/2016</w:t>
            </w:r>
          </w:p>
        </w:tc>
      </w:tr>
    </w:tbl>
    <w:p w:rsidR="00EC6600" w:rsidRDefault="00EC6600" w:rsidP="00D11B24">
      <w:pPr>
        <w:pStyle w:val="BodyText"/>
        <w:ind w:firstLine="720"/>
        <w:rPr>
          <w:szCs w:val="24"/>
        </w:rPr>
      </w:pPr>
    </w:p>
    <w:p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  If you have any questions in this matter, please contact</w:t>
      </w:r>
      <w:r w:rsidR="007D33A4">
        <w:rPr>
          <w:szCs w:val="24"/>
        </w:rPr>
        <w:t xml:space="preserve"> Eric Jeschke</w:t>
      </w:r>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proofErr w:type="gramStart"/>
      <w:r w:rsidRPr="00E9717D">
        <w:rPr>
          <w:szCs w:val="24"/>
        </w:rPr>
        <w:t>Bureau</w:t>
      </w:r>
      <w:proofErr w:type="gramEnd"/>
      <w:r w:rsidRPr="00E9717D">
        <w:rPr>
          <w:szCs w:val="24"/>
        </w:rPr>
        <w:t xml:space="preserve"> of </w:t>
      </w:r>
      <w:r w:rsidR="00AE4FCE">
        <w:rPr>
          <w:szCs w:val="24"/>
        </w:rPr>
        <w:t>Technical</w:t>
      </w:r>
      <w:r w:rsidRPr="00E9717D">
        <w:rPr>
          <w:szCs w:val="24"/>
        </w:rPr>
        <w:t xml:space="preserve"> Utility Services </w:t>
      </w:r>
      <w:r w:rsidRPr="007D33A4">
        <w:rPr>
          <w:szCs w:val="24"/>
        </w:rPr>
        <w:t xml:space="preserve">at (717) </w:t>
      </w:r>
      <w:r w:rsidR="007D33A4">
        <w:rPr>
          <w:szCs w:val="24"/>
        </w:rPr>
        <w:t xml:space="preserve">783-3850 </w:t>
      </w:r>
      <w:r w:rsidRPr="00E9717D">
        <w:rPr>
          <w:szCs w:val="24"/>
        </w:rPr>
        <w:t>or</w:t>
      </w:r>
      <w:r w:rsidR="007D33A4">
        <w:rPr>
          <w:szCs w:val="24"/>
        </w:rPr>
        <w:t xml:space="preserve"> </w:t>
      </w:r>
      <w:hyperlink r:id="rId8" w:history="1">
        <w:r w:rsidR="007D33A4" w:rsidRPr="00D6112F">
          <w:rPr>
            <w:rStyle w:val="Hyperlink"/>
            <w:szCs w:val="24"/>
          </w:rPr>
          <w:t>ejeschke@pa.gov</w:t>
        </w:r>
      </w:hyperlink>
      <w:r w:rsidRPr="00227576">
        <w:rPr>
          <w:color w:val="000000" w:themeColor="text1"/>
          <w:szCs w:val="24"/>
        </w:rPr>
        <w:t>.</w:t>
      </w:r>
      <w:r w:rsidRPr="00E9717D">
        <w:rPr>
          <w:color w:val="FF00FF"/>
          <w:szCs w:val="24"/>
        </w:rPr>
        <w:t xml:space="preserve"> </w:t>
      </w:r>
    </w:p>
    <w:p w:rsidR="009575BA" w:rsidRPr="00E9717D" w:rsidRDefault="003B62B4" w:rsidP="00D11B24">
      <w:pPr>
        <w:rPr>
          <w:szCs w:val="24"/>
        </w:rPr>
      </w:pPr>
      <w:bookmarkStart w:id="0" w:name="_GoBack"/>
      <w:r w:rsidRPr="00F45E06">
        <w:rPr>
          <w:b/>
          <w:noProof/>
        </w:rPr>
        <w:drawing>
          <wp:anchor distT="0" distB="0" distL="114300" distR="114300" simplePos="0" relativeHeight="251659264" behindDoc="1" locked="0" layoutInCell="1" allowOverlap="1" wp14:anchorId="09744DFF" wp14:editId="4DE0E8CE">
            <wp:simplePos x="0" y="0"/>
            <wp:positionH relativeFrom="column">
              <wp:posOffset>2112010</wp:posOffset>
            </wp:positionH>
            <wp:positionV relativeFrom="paragraph">
              <wp:posOffset>156210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p w:rsidR="009575BA" w:rsidRPr="007D33A4" w:rsidRDefault="009575BA" w:rsidP="00D11B24">
      <w:pPr>
        <w:rPr>
          <w:szCs w:val="24"/>
        </w:rPr>
      </w:pPr>
      <w:r w:rsidRPr="00E9717D">
        <w:rPr>
          <w:szCs w:val="24"/>
        </w:rPr>
        <w:t>cc:</w:t>
      </w:r>
      <w:r w:rsidRPr="00E9717D">
        <w:rPr>
          <w:szCs w:val="24"/>
        </w:rPr>
        <w:tab/>
      </w:r>
      <w:r w:rsidR="00A56E7A" w:rsidRPr="007D33A4">
        <w:rPr>
          <w:szCs w:val="24"/>
        </w:rPr>
        <w:t>Melissa Derr</w:t>
      </w:r>
      <w:r w:rsidRPr="007D33A4">
        <w:rPr>
          <w:szCs w:val="24"/>
        </w:rPr>
        <w:t xml:space="preserve">, </w:t>
      </w:r>
      <w:r w:rsidR="00AE4FCE" w:rsidRPr="007D33A4">
        <w:rPr>
          <w:szCs w:val="24"/>
        </w:rPr>
        <w:t>TUS</w:t>
      </w:r>
    </w:p>
    <w:p w:rsidR="00A24641" w:rsidRPr="007D33A4" w:rsidRDefault="009575BA" w:rsidP="00D11B24">
      <w:pPr>
        <w:rPr>
          <w:szCs w:val="24"/>
        </w:rPr>
      </w:pPr>
      <w:r w:rsidRPr="007D33A4">
        <w:rPr>
          <w:szCs w:val="24"/>
        </w:rPr>
        <w:tab/>
      </w:r>
      <w:r w:rsidR="00D92653" w:rsidRPr="007D33A4">
        <w:rPr>
          <w:szCs w:val="24"/>
        </w:rPr>
        <w:t>Bryan Mahla</w:t>
      </w:r>
      <w:r w:rsidRPr="007D33A4">
        <w:rPr>
          <w:szCs w:val="24"/>
        </w:rPr>
        <w:t xml:space="preserve">, </w:t>
      </w:r>
      <w:r w:rsidR="00AE4FCE" w:rsidRPr="007D33A4">
        <w:rPr>
          <w:szCs w:val="24"/>
        </w:rPr>
        <w:t>TUS</w:t>
      </w:r>
      <w:r w:rsidRPr="007D33A4">
        <w:rPr>
          <w:szCs w:val="24"/>
        </w:rPr>
        <w:t xml:space="preserve"> </w:t>
      </w:r>
    </w:p>
    <w:sectPr w:rsidR="00A24641" w:rsidRPr="007D33A4"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CEA" w:rsidRDefault="00057CEA">
      <w:r>
        <w:separator/>
      </w:r>
    </w:p>
  </w:endnote>
  <w:endnote w:type="continuationSeparator" w:id="0">
    <w:p w:rsidR="00057CEA" w:rsidRDefault="0005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CEA" w:rsidRDefault="00057CEA">
      <w:r>
        <w:separator/>
      </w:r>
    </w:p>
  </w:footnote>
  <w:footnote w:type="continuationSeparator" w:id="0">
    <w:p w:rsidR="00057CEA" w:rsidRDefault="00057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CEA"/>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0AF1"/>
    <w:rsid w:val="00227576"/>
    <w:rsid w:val="002311CC"/>
    <w:rsid w:val="00231244"/>
    <w:rsid w:val="00244511"/>
    <w:rsid w:val="00256182"/>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93DBA"/>
    <w:rsid w:val="003B1A94"/>
    <w:rsid w:val="003B62B4"/>
    <w:rsid w:val="003C1936"/>
    <w:rsid w:val="003C2ACF"/>
    <w:rsid w:val="003D021C"/>
    <w:rsid w:val="003E6E9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91EC6"/>
    <w:rsid w:val="006A0190"/>
    <w:rsid w:val="006A19DE"/>
    <w:rsid w:val="006B1842"/>
    <w:rsid w:val="006E1263"/>
    <w:rsid w:val="006E5B1D"/>
    <w:rsid w:val="006F7BD8"/>
    <w:rsid w:val="00701979"/>
    <w:rsid w:val="0070664E"/>
    <w:rsid w:val="00711AEC"/>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4A66"/>
    <w:rsid w:val="007C5683"/>
    <w:rsid w:val="007D0340"/>
    <w:rsid w:val="007D33A4"/>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44B3"/>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225"/>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8376E"/>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112F"/>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C6600"/>
    <w:rsid w:val="00ED021A"/>
    <w:rsid w:val="00ED78C6"/>
    <w:rsid w:val="00EE0DB3"/>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09A9"/>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ockticker"/>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34110281">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jeschke@pa.gov"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1805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 Eric</dc:creator>
  <cp:lastModifiedBy>Farner, Joyce</cp:lastModifiedBy>
  <cp:revision>5</cp:revision>
  <cp:lastPrinted>2016-12-06T16:05:00Z</cp:lastPrinted>
  <dcterms:created xsi:type="dcterms:W3CDTF">2016-12-06T13:54:00Z</dcterms:created>
  <dcterms:modified xsi:type="dcterms:W3CDTF">2016-12-06T16:05:00Z</dcterms:modified>
</cp:coreProperties>
</file>