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BD" w:rsidRPr="00A8734C" w:rsidRDefault="00DE24BD" w:rsidP="00BD712A">
      <w:pPr>
        <w:widowControl/>
        <w:tabs>
          <w:tab w:val="center" w:pos="4680"/>
        </w:tabs>
        <w:suppressAutoHyphens/>
        <w:jc w:val="center"/>
        <w:rPr>
          <w:b/>
          <w:sz w:val="26"/>
          <w:szCs w:val="26"/>
        </w:rPr>
      </w:pPr>
      <w:r w:rsidRPr="00A8734C">
        <w:rPr>
          <w:b/>
          <w:sz w:val="26"/>
          <w:szCs w:val="26"/>
        </w:rPr>
        <w:t>PENNSYLVANIA</w:t>
      </w:r>
    </w:p>
    <w:p w:rsidR="00DE24BD" w:rsidRPr="00A8734C" w:rsidRDefault="00DE24BD" w:rsidP="00BD712A">
      <w:pPr>
        <w:widowControl/>
        <w:tabs>
          <w:tab w:val="center" w:pos="4680"/>
        </w:tabs>
        <w:suppressAutoHyphens/>
        <w:jc w:val="center"/>
        <w:rPr>
          <w:sz w:val="26"/>
          <w:szCs w:val="26"/>
        </w:rPr>
      </w:pPr>
      <w:r w:rsidRPr="00A8734C">
        <w:rPr>
          <w:b/>
          <w:sz w:val="26"/>
          <w:szCs w:val="26"/>
        </w:rPr>
        <w:t>PUBLIC UTILITY COMMISSION</w:t>
      </w:r>
    </w:p>
    <w:p w:rsidR="00DE24BD" w:rsidRPr="00A8734C" w:rsidRDefault="00DE24BD" w:rsidP="00BD712A">
      <w:pPr>
        <w:widowControl/>
        <w:tabs>
          <w:tab w:val="center" w:pos="4680"/>
        </w:tabs>
        <w:suppressAutoHyphens/>
        <w:jc w:val="center"/>
        <w:rPr>
          <w:sz w:val="26"/>
          <w:szCs w:val="26"/>
        </w:rPr>
      </w:pPr>
      <w:r w:rsidRPr="00A8734C">
        <w:rPr>
          <w:b/>
          <w:sz w:val="26"/>
          <w:szCs w:val="26"/>
        </w:rPr>
        <w:t>Harrisburg, PA 17105-3265</w:t>
      </w:r>
    </w:p>
    <w:p w:rsidR="00DE24BD" w:rsidRPr="00A8734C" w:rsidRDefault="00DE24BD" w:rsidP="00BD712A">
      <w:pPr>
        <w:widowControl/>
        <w:tabs>
          <w:tab w:val="left" w:pos="-720"/>
        </w:tabs>
        <w:suppressAutoHyphens/>
        <w:rPr>
          <w:sz w:val="26"/>
          <w:szCs w:val="26"/>
        </w:rPr>
      </w:pPr>
    </w:p>
    <w:p w:rsidR="00DE24BD" w:rsidRPr="00A8734C" w:rsidRDefault="00DE24BD" w:rsidP="00BD712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DE24BD" w:rsidRPr="00F1625F" w:rsidTr="00531DC5">
        <w:tc>
          <w:tcPr>
            <w:tcW w:w="5148" w:type="dxa"/>
          </w:tcPr>
          <w:p w:rsidR="00DE24BD" w:rsidRPr="00F1625F" w:rsidRDefault="00DE24BD" w:rsidP="00BD712A">
            <w:pPr>
              <w:widowControl/>
              <w:rPr>
                <w:sz w:val="26"/>
                <w:szCs w:val="26"/>
              </w:rPr>
            </w:pPr>
          </w:p>
        </w:tc>
        <w:tc>
          <w:tcPr>
            <w:tcW w:w="4338" w:type="dxa"/>
          </w:tcPr>
          <w:p w:rsidR="00DE24BD" w:rsidRPr="00F1625F" w:rsidRDefault="00DE24BD" w:rsidP="00BD712A">
            <w:pPr>
              <w:widowControl/>
              <w:jc w:val="right"/>
              <w:rPr>
                <w:sz w:val="26"/>
                <w:szCs w:val="26"/>
              </w:rPr>
            </w:pPr>
            <w:r w:rsidRPr="00F1625F">
              <w:rPr>
                <w:sz w:val="26"/>
                <w:szCs w:val="26"/>
              </w:rPr>
              <w:t xml:space="preserve">Public Meeting held </w:t>
            </w:r>
            <w:r>
              <w:rPr>
                <w:sz w:val="26"/>
                <w:szCs w:val="26"/>
              </w:rPr>
              <w:t>December 8</w:t>
            </w:r>
            <w:r w:rsidRPr="00F1625F">
              <w:rPr>
                <w:sz w:val="26"/>
                <w:szCs w:val="26"/>
              </w:rPr>
              <w:t>, 201</w:t>
            </w:r>
            <w:r>
              <w:rPr>
                <w:sz w:val="26"/>
                <w:szCs w:val="26"/>
              </w:rPr>
              <w:t>6</w:t>
            </w:r>
          </w:p>
          <w:p w:rsidR="00DE24BD" w:rsidRPr="00F1625F" w:rsidRDefault="00DE24BD" w:rsidP="00BD712A">
            <w:pPr>
              <w:widowControl/>
              <w:jc w:val="right"/>
              <w:rPr>
                <w:sz w:val="26"/>
                <w:szCs w:val="26"/>
              </w:rPr>
            </w:pPr>
          </w:p>
          <w:p w:rsidR="00DE24BD" w:rsidRPr="00F1625F" w:rsidRDefault="00DE24BD" w:rsidP="00BD712A">
            <w:pPr>
              <w:widowControl/>
              <w:jc w:val="right"/>
              <w:rPr>
                <w:sz w:val="26"/>
                <w:szCs w:val="26"/>
              </w:rPr>
            </w:pPr>
          </w:p>
        </w:tc>
      </w:tr>
      <w:tr w:rsidR="00DE24BD" w:rsidRPr="00F1625F" w:rsidTr="00531DC5">
        <w:tc>
          <w:tcPr>
            <w:tcW w:w="5148" w:type="dxa"/>
          </w:tcPr>
          <w:p w:rsidR="00DE24BD" w:rsidRPr="00F1625F" w:rsidRDefault="00DE24BD" w:rsidP="00BD712A">
            <w:pPr>
              <w:widowControl/>
              <w:rPr>
                <w:sz w:val="26"/>
                <w:szCs w:val="26"/>
              </w:rPr>
            </w:pPr>
            <w:r w:rsidRPr="00F1625F">
              <w:rPr>
                <w:sz w:val="26"/>
                <w:szCs w:val="26"/>
              </w:rPr>
              <w:t>Commissioners Present:</w:t>
            </w:r>
          </w:p>
          <w:p w:rsidR="00DE24BD" w:rsidRPr="00F1625F" w:rsidRDefault="00DE24BD" w:rsidP="00BD712A">
            <w:pPr>
              <w:widowControl/>
              <w:rPr>
                <w:sz w:val="26"/>
                <w:szCs w:val="26"/>
              </w:rPr>
            </w:pPr>
          </w:p>
          <w:p w:rsidR="00DE24BD" w:rsidRPr="00F1625F" w:rsidRDefault="00DE24BD" w:rsidP="00BD712A">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DE24BD" w:rsidRDefault="00DE24BD" w:rsidP="00BD712A">
            <w:pPr>
              <w:widowControl/>
              <w:tabs>
                <w:tab w:val="left" w:pos="705"/>
              </w:tabs>
              <w:ind w:firstLine="720"/>
              <w:rPr>
                <w:sz w:val="26"/>
                <w:szCs w:val="26"/>
              </w:rPr>
            </w:pPr>
            <w:r>
              <w:rPr>
                <w:sz w:val="26"/>
                <w:szCs w:val="26"/>
              </w:rPr>
              <w:t>Andrew G. Place</w:t>
            </w:r>
            <w:r w:rsidRPr="00F1625F">
              <w:rPr>
                <w:sz w:val="26"/>
                <w:szCs w:val="26"/>
              </w:rPr>
              <w:t>, Vice Chairman</w:t>
            </w:r>
          </w:p>
          <w:p w:rsidR="00DE24BD" w:rsidRDefault="00DE24BD" w:rsidP="00BD712A">
            <w:pPr>
              <w:widowControl/>
              <w:tabs>
                <w:tab w:val="left" w:pos="705"/>
              </w:tabs>
              <w:ind w:firstLine="720"/>
              <w:rPr>
                <w:sz w:val="26"/>
                <w:szCs w:val="26"/>
              </w:rPr>
            </w:pPr>
            <w:r w:rsidRPr="00F1625F">
              <w:rPr>
                <w:sz w:val="26"/>
                <w:szCs w:val="26"/>
              </w:rPr>
              <w:t>John F. Coleman, Jr.</w:t>
            </w:r>
          </w:p>
          <w:p w:rsidR="00DE24BD" w:rsidRDefault="00DE24BD" w:rsidP="00BD712A">
            <w:pPr>
              <w:widowControl/>
              <w:tabs>
                <w:tab w:val="left" w:pos="705"/>
              </w:tabs>
              <w:ind w:firstLine="720"/>
              <w:rPr>
                <w:sz w:val="26"/>
                <w:szCs w:val="26"/>
              </w:rPr>
            </w:pPr>
            <w:r w:rsidRPr="00390584">
              <w:rPr>
                <w:sz w:val="26"/>
                <w:szCs w:val="26"/>
              </w:rPr>
              <w:t>Robert F. Powelson</w:t>
            </w:r>
          </w:p>
          <w:p w:rsidR="00DE24BD" w:rsidRPr="00390584" w:rsidRDefault="00DE24BD" w:rsidP="00BD712A">
            <w:pPr>
              <w:widowControl/>
              <w:tabs>
                <w:tab w:val="left" w:pos="705"/>
              </w:tabs>
              <w:ind w:firstLine="720"/>
              <w:rPr>
                <w:sz w:val="26"/>
                <w:szCs w:val="26"/>
              </w:rPr>
            </w:pPr>
            <w:r>
              <w:rPr>
                <w:sz w:val="26"/>
                <w:szCs w:val="26"/>
              </w:rPr>
              <w:t>David W. Sweet</w:t>
            </w:r>
          </w:p>
          <w:p w:rsidR="00DE24BD" w:rsidRDefault="00DE24BD">
            <w:pPr>
              <w:widowControl/>
              <w:rPr>
                <w:sz w:val="26"/>
                <w:szCs w:val="26"/>
              </w:rPr>
            </w:pPr>
          </w:p>
          <w:p w:rsidR="00DE24BD" w:rsidRPr="00F1625F" w:rsidRDefault="00DE24BD">
            <w:pPr>
              <w:widowControl/>
              <w:rPr>
                <w:sz w:val="26"/>
                <w:szCs w:val="26"/>
              </w:rPr>
            </w:pPr>
          </w:p>
          <w:p w:rsidR="00DE24BD" w:rsidRPr="00F1625F" w:rsidRDefault="00DE24BD">
            <w:pPr>
              <w:widowControl/>
              <w:rPr>
                <w:sz w:val="26"/>
                <w:szCs w:val="26"/>
              </w:rPr>
            </w:pPr>
          </w:p>
        </w:tc>
        <w:tc>
          <w:tcPr>
            <w:tcW w:w="4338" w:type="dxa"/>
          </w:tcPr>
          <w:p w:rsidR="00DE24BD" w:rsidRPr="00F1625F" w:rsidRDefault="00DE24BD">
            <w:pPr>
              <w:widowControl/>
              <w:jc w:val="right"/>
              <w:rPr>
                <w:sz w:val="26"/>
                <w:szCs w:val="26"/>
              </w:rPr>
            </w:pPr>
          </w:p>
          <w:p w:rsidR="00DE24BD" w:rsidRPr="00F1625F" w:rsidRDefault="00DE24BD">
            <w:pPr>
              <w:widowControl/>
              <w:jc w:val="right"/>
              <w:rPr>
                <w:sz w:val="26"/>
                <w:szCs w:val="26"/>
              </w:rPr>
            </w:pPr>
          </w:p>
        </w:tc>
      </w:tr>
      <w:tr w:rsidR="00DE24BD" w:rsidRPr="00F1625F" w:rsidTr="00531DC5">
        <w:tc>
          <w:tcPr>
            <w:tcW w:w="5148" w:type="dxa"/>
          </w:tcPr>
          <w:p w:rsidR="00DE24BD" w:rsidRPr="00F1625F" w:rsidRDefault="00DE24BD">
            <w:pPr>
              <w:widowControl/>
              <w:rPr>
                <w:sz w:val="26"/>
                <w:szCs w:val="26"/>
              </w:rPr>
            </w:pPr>
            <w:r>
              <w:rPr>
                <w:sz w:val="26"/>
                <w:szCs w:val="26"/>
              </w:rPr>
              <w:t>David Hatchigian</w:t>
            </w:r>
          </w:p>
          <w:p w:rsidR="00DE24BD" w:rsidRPr="00F1625F" w:rsidRDefault="00DE24BD">
            <w:pPr>
              <w:widowControl/>
              <w:rPr>
                <w:sz w:val="26"/>
                <w:szCs w:val="26"/>
              </w:rPr>
            </w:pPr>
          </w:p>
        </w:tc>
        <w:tc>
          <w:tcPr>
            <w:tcW w:w="4338" w:type="dxa"/>
          </w:tcPr>
          <w:p w:rsidR="00DE24BD" w:rsidRDefault="00DE24BD">
            <w:pPr>
              <w:widowControl/>
              <w:jc w:val="right"/>
              <w:rPr>
                <w:sz w:val="26"/>
                <w:szCs w:val="26"/>
              </w:rPr>
            </w:pPr>
            <w:r>
              <w:rPr>
                <w:sz w:val="26"/>
                <w:szCs w:val="26"/>
              </w:rPr>
              <w:t>C-2015</w:t>
            </w:r>
            <w:r w:rsidRPr="00F1625F">
              <w:rPr>
                <w:sz w:val="26"/>
                <w:szCs w:val="26"/>
              </w:rPr>
              <w:t>-</w:t>
            </w:r>
            <w:r>
              <w:rPr>
                <w:sz w:val="26"/>
                <w:szCs w:val="26"/>
              </w:rPr>
              <w:t>2477321</w:t>
            </w:r>
          </w:p>
          <w:p w:rsidR="00DE24BD" w:rsidRPr="00F1625F" w:rsidRDefault="00DE24BD">
            <w:pPr>
              <w:widowControl/>
              <w:jc w:val="center"/>
              <w:rPr>
                <w:sz w:val="26"/>
                <w:szCs w:val="26"/>
              </w:rPr>
            </w:pPr>
          </w:p>
        </w:tc>
      </w:tr>
      <w:tr w:rsidR="00DE24BD" w:rsidRPr="00F1625F" w:rsidTr="00531DC5">
        <w:tc>
          <w:tcPr>
            <w:tcW w:w="5148" w:type="dxa"/>
          </w:tcPr>
          <w:p w:rsidR="00DE24BD" w:rsidRPr="00F1625F" w:rsidRDefault="00DE24BD">
            <w:pPr>
              <w:widowControl/>
              <w:ind w:firstLine="900"/>
              <w:rPr>
                <w:sz w:val="26"/>
                <w:szCs w:val="26"/>
              </w:rPr>
            </w:pPr>
            <w:r w:rsidRPr="00F1625F">
              <w:rPr>
                <w:sz w:val="26"/>
                <w:szCs w:val="26"/>
              </w:rPr>
              <w:t>v.</w:t>
            </w:r>
          </w:p>
          <w:p w:rsidR="00DE24BD" w:rsidRPr="00F1625F" w:rsidRDefault="00DE24BD">
            <w:pPr>
              <w:widowControl/>
              <w:ind w:firstLine="1440"/>
              <w:rPr>
                <w:sz w:val="26"/>
                <w:szCs w:val="26"/>
              </w:rPr>
            </w:pPr>
          </w:p>
        </w:tc>
        <w:tc>
          <w:tcPr>
            <w:tcW w:w="4338" w:type="dxa"/>
          </w:tcPr>
          <w:p w:rsidR="00DE24BD" w:rsidRPr="00F1625F" w:rsidRDefault="00DE24BD">
            <w:pPr>
              <w:widowControl/>
              <w:rPr>
                <w:sz w:val="26"/>
                <w:szCs w:val="26"/>
              </w:rPr>
            </w:pPr>
          </w:p>
        </w:tc>
      </w:tr>
      <w:tr w:rsidR="00DE24BD" w:rsidRPr="00F1625F" w:rsidTr="00531DC5">
        <w:tc>
          <w:tcPr>
            <w:tcW w:w="5148" w:type="dxa"/>
          </w:tcPr>
          <w:p w:rsidR="00DE24BD" w:rsidRPr="00F1625F" w:rsidRDefault="00DE24BD">
            <w:pPr>
              <w:widowControl/>
              <w:rPr>
                <w:sz w:val="26"/>
                <w:szCs w:val="26"/>
              </w:rPr>
            </w:pPr>
            <w:r w:rsidRPr="00F1625F">
              <w:rPr>
                <w:sz w:val="26"/>
                <w:szCs w:val="26"/>
              </w:rPr>
              <w:t>PECO Energy Company</w:t>
            </w:r>
          </w:p>
        </w:tc>
        <w:tc>
          <w:tcPr>
            <w:tcW w:w="4338" w:type="dxa"/>
          </w:tcPr>
          <w:p w:rsidR="00DE24BD" w:rsidRPr="00F1625F" w:rsidRDefault="00DE24BD">
            <w:pPr>
              <w:widowControl/>
              <w:rPr>
                <w:sz w:val="26"/>
                <w:szCs w:val="26"/>
              </w:rPr>
            </w:pPr>
          </w:p>
        </w:tc>
      </w:tr>
    </w:tbl>
    <w:p w:rsidR="00DE24BD" w:rsidRDefault="00DE24BD">
      <w:pPr>
        <w:widowControl/>
        <w:rPr>
          <w:sz w:val="26"/>
          <w:szCs w:val="26"/>
        </w:rPr>
      </w:pPr>
    </w:p>
    <w:p w:rsidR="00DE24BD" w:rsidRPr="00F1625F" w:rsidRDefault="00DE24BD">
      <w:pPr>
        <w:widowControl/>
        <w:rPr>
          <w:sz w:val="26"/>
          <w:szCs w:val="26"/>
        </w:rPr>
      </w:pPr>
    </w:p>
    <w:p w:rsidR="00DE24BD" w:rsidRPr="00DB44D9" w:rsidRDefault="00DE24BD">
      <w:pPr>
        <w:widowControl/>
        <w:tabs>
          <w:tab w:val="center" w:pos="4680"/>
        </w:tabs>
        <w:suppressAutoHyphens/>
        <w:jc w:val="center"/>
        <w:rPr>
          <w:b/>
          <w:sz w:val="26"/>
        </w:rPr>
      </w:pPr>
      <w:r w:rsidRPr="00DB44D9">
        <w:rPr>
          <w:b/>
          <w:sz w:val="26"/>
        </w:rPr>
        <w:t>OPINION AND ORDER</w:t>
      </w:r>
    </w:p>
    <w:p w:rsidR="00DE24BD" w:rsidRPr="00DB44D9" w:rsidRDefault="00DE24BD">
      <w:pPr>
        <w:widowControl/>
        <w:tabs>
          <w:tab w:val="left" w:pos="-720"/>
        </w:tabs>
        <w:suppressAutoHyphens/>
        <w:spacing w:line="360" w:lineRule="auto"/>
        <w:rPr>
          <w:b/>
          <w:sz w:val="26"/>
        </w:rPr>
      </w:pPr>
    </w:p>
    <w:p w:rsidR="00DE24BD" w:rsidRPr="00DB44D9" w:rsidRDefault="00DE24BD">
      <w:pPr>
        <w:widowControl/>
        <w:tabs>
          <w:tab w:val="left" w:pos="-720"/>
        </w:tabs>
        <w:suppressAutoHyphens/>
        <w:spacing w:after="120"/>
        <w:rPr>
          <w:sz w:val="26"/>
        </w:rPr>
      </w:pPr>
      <w:r w:rsidRPr="00DB44D9">
        <w:rPr>
          <w:b/>
          <w:sz w:val="26"/>
        </w:rPr>
        <w:t>BY THE COMMISSION:</w:t>
      </w:r>
    </w:p>
    <w:p w:rsidR="00DE24BD" w:rsidRPr="00DB44D9" w:rsidRDefault="00DE24BD">
      <w:pPr>
        <w:widowControl/>
        <w:tabs>
          <w:tab w:val="left" w:pos="-720"/>
        </w:tabs>
        <w:suppressAutoHyphens/>
        <w:spacing w:line="360" w:lineRule="auto"/>
        <w:rPr>
          <w:sz w:val="26"/>
        </w:rPr>
      </w:pPr>
    </w:p>
    <w:p w:rsidR="00DE24BD" w:rsidRPr="00DB44D9" w:rsidRDefault="00DE24BD">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Pr="0069670F">
        <w:rPr>
          <w:sz w:val="26"/>
        </w:rPr>
        <w:t xml:space="preserve">Exceptions filed by </w:t>
      </w:r>
      <w:r>
        <w:rPr>
          <w:sz w:val="26"/>
          <w:szCs w:val="26"/>
        </w:rPr>
        <w:t xml:space="preserve">David Hatchigian </w:t>
      </w:r>
      <w:r w:rsidRPr="00DB44D9">
        <w:rPr>
          <w:sz w:val="26"/>
        </w:rPr>
        <w:t>(Complainant</w:t>
      </w:r>
      <w:r>
        <w:rPr>
          <w:sz w:val="26"/>
        </w:rPr>
        <w:t>)</w:t>
      </w:r>
      <w:r w:rsidRPr="00DB44D9">
        <w:rPr>
          <w:sz w:val="26"/>
        </w:rPr>
        <w:t xml:space="preserve"> on </w:t>
      </w:r>
      <w:r>
        <w:rPr>
          <w:sz w:val="26"/>
        </w:rPr>
        <w:t>February 10</w:t>
      </w:r>
      <w:r w:rsidRPr="0069670F">
        <w:rPr>
          <w:sz w:val="26"/>
        </w:rPr>
        <w:t>, 201</w:t>
      </w:r>
      <w:r>
        <w:rPr>
          <w:sz w:val="26"/>
        </w:rPr>
        <w:t>6</w:t>
      </w:r>
      <w:r w:rsidRPr="00DB44D9">
        <w:rPr>
          <w:sz w:val="26"/>
        </w:rPr>
        <w:t>, in response to the Initial Decision (I.D.) of Adminis</w:t>
      </w:r>
      <w:r w:rsidRPr="0069670F">
        <w:rPr>
          <w:sz w:val="26"/>
        </w:rPr>
        <w:t xml:space="preserve">trative Law Judge (ALJ) </w:t>
      </w:r>
      <w:r>
        <w:rPr>
          <w:sz w:val="26"/>
        </w:rPr>
        <w:t>Cynthia Williams Fordham</w:t>
      </w:r>
      <w:r w:rsidRPr="00DB44D9">
        <w:rPr>
          <w:sz w:val="26"/>
        </w:rPr>
        <w:t xml:space="preserve"> issued on </w:t>
      </w:r>
      <w:r>
        <w:rPr>
          <w:sz w:val="26"/>
        </w:rPr>
        <w:t>January 21, 2016</w:t>
      </w:r>
      <w:r w:rsidRPr="00DB44D9">
        <w:rPr>
          <w:sz w:val="26"/>
        </w:rPr>
        <w:t>.</w:t>
      </w:r>
      <w:r>
        <w:rPr>
          <w:rStyle w:val="FootnoteReference"/>
          <w:sz w:val="26"/>
        </w:rPr>
        <w:footnoteReference w:id="1"/>
      </w:r>
      <w:r w:rsidRPr="00DB44D9">
        <w:rPr>
          <w:sz w:val="26"/>
        </w:rPr>
        <w:t xml:space="preserve">  </w:t>
      </w:r>
      <w:r w:rsidRPr="0069670F">
        <w:rPr>
          <w:sz w:val="26"/>
        </w:rPr>
        <w:t>PECO Energy Company (PECO</w:t>
      </w:r>
      <w:r>
        <w:rPr>
          <w:sz w:val="26"/>
        </w:rPr>
        <w:t xml:space="preserve"> or the Company</w:t>
      </w:r>
      <w:r w:rsidRPr="0069670F">
        <w:rPr>
          <w:sz w:val="26"/>
        </w:rPr>
        <w:t xml:space="preserve">) </w:t>
      </w:r>
      <w:r>
        <w:rPr>
          <w:sz w:val="26"/>
        </w:rPr>
        <w:t xml:space="preserve">filed Replies to Exceptions on </w:t>
      </w:r>
      <w:r>
        <w:rPr>
          <w:sz w:val="26"/>
        </w:rPr>
        <w:lastRenderedPageBreak/>
        <w:t>February 24, 2016</w:t>
      </w:r>
      <w:r w:rsidRPr="0069670F">
        <w:rPr>
          <w:sz w:val="26"/>
        </w:rPr>
        <w:t>.  For the reasons stated below</w:t>
      </w:r>
      <w:r w:rsidRPr="00DB44D9">
        <w:rPr>
          <w:sz w:val="26"/>
        </w:rPr>
        <w:t>, we will de</w:t>
      </w:r>
      <w:r w:rsidRPr="0069670F">
        <w:rPr>
          <w:sz w:val="26"/>
        </w:rPr>
        <w:t>ny the Complainant’s Exceptions and</w:t>
      </w:r>
      <w:r w:rsidRPr="00DB44D9">
        <w:rPr>
          <w:sz w:val="26"/>
        </w:rPr>
        <w:t xml:space="preserve"> adopt the ALJ’s Initial Decision.</w:t>
      </w:r>
    </w:p>
    <w:p w:rsidR="00DE24BD" w:rsidRPr="00DB44D9" w:rsidRDefault="00DE24BD">
      <w:pPr>
        <w:widowControl/>
        <w:tabs>
          <w:tab w:val="left" w:pos="-720"/>
        </w:tabs>
        <w:suppressAutoHyphens/>
        <w:spacing w:line="360" w:lineRule="auto"/>
        <w:rPr>
          <w:sz w:val="26"/>
        </w:rPr>
      </w:pPr>
    </w:p>
    <w:p w:rsidR="00DE24BD" w:rsidRDefault="00DE24BD">
      <w:pPr>
        <w:keepNext/>
        <w:widowControl/>
        <w:tabs>
          <w:tab w:val="left" w:pos="-720"/>
        </w:tabs>
        <w:suppressAutoHyphens/>
        <w:spacing w:line="360" w:lineRule="auto"/>
        <w:jc w:val="center"/>
        <w:rPr>
          <w:b/>
          <w:sz w:val="26"/>
        </w:rPr>
      </w:pPr>
      <w:r w:rsidRPr="00B144AB">
        <w:rPr>
          <w:b/>
          <w:sz w:val="26"/>
        </w:rPr>
        <w:t>History of the Proceeding</w:t>
      </w:r>
    </w:p>
    <w:p w:rsidR="00184F3D" w:rsidRDefault="00184F3D">
      <w:pPr>
        <w:keepNext/>
        <w:widowControl/>
        <w:tabs>
          <w:tab w:val="left" w:pos="-720"/>
        </w:tabs>
        <w:suppressAutoHyphens/>
        <w:spacing w:line="360" w:lineRule="auto"/>
        <w:jc w:val="center"/>
        <w:rPr>
          <w:b/>
          <w:sz w:val="26"/>
        </w:rPr>
      </w:pPr>
    </w:p>
    <w:p w:rsidR="00184F3D" w:rsidRPr="00184F3D" w:rsidRDefault="00184F3D" w:rsidP="00736FD9">
      <w:pPr>
        <w:widowControl/>
        <w:spacing w:line="360" w:lineRule="auto"/>
        <w:ind w:firstLine="1440"/>
        <w:rPr>
          <w:sz w:val="26"/>
          <w:szCs w:val="26"/>
        </w:rPr>
      </w:pPr>
      <w:r w:rsidRPr="00184F3D">
        <w:rPr>
          <w:sz w:val="26"/>
          <w:szCs w:val="26"/>
        </w:rPr>
        <w:t xml:space="preserve">On April 10, 2015, David Hatchigian </w:t>
      </w:r>
      <w:r>
        <w:rPr>
          <w:sz w:val="26"/>
          <w:szCs w:val="26"/>
        </w:rPr>
        <w:t>filed a F</w:t>
      </w:r>
      <w:r w:rsidRPr="00184F3D">
        <w:rPr>
          <w:sz w:val="26"/>
          <w:szCs w:val="26"/>
        </w:rPr>
        <w:t xml:space="preserve">ormal </w:t>
      </w:r>
      <w:r>
        <w:rPr>
          <w:sz w:val="26"/>
          <w:szCs w:val="26"/>
        </w:rPr>
        <w:t>C</w:t>
      </w:r>
      <w:r w:rsidRPr="00184F3D">
        <w:rPr>
          <w:sz w:val="26"/>
          <w:szCs w:val="26"/>
        </w:rPr>
        <w:t xml:space="preserve">omplaint </w:t>
      </w:r>
      <w:r w:rsidR="004E75DC">
        <w:rPr>
          <w:sz w:val="26"/>
          <w:szCs w:val="26"/>
        </w:rPr>
        <w:t xml:space="preserve">(Complaint) </w:t>
      </w:r>
      <w:r w:rsidRPr="00184F3D">
        <w:rPr>
          <w:sz w:val="26"/>
          <w:szCs w:val="26"/>
        </w:rPr>
        <w:t xml:space="preserve">against </w:t>
      </w:r>
      <w:r>
        <w:rPr>
          <w:sz w:val="26"/>
          <w:szCs w:val="26"/>
        </w:rPr>
        <w:t xml:space="preserve">PECO </w:t>
      </w:r>
      <w:r w:rsidRPr="00184F3D">
        <w:rPr>
          <w:sz w:val="26"/>
          <w:szCs w:val="26"/>
        </w:rPr>
        <w:t xml:space="preserve">with the </w:t>
      </w:r>
      <w:r>
        <w:rPr>
          <w:sz w:val="26"/>
          <w:szCs w:val="26"/>
        </w:rPr>
        <w:t>C</w:t>
      </w:r>
      <w:r w:rsidRPr="00184F3D">
        <w:rPr>
          <w:sz w:val="26"/>
          <w:szCs w:val="26"/>
        </w:rPr>
        <w:t>ommission</w:t>
      </w:r>
      <w:r>
        <w:rPr>
          <w:sz w:val="26"/>
          <w:szCs w:val="26"/>
        </w:rPr>
        <w:t xml:space="preserve"> alleging</w:t>
      </w:r>
      <w:r w:rsidRPr="00184F3D">
        <w:rPr>
          <w:sz w:val="26"/>
          <w:szCs w:val="26"/>
        </w:rPr>
        <w:t xml:space="preserve"> that he incurred expenses </w:t>
      </w:r>
      <w:r>
        <w:rPr>
          <w:sz w:val="26"/>
          <w:szCs w:val="26"/>
        </w:rPr>
        <w:t xml:space="preserve">of $75.00 </w:t>
      </w:r>
      <w:r w:rsidRPr="00184F3D">
        <w:rPr>
          <w:sz w:val="26"/>
          <w:szCs w:val="26"/>
        </w:rPr>
        <w:t xml:space="preserve">for an underwriter’s certificate, lost </w:t>
      </w:r>
      <w:r>
        <w:rPr>
          <w:sz w:val="26"/>
          <w:szCs w:val="26"/>
        </w:rPr>
        <w:t xml:space="preserve">$300.00 of </w:t>
      </w:r>
      <w:r w:rsidRPr="00184F3D">
        <w:rPr>
          <w:sz w:val="26"/>
          <w:szCs w:val="26"/>
        </w:rPr>
        <w:t xml:space="preserve">rent and lost time due to </w:t>
      </w:r>
      <w:r>
        <w:rPr>
          <w:sz w:val="26"/>
          <w:szCs w:val="26"/>
        </w:rPr>
        <w:t>PECO</w:t>
      </w:r>
      <w:r w:rsidRPr="00184F3D">
        <w:rPr>
          <w:sz w:val="26"/>
          <w:szCs w:val="26"/>
        </w:rPr>
        <w:t>’s requirement that an electrical underwriter inspect the electrical wiring of the service address prior to reconnecting service</w:t>
      </w:r>
      <w:r w:rsidR="004E75DC">
        <w:rPr>
          <w:sz w:val="26"/>
          <w:szCs w:val="26"/>
        </w:rPr>
        <w:t>.</w:t>
      </w:r>
      <w:r w:rsidR="00881104">
        <w:rPr>
          <w:rStyle w:val="FootnoteReference"/>
          <w:sz w:val="26"/>
          <w:szCs w:val="26"/>
        </w:rPr>
        <w:footnoteReference w:id="2"/>
      </w:r>
      <w:r w:rsidRPr="00184F3D">
        <w:rPr>
          <w:sz w:val="26"/>
          <w:szCs w:val="26"/>
        </w:rPr>
        <w:t xml:space="preserve">  As relief, the Complainant requested that the Commission order the Respondent to award him </w:t>
      </w:r>
      <w:r w:rsidR="0036186C">
        <w:rPr>
          <w:sz w:val="26"/>
          <w:szCs w:val="26"/>
        </w:rPr>
        <w:t xml:space="preserve">$500.00 compensation </w:t>
      </w:r>
      <w:r w:rsidRPr="00184F3D">
        <w:rPr>
          <w:sz w:val="26"/>
          <w:szCs w:val="26"/>
        </w:rPr>
        <w:t xml:space="preserve">for </w:t>
      </w:r>
      <w:r w:rsidR="0036186C">
        <w:rPr>
          <w:sz w:val="26"/>
          <w:szCs w:val="26"/>
        </w:rPr>
        <w:t>the lost rent</w:t>
      </w:r>
      <w:r w:rsidRPr="00184F3D">
        <w:rPr>
          <w:sz w:val="26"/>
          <w:szCs w:val="26"/>
        </w:rPr>
        <w:t xml:space="preserve">, </w:t>
      </w:r>
      <w:r w:rsidR="0036186C">
        <w:rPr>
          <w:sz w:val="26"/>
          <w:szCs w:val="26"/>
        </w:rPr>
        <w:t xml:space="preserve">the </w:t>
      </w:r>
      <w:r w:rsidRPr="00184F3D">
        <w:rPr>
          <w:sz w:val="26"/>
          <w:szCs w:val="26"/>
        </w:rPr>
        <w:t>loss of time</w:t>
      </w:r>
      <w:r w:rsidR="00BD712A">
        <w:rPr>
          <w:sz w:val="26"/>
          <w:szCs w:val="26"/>
        </w:rPr>
        <w:t>,</w:t>
      </w:r>
      <w:r w:rsidRPr="00184F3D">
        <w:rPr>
          <w:sz w:val="26"/>
          <w:szCs w:val="26"/>
        </w:rPr>
        <w:t xml:space="preserve"> and the cost of an underwriter’s certificate.</w:t>
      </w:r>
      <w:r w:rsidR="0036186C">
        <w:rPr>
          <w:sz w:val="26"/>
          <w:szCs w:val="26"/>
        </w:rPr>
        <w:t xml:space="preserve">  Complaint at 1</w:t>
      </w:r>
      <w:r w:rsidR="00563152">
        <w:rPr>
          <w:sz w:val="26"/>
          <w:szCs w:val="26"/>
        </w:rPr>
        <w:t>.</w:t>
      </w:r>
    </w:p>
    <w:p w:rsidR="00184F3D" w:rsidRPr="00184F3D" w:rsidRDefault="00184F3D" w:rsidP="00736FD9">
      <w:pPr>
        <w:widowControl/>
        <w:spacing w:line="360" w:lineRule="auto"/>
        <w:ind w:firstLine="1440"/>
        <w:rPr>
          <w:sz w:val="26"/>
          <w:szCs w:val="26"/>
        </w:rPr>
      </w:pPr>
    </w:p>
    <w:p w:rsidR="00184F3D" w:rsidRDefault="00184F3D" w:rsidP="00736FD9">
      <w:pPr>
        <w:widowControl/>
        <w:spacing w:line="360" w:lineRule="auto"/>
        <w:ind w:firstLine="1440"/>
        <w:rPr>
          <w:sz w:val="26"/>
          <w:szCs w:val="26"/>
        </w:rPr>
      </w:pPr>
      <w:r w:rsidRPr="00184F3D">
        <w:rPr>
          <w:sz w:val="26"/>
          <w:szCs w:val="26"/>
        </w:rPr>
        <w:t xml:space="preserve">On May 1, 2015, </w:t>
      </w:r>
      <w:r w:rsidR="002C1AD5">
        <w:rPr>
          <w:sz w:val="26"/>
          <w:szCs w:val="26"/>
        </w:rPr>
        <w:t xml:space="preserve">PECO </w:t>
      </w:r>
      <w:r w:rsidR="002C1AD5" w:rsidRPr="00184F3D">
        <w:rPr>
          <w:sz w:val="26"/>
          <w:szCs w:val="26"/>
        </w:rPr>
        <w:t>filed</w:t>
      </w:r>
      <w:r w:rsidR="00563152">
        <w:rPr>
          <w:sz w:val="26"/>
          <w:szCs w:val="26"/>
        </w:rPr>
        <w:t xml:space="preserve"> an</w:t>
      </w:r>
      <w:r w:rsidRPr="00184F3D">
        <w:rPr>
          <w:sz w:val="26"/>
          <w:szCs w:val="26"/>
        </w:rPr>
        <w:t xml:space="preserve"> Answer and New Matter</w:t>
      </w:r>
      <w:r w:rsidR="00563152">
        <w:rPr>
          <w:sz w:val="26"/>
          <w:szCs w:val="26"/>
        </w:rPr>
        <w:t xml:space="preserve"> </w:t>
      </w:r>
      <w:r w:rsidR="005A264B">
        <w:rPr>
          <w:sz w:val="26"/>
          <w:szCs w:val="26"/>
        </w:rPr>
        <w:t xml:space="preserve">with Notice to Plead </w:t>
      </w:r>
      <w:r w:rsidR="00563152">
        <w:rPr>
          <w:sz w:val="26"/>
          <w:szCs w:val="26"/>
        </w:rPr>
        <w:t>to the Complaint</w:t>
      </w:r>
      <w:r w:rsidRPr="00184F3D">
        <w:rPr>
          <w:sz w:val="26"/>
          <w:szCs w:val="26"/>
        </w:rPr>
        <w:t xml:space="preserve">.  </w:t>
      </w:r>
      <w:r w:rsidR="00563152">
        <w:rPr>
          <w:sz w:val="26"/>
          <w:szCs w:val="26"/>
        </w:rPr>
        <w:t xml:space="preserve">In its Answer, PECO stated that </w:t>
      </w:r>
      <w:r w:rsidR="005A264B">
        <w:rPr>
          <w:sz w:val="26"/>
          <w:szCs w:val="26"/>
        </w:rPr>
        <w:t xml:space="preserve">it denies all material allegations within the Complaint.  PECO further stated that it is Company policy to require an Underwriter Certificate of Inspection to protect the safety of the customer and their property before service is energized if service </w:t>
      </w:r>
      <w:r w:rsidR="00BD712A">
        <w:rPr>
          <w:sz w:val="26"/>
          <w:szCs w:val="26"/>
        </w:rPr>
        <w:t xml:space="preserve">has been </w:t>
      </w:r>
      <w:r w:rsidR="005A264B">
        <w:rPr>
          <w:sz w:val="26"/>
          <w:szCs w:val="26"/>
        </w:rPr>
        <w:t xml:space="preserve">off </w:t>
      </w:r>
      <w:r w:rsidR="00BD712A">
        <w:rPr>
          <w:sz w:val="26"/>
          <w:szCs w:val="26"/>
        </w:rPr>
        <w:t xml:space="preserve">for </w:t>
      </w:r>
      <w:r w:rsidR="005A264B">
        <w:rPr>
          <w:sz w:val="26"/>
          <w:szCs w:val="26"/>
        </w:rPr>
        <w:t xml:space="preserve">six months or longer.  Answer at 2-3. </w:t>
      </w:r>
      <w:r w:rsidRPr="00184F3D">
        <w:rPr>
          <w:sz w:val="26"/>
          <w:szCs w:val="26"/>
        </w:rPr>
        <w:t xml:space="preserve">In its New Matter, </w:t>
      </w:r>
      <w:r w:rsidR="005A264B">
        <w:rPr>
          <w:sz w:val="26"/>
          <w:szCs w:val="26"/>
        </w:rPr>
        <w:t>PECO</w:t>
      </w:r>
      <w:r w:rsidRPr="00184F3D">
        <w:rPr>
          <w:sz w:val="26"/>
          <w:szCs w:val="26"/>
        </w:rPr>
        <w:t xml:space="preserve"> averred that the Complainant’s request for relief is not within the jurisdiction of the Commission to the extent that the Complainant is seeking monetary damages against </w:t>
      </w:r>
      <w:r w:rsidR="005A264B">
        <w:rPr>
          <w:sz w:val="26"/>
          <w:szCs w:val="26"/>
        </w:rPr>
        <w:t>the Company</w:t>
      </w:r>
      <w:r w:rsidRPr="00184F3D">
        <w:rPr>
          <w:sz w:val="26"/>
          <w:szCs w:val="26"/>
        </w:rPr>
        <w:t xml:space="preserve"> for his out of pocket expenses, rent, underwriter’s fee, or any other loss.  New Matter </w:t>
      </w:r>
      <w:r w:rsidR="004E75DC">
        <w:rPr>
          <w:sz w:val="26"/>
          <w:szCs w:val="26"/>
        </w:rPr>
        <w:t xml:space="preserve">at 5, </w:t>
      </w:r>
      <w:r w:rsidRPr="00184F3D">
        <w:rPr>
          <w:sz w:val="26"/>
          <w:szCs w:val="26"/>
        </w:rPr>
        <w:t xml:space="preserve">¶4.  </w:t>
      </w:r>
    </w:p>
    <w:p w:rsidR="000A7CB0" w:rsidRPr="00184F3D" w:rsidRDefault="000A7CB0" w:rsidP="00736FD9">
      <w:pPr>
        <w:widowControl/>
        <w:spacing w:line="360" w:lineRule="auto"/>
        <w:ind w:firstLine="1440"/>
        <w:rPr>
          <w:i/>
          <w:sz w:val="26"/>
          <w:szCs w:val="26"/>
        </w:rPr>
      </w:pPr>
    </w:p>
    <w:p w:rsidR="00184F3D" w:rsidRPr="00184F3D" w:rsidRDefault="00184F3D" w:rsidP="00736FD9">
      <w:pPr>
        <w:widowControl/>
        <w:spacing w:line="360" w:lineRule="auto"/>
        <w:ind w:firstLine="1440"/>
        <w:rPr>
          <w:sz w:val="26"/>
          <w:szCs w:val="26"/>
        </w:rPr>
      </w:pPr>
      <w:r w:rsidRPr="00184F3D">
        <w:rPr>
          <w:sz w:val="26"/>
          <w:szCs w:val="26"/>
        </w:rPr>
        <w:t xml:space="preserve">On May 18, 2015, the Complainant amended his request for relief when he filed his response to New Matter.  The Complainant requested that the Commission </w:t>
      </w:r>
      <w:r w:rsidRPr="00184F3D">
        <w:rPr>
          <w:sz w:val="26"/>
          <w:szCs w:val="26"/>
        </w:rPr>
        <w:lastRenderedPageBreak/>
        <w:t>impose sa</w:t>
      </w:r>
      <w:r w:rsidR="00336B52">
        <w:rPr>
          <w:sz w:val="26"/>
          <w:szCs w:val="26"/>
        </w:rPr>
        <w:t>nctions against the Company</w:t>
      </w:r>
      <w:r w:rsidRPr="00184F3D">
        <w:rPr>
          <w:sz w:val="26"/>
          <w:szCs w:val="26"/>
        </w:rPr>
        <w:t xml:space="preserve"> for refusing to reconnect service to his apartment without an underwriter’s certificate.  </w:t>
      </w:r>
      <w:r w:rsidR="004E75DC">
        <w:rPr>
          <w:sz w:val="26"/>
          <w:szCs w:val="26"/>
        </w:rPr>
        <w:t>Replies</w:t>
      </w:r>
      <w:r w:rsidRPr="00184F3D">
        <w:rPr>
          <w:sz w:val="26"/>
          <w:szCs w:val="26"/>
        </w:rPr>
        <w:t xml:space="preserve"> to New Matter ¶ 2</w:t>
      </w:r>
      <w:r w:rsidR="00336B52">
        <w:rPr>
          <w:sz w:val="26"/>
          <w:szCs w:val="26"/>
        </w:rPr>
        <w:t xml:space="preserve"> at 2</w:t>
      </w:r>
      <w:r w:rsidR="002C1AD5">
        <w:rPr>
          <w:sz w:val="26"/>
          <w:szCs w:val="26"/>
        </w:rPr>
        <w:t>.</w:t>
      </w:r>
    </w:p>
    <w:p w:rsidR="00184F3D" w:rsidRPr="00184F3D" w:rsidRDefault="00184F3D" w:rsidP="00736FD9">
      <w:pPr>
        <w:widowControl/>
        <w:spacing w:line="360" w:lineRule="auto"/>
        <w:ind w:firstLine="1440"/>
        <w:rPr>
          <w:sz w:val="26"/>
          <w:szCs w:val="26"/>
        </w:rPr>
      </w:pPr>
    </w:p>
    <w:p w:rsidR="00184F3D" w:rsidRPr="00184F3D" w:rsidRDefault="00364EE8" w:rsidP="00736FD9">
      <w:pPr>
        <w:widowControl/>
        <w:spacing w:line="360" w:lineRule="auto"/>
        <w:ind w:firstLine="1440"/>
        <w:rPr>
          <w:sz w:val="26"/>
          <w:szCs w:val="26"/>
        </w:rPr>
      </w:pPr>
      <w:r>
        <w:rPr>
          <w:sz w:val="26"/>
          <w:szCs w:val="26"/>
        </w:rPr>
        <w:t>On May 21, 2015, PECO</w:t>
      </w:r>
      <w:r w:rsidR="00184F3D" w:rsidRPr="00184F3D">
        <w:rPr>
          <w:sz w:val="26"/>
          <w:szCs w:val="26"/>
        </w:rPr>
        <w:t xml:space="preserve"> filed a Motion for Judgment on the Pleadings seeking to dismiss the portio</w:t>
      </w:r>
      <w:r>
        <w:rPr>
          <w:sz w:val="26"/>
          <w:szCs w:val="26"/>
        </w:rPr>
        <w:t>n of the Complainant’s present C</w:t>
      </w:r>
      <w:r w:rsidR="00184F3D" w:rsidRPr="00184F3D">
        <w:rPr>
          <w:sz w:val="26"/>
          <w:szCs w:val="26"/>
        </w:rPr>
        <w:t xml:space="preserve">omplaint that seeks compensation for his out of pocket expenses because the Commission lacks jurisdiction to award monetary damages.  Motion </w:t>
      </w:r>
      <w:r w:rsidR="004E75DC">
        <w:rPr>
          <w:sz w:val="26"/>
          <w:szCs w:val="26"/>
        </w:rPr>
        <w:t xml:space="preserve">at </w:t>
      </w:r>
      <w:r w:rsidR="00184F3D" w:rsidRPr="00184F3D">
        <w:rPr>
          <w:sz w:val="26"/>
          <w:szCs w:val="26"/>
        </w:rPr>
        <w:t>¶¶ 15, 16</w:t>
      </w:r>
      <w:r>
        <w:rPr>
          <w:sz w:val="26"/>
          <w:szCs w:val="26"/>
        </w:rPr>
        <w:t>.  In its Motion, the Company</w:t>
      </w:r>
      <w:r w:rsidR="00184F3D" w:rsidRPr="00184F3D">
        <w:rPr>
          <w:sz w:val="26"/>
          <w:szCs w:val="26"/>
        </w:rPr>
        <w:t xml:space="preserve"> averred that twenty days ha</w:t>
      </w:r>
      <w:r>
        <w:rPr>
          <w:sz w:val="26"/>
          <w:szCs w:val="26"/>
        </w:rPr>
        <w:t xml:space="preserve">d passed since it had </w:t>
      </w:r>
      <w:r w:rsidR="00184F3D" w:rsidRPr="00184F3D">
        <w:rPr>
          <w:sz w:val="26"/>
          <w:szCs w:val="26"/>
        </w:rPr>
        <w:t>filed its New Matter, and it had not been served with a response to its New Matter.</w:t>
      </w:r>
      <w:r>
        <w:rPr>
          <w:sz w:val="26"/>
          <w:szCs w:val="26"/>
        </w:rPr>
        <w:t xml:space="preserve">  Motion </w:t>
      </w:r>
      <w:r w:rsidR="004E75DC">
        <w:rPr>
          <w:sz w:val="26"/>
          <w:szCs w:val="26"/>
        </w:rPr>
        <w:t xml:space="preserve">at </w:t>
      </w:r>
      <w:r>
        <w:rPr>
          <w:sz w:val="26"/>
          <w:szCs w:val="26"/>
        </w:rPr>
        <w:t>¶¶</w:t>
      </w:r>
      <w:r w:rsidR="00E73139">
        <w:rPr>
          <w:sz w:val="26"/>
          <w:szCs w:val="26"/>
        </w:rPr>
        <w:t xml:space="preserve"> 7</w:t>
      </w:r>
      <w:r w:rsidR="002C1AD5">
        <w:rPr>
          <w:sz w:val="26"/>
          <w:szCs w:val="26"/>
        </w:rPr>
        <w:t>, 8</w:t>
      </w:r>
      <w:r>
        <w:rPr>
          <w:sz w:val="26"/>
          <w:szCs w:val="26"/>
        </w:rPr>
        <w:t>.</w:t>
      </w:r>
    </w:p>
    <w:p w:rsidR="00184F3D" w:rsidRPr="00184F3D" w:rsidRDefault="00184F3D" w:rsidP="00736FD9">
      <w:pPr>
        <w:widowControl/>
        <w:spacing w:line="360" w:lineRule="auto"/>
        <w:ind w:firstLine="1440"/>
        <w:rPr>
          <w:sz w:val="26"/>
          <w:szCs w:val="26"/>
        </w:rPr>
      </w:pPr>
    </w:p>
    <w:p w:rsidR="00E73139" w:rsidRPr="00E73139" w:rsidRDefault="00E73139" w:rsidP="00736FD9">
      <w:pPr>
        <w:widowControl/>
        <w:spacing w:line="360" w:lineRule="auto"/>
        <w:ind w:firstLine="1440"/>
        <w:rPr>
          <w:sz w:val="26"/>
          <w:szCs w:val="26"/>
        </w:rPr>
      </w:pPr>
      <w:r w:rsidRPr="00E73139">
        <w:rPr>
          <w:sz w:val="26"/>
          <w:szCs w:val="26"/>
        </w:rPr>
        <w:t>On June 17, 2015, the Complainant sent correspondence to the Commission indicating</w:t>
      </w:r>
      <w:r>
        <w:rPr>
          <w:sz w:val="26"/>
          <w:szCs w:val="26"/>
        </w:rPr>
        <w:t xml:space="preserve"> that PECO</w:t>
      </w:r>
      <w:r w:rsidRPr="00E73139">
        <w:rPr>
          <w:sz w:val="26"/>
          <w:szCs w:val="26"/>
        </w:rPr>
        <w:t xml:space="preserve"> </w:t>
      </w:r>
      <w:r>
        <w:rPr>
          <w:sz w:val="26"/>
          <w:szCs w:val="26"/>
        </w:rPr>
        <w:t xml:space="preserve">had </w:t>
      </w:r>
      <w:r w:rsidRPr="00E73139">
        <w:rPr>
          <w:sz w:val="26"/>
          <w:szCs w:val="26"/>
        </w:rPr>
        <w:t>acted in a fraudulent manner when it filed its Motion knowing that the Complainant would be out of the country</w:t>
      </w:r>
      <w:r>
        <w:rPr>
          <w:sz w:val="26"/>
          <w:szCs w:val="26"/>
        </w:rPr>
        <w:t xml:space="preserve"> from May 15, 2015, until June 10, 2015</w:t>
      </w:r>
      <w:r w:rsidRPr="00E73139">
        <w:rPr>
          <w:sz w:val="26"/>
          <w:szCs w:val="26"/>
        </w:rPr>
        <w:t xml:space="preserve">.  The Complainant’s correspondence did not contain responses to </w:t>
      </w:r>
      <w:r>
        <w:rPr>
          <w:sz w:val="26"/>
          <w:szCs w:val="26"/>
        </w:rPr>
        <w:t>the Respondent’s Motion but claimed that he in fact served PECO with his response to PECO’s New Matter.</w:t>
      </w:r>
    </w:p>
    <w:p w:rsidR="00E73139" w:rsidRDefault="00E73139" w:rsidP="00736FD9">
      <w:pPr>
        <w:widowControl/>
        <w:spacing w:line="360" w:lineRule="auto"/>
        <w:rPr>
          <w:sz w:val="26"/>
          <w:szCs w:val="26"/>
        </w:rPr>
      </w:pPr>
    </w:p>
    <w:p w:rsidR="00184F3D" w:rsidRPr="00184F3D" w:rsidRDefault="00184F3D" w:rsidP="00736FD9">
      <w:pPr>
        <w:widowControl/>
        <w:spacing w:line="360" w:lineRule="auto"/>
        <w:ind w:firstLine="1440"/>
        <w:rPr>
          <w:sz w:val="26"/>
          <w:szCs w:val="26"/>
        </w:rPr>
      </w:pPr>
      <w:r w:rsidRPr="00184F3D">
        <w:rPr>
          <w:sz w:val="26"/>
          <w:szCs w:val="26"/>
        </w:rPr>
        <w:t xml:space="preserve">By letter, dated July 9, 2015, </w:t>
      </w:r>
      <w:r w:rsidR="00BD712A">
        <w:rPr>
          <w:sz w:val="26"/>
          <w:szCs w:val="26"/>
        </w:rPr>
        <w:t xml:space="preserve">and </w:t>
      </w:r>
      <w:r w:rsidRPr="00184F3D">
        <w:rPr>
          <w:sz w:val="26"/>
          <w:szCs w:val="26"/>
        </w:rPr>
        <w:t>ad</w:t>
      </w:r>
      <w:r w:rsidR="0071285E">
        <w:rPr>
          <w:sz w:val="26"/>
          <w:szCs w:val="26"/>
        </w:rPr>
        <w:t xml:space="preserve">dressed to ALJ </w:t>
      </w:r>
      <w:r w:rsidRPr="00184F3D">
        <w:rPr>
          <w:sz w:val="26"/>
          <w:szCs w:val="26"/>
        </w:rPr>
        <w:t>Fordham</w:t>
      </w:r>
      <w:r w:rsidR="0071285E">
        <w:rPr>
          <w:sz w:val="26"/>
          <w:szCs w:val="26"/>
        </w:rPr>
        <w:t>,</w:t>
      </w:r>
      <w:r w:rsidRPr="00184F3D">
        <w:rPr>
          <w:sz w:val="26"/>
          <w:szCs w:val="26"/>
        </w:rPr>
        <w:t xml:space="preserve"> the Complainant stated that he had three complaints with the same “defendant” and requested that all three be consolidated and heard at the same time to save the Commonwealth time and money.</w:t>
      </w:r>
    </w:p>
    <w:p w:rsidR="00184F3D" w:rsidRPr="00184F3D" w:rsidRDefault="00184F3D" w:rsidP="00736FD9">
      <w:pPr>
        <w:widowControl/>
        <w:spacing w:line="360" w:lineRule="auto"/>
        <w:ind w:firstLine="1440"/>
        <w:rPr>
          <w:sz w:val="26"/>
          <w:szCs w:val="26"/>
        </w:rPr>
      </w:pPr>
    </w:p>
    <w:p w:rsidR="00184F3D" w:rsidRPr="00184F3D" w:rsidRDefault="003C294E" w:rsidP="00736FD9">
      <w:pPr>
        <w:widowControl/>
        <w:spacing w:line="360" w:lineRule="auto"/>
        <w:ind w:firstLine="1440"/>
        <w:rPr>
          <w:sz w:val="26"/>
          <w:szCs w:val="26"/>
        </w:rPr>
      </w:pPr>
      <w:r>
        <w:rPr>
          <w:sz w:val="26"/>
          <w:szCs w:val="26"/>
        </w:rPr>
        <w:t xml:space="preserve">On </w:t>
      </w:r>
      <w:r w:rsidR="00184F3D" w:rsidRPr="00184F3D">
        <w:rPr>
          <w:sz w:val="26"/>
          <w:szCs w:val="26"/>
        </w:rPr>
        <w:t xml:space="preserve">July 16, 2015, ALJ </w:t>
      </w:r>
      <w:r>
        <w:rPr>
          <w:sz w:val="26"/>
          <w:szCs w:val="26"/>
        </w:rPr>
        <w:t xml:space="preserve">Eranda </w:t>
      </w:r>
      <w:r w:rsidR="00184F3D" w:rsidRPr="00184F3D">
        <w:rPr>
          <w:sz w:val="26"/>
          <w:szCs w:val="26"/>
        </w:rPr>
        <w:t>Vero</w:t>
      </w:r>
      <w:r w:rsidR="0071285E">
        <w:rPr>
          <w:rStyle w:val="FootnoteReference"/>
          <w:sz w:val="26"/>
          <w:szCs w:val="26"/>
        </w:rPr>
        <w:footnoteReference w:id="3"/>
      </w:r>
      <w:r w:rsidR="00184F3D" w:rsidRPr="00184F3D">
        <w:rPr>
          <w:sz w:val="26"/>
          <w:szCs w:val="26"/>
        </w:rPr>
        <w:t xml:space="preserve"> </w:t>
      </w:r>
      <w:r>
        <w:rPr>
          <w:sz w:val="26"/>
          <w:szCs w:val="26"/>
        </w:rPr>
        <w:t xml:space="preserve">issued an Order on Respondent’s Motion for Judgment on the Pleadings wherein she </w:t>
      </w:r>
      <w:r w:rsidR="00184F3D" w:rsidRPr="00184F3D">
        <w:rPr>
          <w:sz w:val="26"/>
          <w:szCs w:val="26"/>
        </w:rPr>
        <w:t xml:space="preserve">denied </w:t>
      </w:r>
      <w:r w:rsidR="005534DC">
        <w:rPr>
          <w:sz w:val="26"/>
          <w:szCs w:val="26"/>
        </w:rPr>
        <w:t>PECO’s</w:t>
      </w:r>
      <w:r w:rsidR="00184F3D" w:rsidRPr="00184F3D">
        <w:rPr>
          <w:sz w:val="26"/>
          <w:szCs w:val="26"/>
        </w:rPr>
        <w:t xml:space="preserve"> </w:t>
      </w:r>
      <w:r w:rsidR="005534DC">
        <w:rPr>
          <w:sz w:val="26"/>
          <w:szCs w:val="26"/>
        </w:rPr>
        <w:t xml:space="preserve">request </w:t>
      </w:r>
      <w:r w:rsidR="00184F3D" w:rsidRPr="00184F3D">
        <w:rPr>
          <w:sz w:val="26"/>
          <w:szCs w:val="26"/>
        </w:rPr>
        <w:t xml:space="preserve">in light of the Complainant’s amendment of the relief requested.  </w:t>
      </w:r>
      <w:r w:rsidR="005534DC">
        <w:rPr>
          <w:sz w:val="26"/>
          <w:szCs w:val="26"/>
        </w:rPr>
        <w:t xml:space="preserve">The ALJ </w:t>
      </w:r>
      <w:r w:rsidR="00184F3D" w:rsidRPr="00184F3D">
        <w:rPr>
          <w:sz w:val="26"/>
          <w:szCs w:val="26"/>
        </w:rPr>
        <w:t xml:space="preserve">stated that the revised relief </w:t>
      </w:r>
      <w:r w:rsidR="005534DC">
        <w:rPr>
          <w:sz w:val="26"/>
          <w:szCs w:val="26"/>
        </w:rPr>
        <w:t>rendered the Company</w:t>
      </w:r>
      <w:r w:rsidR="00184F3D" w:rsidRPr="00184F3D">
        <w:rPr>
          <w:sz w:val="26"/>
          <w:szCs w:val="26"/>
        </w:rPr>
        <w:t>’s Motion moot</w:t>
      </w:r>
      <w:r w:rsidR="005534DC">
        <w:rPr>
          <w:sz w:val="26"/>
          <w:szCs w:val="26"/>
        </w:rPr>
        <w:t xml:space="preserve"> a</w:t>
      </w:r>
      <w:r w:rsidR="009A5BD2">
        <w:rPr>
          <w:sz w:val="26"/>
          <w:szCs w:val="26"/>
        </w:rPr>
        <w:t xml:space="preserve">nd </w:t>
      </w:r>
      <w:r w:rsidR="0071285E">
        <w:rPr>
          <w:sz w:val="26"/>
          <w:szCs w:val="26"/>
        </w:rPr>
        <w:t xml:space="preserve">she </w:t>
      </w:r>
      <w:r w:rsidR="009A5BD2">
        <w:rPr>
          <w:sz w:val="26"/>
          <w:szCs w:val="26"/>
        </w:rPr>
        <w:t>set the matter for a hearing</w:t>
      </w:r>
      <w:r w:rsidR="00184F3D" w:rsidRPr="00184F3D">
        <w:rPr>
          <w:sz w:val="26"/>
          <w:szCs w:val="26"/>
        </w:rPr>
        <w:t>.</w:t>
      </w:r>
    </w:p>
    <w:p w:rsidR="00184F3D" w:rsidRPr="00184F3D" w:rsidRDefault="00184F3D" w:rsidP="00736FD9">
      <w:pPr>
        <w:widowControl/>
        <w:spacing w:line="360" w:lineRule="auto"/>
        <w:ind w:firstLine="1440"/>
        <w:rPr>
          <w:sz w:val="26"/>
          <w:szCs w:val="26"/>
        </w:rPr>
      </w:pPr>
    </w:p>
    <w:p w:rsidR="00184F3D" w:rsidRPr="00184F3D" w:rsidRDefault="00184F3D" w:rsidP="00736FD9">
      <w:pPr>
        <w:widowControl/>
        <w:spacing w:line="360" w:lineRule="auto"/>
        <w:rPr>
          <w:sz w:val="26"/>
          <w:szCs w:val="26"/>
        </w:rPr>
      </w:pPr>
      <w:r w:rsidRPr="00184F3D">
        <w:rPr>
          <w:rFonts w:eastAsia="Calibri"/>
          <w:sz w:val="26"/>
          <w:szCs w:val="26"/>
        </w:rPr>
        <w:lastRenderedPageBreak/>
        <w:tab/>
      </w:r>
      <w:r w:rsidRPr="00184F3D">
        <w:rPr>
          <w:rFonts w:eastAsia="Calibri"/>
          <w:sz w:val="26"/>
          <w:szCs w:val="26"/>
        </w:rPr>
        <w:tab/>
        <w:t>On Sep</w:t>
      </w:r>
      <w:r w:rsidR="0071285E">
        <w:rPr>
          <w:rFonts w:eastAsia="Calibri"/>
          <w:sz w:val="26"/>
          <w:szCs w:val="26"/>
        </w:rPr>
        <w:t xml:space="preserve">tember 3, 2015, ALJ Fordham </w:t>
      </w:r>
      <w:r w:rsidRPr="00184F3D">
        <w:rPr>
          <w:rFonts w:eastAsia="Calibri"/>
          <w:sz w:val="26"/>
          <w:szCs w:val="26"/>
        </w:rPr>
        <w:t xml:space="preserve">issued Prehearing Order #2 denying the </w:t>
      </w:r>
      <w:r w:rsidR="0071285E">
        <w:rPr>
          <w:rFonts w:eastAsia="Calibri"/>
          <w:sz w:val="26"/>
          <w:szCs w:val="26"/>
        </w:rPr>
        <w:t>Complainant’s request to consolidate this</w:t>
      </w:r>
      <w:r w:rsidRPr="00184F3D">
        <w:rPr>
          <w:rFonts w:eastAsia="Calibri"/>
          <w:sz w:val="26"/>
          <w:szCs w:val="26"/>
        </w:rPr>
        <w:t xml:space="preserve"> </w:t>
      </w:r>
      <w:r w:rsidR="0071285E">
        <w:rPr>
          <w:rFonts w:eastAsia="Calibri"/>
          <w:sz w:val="26"/>
          <w:szCs w:val="26"/>
        </w:rPr>
        <w:t>case with his other two complaint cases against PECO.</w:t>
      </w:r>
      <w:r w:rsidR="0071285E">
        <w:rPr>
          <w:rStyle w:val="FootnoteReference"/>
          <w:rFonts w:eastAsia="Calibri"/>
          <w:sz w:val="26"/>
          <w:szCs w:val="26"/>
        </w:rPr>
        <w:footnoteReference w:id="4"/>
      </w:r>
      <w:r w:rsidR="0071285E">
        <w:rPr>
          <w:rFonts w:eastAsia="Calibri"/>
          <w:sz w:val="26"/>
          <w:szCs w:val="26"/>
        </w:rPr>
        <w:t xml:space="preserve">  </w:t>
      </w:r>
      <w:r w:rsidR="00C36F85">
        <w:rPr>
          <w:rFonts w:eastAsia="Calibri"/>
          <w:sz w:val="26"/>
          <w:szCs w:val="26"/>
        </w:rPr>
        <w:t>The ALJ noted that t</w:t>
      </w:r>
      <w:r w:rsidR="00C36F85">
        <w:rPr>
          <w:sz w:val="26"/>
          <w:szCs w:val="26"/>
        </w:rPr>
        <w:t>he Commission’s R</w:t>
      </w:r>
      <w:r w:rsidRPr="00184F3D">
        <w:rPr>
          <w:sz w:val="26"/>
          <w:szCs w:val="26"/>
        </w:rPr>
        <w:t>egulation at 52 Pa.</w:t>
      </w:r>
      <w:r w:rsidR="00C36F85">
        <w:rPr>
          <w:sz w:val="26"/>
          <w:szCs w:val="26"/>
        </w:rPr>
        <w:t xml:space="preserve"> </w:t>
      </w:r>
      <w:r w:rsidRPr="00184F3D">
        <w:rPr>
          <w:sz w:val="26"/>
          <w:szCs w:val="26"/>
        </w:rPr>
        <w:t>Code §</w:t>
      </w:r>
      <w:r w:rsidR="00BD712A">
        <w:rPr>
          <w:sz w:val="26"/>
          <w:szCs w:val="26"/>
        </w:rPr>
        <w:t> </w:t>
      </w:r>
      <w:r w:rsidRPr="00184F3D">
        <w:rPr>
          <w:sz w:val="26"/>
          <w:szCs w:val="26"/>
        </w:rPr>
        <w:t xml:space="preserve">5.81(a) authorizes a presiding officer to consolidate proceedings involving a common question of law or fact.  </w:t>
      </w:r>
      <w:r w:rsidR="00C36F85">
        <w:rPr>
          <w:sz w:val="26"/>
          <w:szCs w:val="26"/>
        </w:rPr>
        <w:t>However, the ALJ determined that s</w:t>
      </w:r>
      <w:r w:rsidRPr="00184F3D">
        <w:rPr>
          <w:sz w:val="26"/>
          <w:szCs w:val="26"/>
        </w:rPr>
        <w:t>ince there was no evidence in the record to show that the cases at Docket Nos. C-2015-2477331 and C-2015-2487879 involve a common question of law or fact with the instant case and the complaints involve a different prop</w:t>
      </w:r>
      <w:r w:rsidR="00C36F85">
        <w:rPr>
          <w:sz w:val="26"/>
          <w:szCs w:val="26"/>
        </w:rPr>
        <w:t>erty and different issues, the C</w:t>
      </w:r>
      <w:r w:rsidRPr="00184F3D">
        <w:rPr>
          <w:sz w:val="26"/>
          <w:szCs w:val="26"/>
        </w:rPr>
        <w:t xml:space="preserve">omplaint at Docket No. C-2015-2477321 was not consolidated with the complaints at Docket Nos. C-2015-2477331 and C-2015-2487879. </w:t>
      </w:r>
    </w:p>
    <w:p w:rsidR="00184F3D" w:rsidRPr="00184F3D" w:rsidRDefault="00184F3D" w:rsidP="00736FD9">
      <w:pPr>
        <w:widowControl/>
        <w:spacing w:line="360" w:lineRule="auto"/>
        <w:rPr>
          <w:sz w:val="26"/>
          <w:szCs w:val="26"/>
        </w:rPr>
      </w:pPr>
    </w:p>
    <w:p w:rsidR="00184F3D" w:rsidRPr="00184F3D" w:rsidRDefault="00184F3D">
      <w:pPr>
        <w:pStyle w:val="NoSpacing"/>
        <w:rPr>
          <w:sz w:val="26"/>
          <w:szCs w:val="26"/>
        </w:rPr>
      </w:pPr>
      <w:r w:rsidRPr="00184F3D">
        <w:rPr>
          <w:sz w:val="26"/>
          <w:szCs w:val="26"/>
        </w:rPr>
        <w:tab/>
      </w:r>
      <w:r w:rsidRPr="00184F3D">
        <w:rPr>
          <w:sz w:val="26"/>
          <w:szCs w:val="26"/>
        </w:rPr>
        <w:tab/>
        <w:t>A</w:t>
      </w:r>
      <w:r w:rsidR="00AF60E7">
        <w:rPr>
          <w:sz w:val="26"/>
          <w:szCs w:val="26"/>
        </w:rPr>
        <w:t>n</w:t>
      </w:r>
      <w:r w:rsidRPr="00184F3D">
        <w:rPr>
          <w:sz w:val="26"/>
          <w:szCs w:val="26"/>
        </w:rPr>
        <w:t xml:space="preserve"> </w:t>
      </w:r>
      <w:r w:rsidR="00AF60E7">
        <w:rPr>
          <w:sz w:val="26"/>
          <w:szCs w:val="26"/>
        </w:rPr>
        <w:t>Initial H</w:t>
      </w:r>
      <w:r w:rsidRPr="00184F3D">
        <w:rPr>
          <w:sz w:val="26"/>
          <w:szCs w:val="26"/>
        </w:rPr>
        <w:t>earing was held in this matter on September 29, 2015</w:t>
      </w:r>
      <w:r w:rsidR="00AF60E7">
        <w:rPr>
          <w:sz w:val="26"/>
          <w:szCs w:val="26"/>
        </w:rPr>
        <w:t xml:space="preserve">.  </w:t>
      </w:r>
      <w:r w:rsidRPr="00184F3D">
        <w:rPr>
          <w:sz w:val="26"/>
          <w:szCs w:val="26"/>
        </w:rPr>
        <w:t>The Complainant</w:t>
      </w:r>
      <w:r w:rsidR="00AF60E7">
        <w:rPr>
          <w:sz w:val="26"/>
          <w:szCs w:val="26"/>
        </w:rPr>
        <w:t xml:space="preserve"> appeared </w:t>
      </w:r>
      <w:r w:rsidR="00AF60E7">
        <w:rPr>
          <w:i/>
          <w:sz w:val="26"/>
          <w:szCs w:val="26"/>
        </w:rPr>
        <w:t xml:space="preserve">pro se </w:t>
      </w:r>
      <w:r w:rsidRPr="00184F3D">
        <w:rPr>
          <w:sz w:val="26"/>
          <w:szCs w:val="26"/>
        </w:rPr>
        <w:t xml:space="preserve">and sponsored eleven exhibits.  </w:t>
      </w:r>
      <w:r w:rsidR="00AF60E7">
        <w:rPr>
          <w:sz w:val="26"/>
          <w:szCs w:val="26"/>
        </w:rPr>
        <w:t>PECO was represented by counsel who</w:t>
      </w:r>
      <w:r w:rsidRPr="00184F3D">
        <w:rPr>
          <w:sz w:val="26"/>
          <w:szCs w:val="26"/>
        </w:rPr>
        <w:t xml:space="preserve"> presented one witness</w:t>
      </w:r>
      <w:r w:rsidR="00AF60E7">
        <w:rPr>
          <w:sz w:val="26"/>
          <w:szCs w:val="26"/>
        </w:rPr>
        <w:t xml:space="preserve"> </w:t>
      </w:r>
      <w:r w:rsidR="004E75DC">
        <w:rPr>
          <w:sz w:val="26"/>
          <w:szCs w:val="26"/>
        </w:rPr>
        <w:t xml:space="preserve">and </w:t>
      </w:r>
      <w:r w:rsidR="00AF60E7">
        <w:rPr>
          <w:sz w:val="26"/>
          <w:szCs w:val="26"/>
        </w:rPr>
        <w:t>sponsored nine exhibits.</w:t>
      </w:r>
      <w:r w:rsidRPr="00184F3D">
        <w:rPr>
          <w:sz w:val="26"/>
          <w:szCs w:val="26"/>
        </w:rPr>
        <w:t xml:space="preserve"> </w:t>
      </w:r>
    </w:p>
    <w:p w:rsidR="00184F3D" w:rsidRPr="00184F3D" w:rsidRDefault="00184F3D">
      <w:pPr>
        <w:pStyle w:val="NoSpacing"/>
        <w:ind w:left="1440" w:right="1440"/>
        <w:rPr>
          <w:sz w:val="26"/>
          <w:szCs w:val="26"/>
        </w:rPr>
      </w:pPr>
    </w:p>
    <w:p w:rsidR="00184F3D" w:rsidRDefault="00184F3D">
      <w:pPr>
        <w:pStyle w:val="BodyText3"/>
        <w:spacing w:after="0"/>
        <w:jc w:val="left"/>
        <w:rPr>
          <w:sz w:val="26"/>
          <w:szCs w:val="26"/>
        </w:rPr>
      </w:pPr>
      <w:r w:rsidRPr="00184F3D">
        <w:rPr>
          <w:sz w:val="26"/>
          <w:szCs w:val="26"/>
        </w:rPr>
        <w:tab/>
      </w:r>
      <w:r w:rsidRPr="00184F3D">
        <w:rPr>
          <w:sz w:val="26"/>
          <w:szCs w:val="26"/>
        </w:rPr>
        <w:tab/>
        <w:t xml:space="preserve">The </w:t>
      </w:r>
      <w:r w:rsidR="00AF60E7">
        <w:rPr>
          <w:sz w:val="26"/>
          <w:szCs w:val="26"/>
        </w:rPr>
        <w:t xml:space="preserve">hearing produced a transcript </w:t>
      </w:r>
      <w:r w:rsidR="002C1AD5" w:rsidRPr="00184F3D">
        <w:rPr>
          <w:sz w:val="26"/>
          <w:szCs w:val="26"/>
        </w:rPr>
        <w:t xml:space="preserve">of </w:t>
      </w:r>
      <w:r w:rsidR="002C1AD5">
        <w:rPr>
          <w:sz w:val="26"/>
          <w:szCs w:val="26"/>
        </w:rPr>
        <w:t>seventy</w:t>
      </w:r>
      <w:r w:rsidR="00AF60E7">
        <w:rPr>
          <w:sz w:val="26"/>
          <w:szCs w:val="26"/>
        </w:rPr>
        <w:t xml:space="preserve">-seven </w:t>
      </w:r>
      <w:r w:rsidRPr="00184F3D">
        <w:rPr>
          <w:sz w:val="26"/>
          <w:szCs w:val="26"/>
        </w:rPr>
        <w:t>page</w:t>
      </w:r>
      <w:r w:rsidR="00AF60E7">
        <w:rPr>
          <w:sz w:val="26"/>
          <w:szCs w:val="26"/>
        </w:rPr>
        <w:t xml:space="preserve">s </w:t>
      </w:r>
      <w:r w:rsidRPr="00184F3D">
        <w:rPr>
          <w:sz w:val="26"/>
          <w:szCs w:val="26"/>
        </w:rPr>
        <w:t>and</w:t>
      </w:r>
      <w:r w:rsidR="00AF60E7">
        <w:rPr>
          <w:sz w:val="26"/>
          <w:szCs w:val="26"/>
        </w:rPr>
        <w:t xml:space="preserve"> t</w:t>
      </w:r>
      <w:r w:rsidRPr="00184F3D">
        <w:rPr>
          <w:sz w:val="26"/>
          <w:szCs w:val="26"/>
        </w:rPr>
        <w:t>he rec</w:t>
      </w:r>
      <w:r w:rsidR="00AF60E7">
        <w:rPr>
          <w:sz w:val="26"/>
          <w:szCs w:val="26"/>
        </w:rPr>
        <w:t>ord closed on October 26, 2015</w:t>
      </w:r>
      <w:r w:rsidRPr="00184F3D">
        <w:rPr>
          <w:sz w:val="26"/>
          <w:szCs w:val="26"/>
        </w:rPr>
        <w:t>.</w:t>
      </w:r>
    </w:p>
    <w:p w:rsidR="00502691" w:rsidRDefault="00502691">
      <w:pPr>
        <w:pStyle w:val="BodyText3"/>
        <w:spacing w:after="0"/>
        <w:jc w:val="left"/>
        <w:rPr>
          <w:sz w:val="26"/>
          <w:szCs w:val="26"/>
        </w:rPr>
      </w:pPr>
    </w:p>
    <w:p w:rsidR="00502691" w:rsidRDefault="00502691">
      <w:pPr>
        <w:pStyle w:val="BodyText3"/>
        <w:spacing w:after="0"/>
        <w:jc w:val="left"/>
        <w:rPr>
          <w:sz w:val="26"/>
          <w:szCs w:val="26"/>
        </w:rPr>
      </w:pPr>
      <w:r>
        <w:rPr>
          <w:sz w:val="26"/>
          <w:szCs w:val="26"/>
        </w:rPr>
        <w:tab/>
      </w:r>
      <w:r>
        <w:rPr>
          <w:sz w:val="26"/>
          <w:szCs w:val="26"/>
        </w:rPr>
        <w:tab/>
        <w:t xml:space="preserve">In her Initial Decision issued on </w:t>
      </w:r>
      <w:r>
        <w:rPr>
          <w:sz w:val="26"/>
        </w:rPr>
        <w:t>January 21</w:t>
      </w:r>
      <w:r w:rsidRPr="0069670F">
        <w:rPr>
          <w:sz w:val="26"/>
        </w:rPr>
        <w:t>, 201</w:t>
      </w:r>
      <w:r>
        <w:rPr>
          <w:sz w:val="26"/>
        </w:rPr>
        <w:t>6</w:t>
      </w:r>
      <w:r>
        <w:rPr>
          <w:sz w:val="26"/>
          <w:szCs w:val="26"/>
        </w:rPr>
        <w:t>, ALJ Fordham dismissed the Complaint.  As previously indicated, the Complainant filed Exceptions to the Initial Decision on February 10, 2016, and PECO filed Replies to Exceptions on February 24, 2016.</w:t>
      </w:r>
    </w:p>
    <w:p w:rsidR="007515BA" w:rsidRDefault="007515BA">
      <w:pPr>
        <w:widowControl/>
        <w:spacing w:after="200" w:line="276" w:lineRule="auto"/>
        <w:rPr>
          <w:rFonts w:eastAsiaTheme="minorHAnsi"/>
          <w:sz w:val="26"/>
          <w:szCs w:val="26"/>
        </w:rPr>
      </w:pPr>
      <w:r>
        <w:rPr>
          <w:sz w:val="26"/>
          <w:szCs w:val="26"/>
        </w:rPr>
        <w:br w:type="page"/>
      </w:r>
    </w:p>
    <w:p w:rsidR="00A743C9" w:rsidRPr="008E5758" w:rsidRDefault="00A743C9">
      <w:pPr>
        <w:widowControl/>
        <w:tabs>
          <w:tab w:val="left" w:pos="900"/>
        </w:tabs>
        <w:spacing w:line="360" w:lineRule="auto"/>
        <w:jc w:val="center"/>
        <w:rPr>
          <w:sz w:val="26"/>
        </w:rPr>
      </w:pPr>
      <w:r w:rsidRPr="008E5758">
        <w:rPr>
          <w:b/>
          <w:sz w:val="26"/>
        </w:rPr>
        <w:lastRenderedPageBreak/>
        <w:t>Discussion</w:t>
      </w:r>
    </w:p>
    <w:p w:rsidR="00A743C9" w:rsidRPr="008E5758" w:rsidRDefault="00A743C9">
      <w:pPr>
        <w:widowControl/>
        <w:tabs>
          <w:tab w:val="left" w:pos="900"/>
        </w:tabs>
        <w:spacing w:line="360" w:lineRule="auto"/>
        <w:rPr>
          <w:sz w:val="26"/>
        </w:rPr>
      </w:pPr>
    </w:p>
    <w:p w:rsidR="00A743C9" w:rsidRDefault="00A743C9">
      <w:pPr>
        <w:widowControl/>
        <w:tabs>
          <w:tab w:val="left" w:pos="-720"/>
        </w:tabs>
        <w:suppressAutoHyphens/>
        <w:spacing w:line="360" w:lineRule="auto"/>
        <w:rPr>
          <w:b/>
          <w:sz w:val="26"/>
        </w:rPr>
      </w:pPr>
      <w:r w:rsidRPr="00910FEF">
        <w:rPr>
          <w:b/>
          <w:sz w:val="26"/>
        </w:rPr>
        <w:t>Legal Standards</w:t>
      </w:r>
    </w:p>
    <w:p w:rsidR="00A743C9" w:rsidRPr="00910FEF" w:rsidRDefault="00A743C9">
      <w:pPr>
        <w:widowControl/>
        <w:tabs>
          <w:tab w:val="left" w:pos="-720"/>
        </w:tabs>
        <w:suppressAutoHyphens/>
        <w:spacing w:line="360" w:lineRule="auto"/>
        <w:rPr>
          <w:sz w:val="26"/>
        </w:rPr>
      </w:pPr>
    </w:p>
    <w:p w:rsidR="00A743C9" w:rsidRDefault="00A743C9">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r>
        <w:rPr>
          <w:sz w:val="26"/>
          <w:szCs w:val="26"/>
        </w:rPr>
        <w:t xml:space="preserve"> </w:t>
      </w:r>
    </w:p>
    <w:p w:rsidR="00A743C9" w:rsidRDefault="00A743C9">
      <w:pPr>
        <w:widowControl/>
        <w:spacing w:line="360" w:lineRule="auto"/>
        <w:ind w:firstLine="1440"/>
        <w:rPr>
          <w:sz w:val="26"/>
          <w:szCs w:val="26"/>
        </w:rPr>
      </w:pPr>
    </w:p>
    <w:p w:rsidR="00A743C9" w:rsidRPr="00CC1FD7" w:rsidRDefault="00A743C9">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8" w:history="1">
        <w:r w:rsidRPr="00A743C9">
          <w:rPr>
            <w:rStyle w:val="Hyperlink"/>
            <w:rFonts w:ascii="Times New (W1)" w:hAnsi="Times New (W1)"/>
            <w:i/>
            <w:iCs/>
            <w:color w:val="auto"/>
            <w:sz w:val="26"/>
            <w:u w:val="none"/>
          </w:rPr>
          <w:t>Burleson v. Pa. PUC,</w:t>
        </w:r>
        <w:r w:rsidRPr="00A743C9">
          <w:rPr>
            <w:rStyle w:val="Hyperlink"/>
            <w:rFonts w:ascii="Times New (W1)" w:hAnsi="Times New (W1)"/>
            <w:iCs/>
            <w:color w:val="auto"/>
            <w:sz w:val="26"/>
            <w:u w:val="none"/>
          </w:rPr>
          <w:t xml:space="preserve"> 443 A.2d 1373 (Pa. Cmwlth. 1982), </w:t>
        </w:r>
        <w:r w:rsidRPr="00A743C9">
          <w:rPr>
            <w:rStyle w:val="Hyperlink"/>
            <w:rFonts w:ascii="Times New (W1)" w:hAnsi="Times New (W1)"/>
            <w:i/>
            <w:iCs/>
            <w:color w:val="auto"/>
            <w:sz w:val="26"/>
            <w:u w:val="none"/>
          </w:rPr>
          <w:t>aff’d,</w:t>
        </w:r>
        <w:r w:rsidRPr="00A743C9">
          <w:rPr>
            <w:rStyle w:val="Hyperlink"/>
            <w:rFonts w:ascii="Times New (W1)" w:hAnsi="Times New (W1)"/>
            <w:iCs/>
            <w:color w:val="auto"/>
            <w:sz w:val="26"/>
            <w:u w:val="none"/>
          </w:rPr>
          <w:t xml:space="preserve"> 501 Pa. 433, 461 A.2d 1234 (1983).</w:t>
        </w:r>
      </w:hyperlink>
    </w:p>
    <w:p w:rsidR="00A743C9" w:rsidRPr="00182752" w:rsidRDefault="00A743C9">
      <w:pPr>
        <w:widowControl/>
        <w:spacing w:line="360" w:lineRule="auto"/>
        <w:ind w:firstLine="1440"/>
        <w:rPr>
          <w:sz w:val="26"/>
        </w:rPr>
      </w:pPr>
    </w:p>
    <w:p w:rsidR="00A743C9" w:rsidRDefault="00A743C9">
      <w:pPr>
        <w:widowControl/>
        <w:spacing w:line="360" w:lineRule="auto"/>
        <w:ind w:firstLine="1440"/>
        <w:rPr>
          <w:sz w:val="26"/>
        </w:rPr>
      </w:pPr>
      <w:r w:rsidRPr="00182752">
        <w:rPr>
          <w:sz w:val="26"/>
        </w:rPr>
        <w:t xml:space="preserve">While the burden of </w:t>
      </w:r>
      <w:r>
        <w:rPr>
          <w:sz w:val="26"/>
        </w:rPr>
        <w:t>going forward with the evidence</w:t>
      </w:r>
      <w:r w:rsidRPr="00182752">
        <w:rPr>
          <w:sz w:val="26"/>
        </w:rPr>
        <w:t xml:space="preserve"> may </w:t>
      </w:r>
      <w:r w:rsidRPr="00A743C9">
        <w:rPr>
          <w:rStyle w:val="term1"/>
          <w:b w:val="0"/>
          <w:sz w:val="26"/>
        </w:rPr>
        <w:t>shift</w:t>
      </w:r>
      <w:r w:rsidRPr="008F16A1">
        <w:rPr>
          <w:sz w:val="26"/>
        </w:rPr>
        <w:t xml:space="preserve"> back and forth during a proceeding, the </w:t>
      </w:r>
      <w:r w:rsidRPr="00A743C9">
        <w:rPr>
          <w:rStyle w:val="term1"/>
          <w:b w:val="0"/>
          <w:sz w:val="26"/>
        </w:rPr>
        <w:t>burden of proof</w:t>
      </w:r>
      <w:r w:rsidRPr="008F16A1">
        <w:rPr>
          <w:sz w:val="26"/>
        </w:rPr>
        <w:t xml:space="preserve"> never </w:t>
      </w:r>
      <w:r w:rsidRPr="00A743C9">
        <w:rPr>
          <w:rStyle w:val="term1"/>
          <w:b w:val="0"/>
          <w:sz w:val="26"/>
        </w:rPr>
        <w:t>shifts. The burden of proof</w:t>
      </w:r>
      <w:r w:rsidRPr="008F16A1">
        <w:rPr>
          <w:sz w:val="26"/>
        </w:rPr>
        <w:t xml:space="preserve"> always </w:t>
      </w:r>
      <w:r w:rsidRPr="008F16A1">
        <w:rPr>
          <w:sz w:val="26"/>
        </w:rPr>
        <w:lastRenderedPageBreak/>
        <w:t>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A743C9" w:rsidRDefault="00A743C9">
      <w:pPr>
        <w:widowControl/>
        <w:spacing w:line="360" w:lineRule="auto"/>
        <w:ind w:firstLine="1440"/>
        <w:rPr>
          <w:sz w:val="26"/>
        </w:rPr>
      </w:pPr>
    </w:p>
    <w:p w:rsidR="00A743C9" w:rsidRDefault="00A743C9">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w:t>
      </w:r>
      <w:r w:rsidRPr="003C0085">
        <w:rPr>
          <w:i/>
          <w:color w:val="000000"/>
          <w:sz w:val="26"/>
          <w:szCs w:val="26"/>
        </w:rPr>
        <w:t>see also, generally,</w:t>
      </w:r>
      <w:r w:rsidRPr="00CB10E4">
        <w:rPr>
          <w:color w:val="000000"/>
          <w:sz w:val="26"/>
          <w:szCs w:val="26"/>
        </w:rPr>
        <w:t xml:space="preserve"> </w:t>
      </w:r>
      <w:r w:rsidRPr="00843DF5">
        <w:rPr>
          <w:i/>
          <w:color w:val="000000"/>
          <w:sz w:val="26"/>
          <w:szCs w:val="26"/>
        </w:rPr>
        <w:t>University of Pennsylvania v. Pa. PUC</w:t>
      </w:r>
      <w:r w:rsidRPr="00CB10E4">
        <w:rPr>
          <w:color w:val="000000"/>
          <w:sz w:val="26"/>
          <w:szCs w:val="26"/>
        </w:rPr>
        <w:t>, 485 A.2d 1217 (Pa. Cmwlth. 1984).</w:t>
      </w:r>
    </w:p>
    <w:p w:rsidR="00A743C9" w:rsidRDefault="00A743C9">
      <w:pPr>
        <w:widowControl/>
        <w:spacing w:line="360" w:lineRule="auto"/>
        <w:rPr>
          <w:b/>
          <w:sz w:val="26"/>
          <w:szCs w:val="26"/>
        </w:rPr>
      </w:pPr>
    </w:p>
    <w:p w:rsidR="00DA1467" w:rsidRDefault="006C1D14">
      <w:pPr>
        <w:widowControl/>
        <w:spacing w:line="360" w:lineRule="auto"/>
        <w:rPr>
          <w:b/>
          <w:sz w:val="26"/>
          <w:szCs w:val="26"/>
        </w:rPr>
      </w:pPr>
      <w:r>
        <w:rPr>
          <w:b/>
          <w:sz w:val="26"/>
          <w:szCs w:val="26"/>
        </w:rPr>
        <w:t>Positions of the Parties</w:t>
      </w:r>
    </w:p>
    <w:p w:rsidR="006C1D14" w:rsidRPr="006C1D14" w:rsidRDefault="006C1D14">
      <w:pPr>
        <w:widowControl/>
        <w:spacing w:line="360" w:lineRule="auto"/>
        <w:rPr>
          <w:b/>
          <w:sz w:val="26"/>
          <w:szCs w:val="26"/>
        </w:rPr>
      </w:pPr>
    </w:p>
    <w:p w:rsidR="00A353C3" w:rsidRPr="00A353C3" w:rsidRDefault="00D50A26">
      <w:pPr>
        <w:pStyle w:val="NoSpacing"/>
        <w:rPr>
          <w:rFonts w:eastAsia="Batang"/>
          <w:sz w:val="26"/>
          <w:szCs w:val="26"/>
        </w:rPr>
      </w:pPr>
      <w:r>
        <w:rPr>
          <w:sz w:val="26"/>
          <w:szCs w:val="26"/>
        </w:rPr>
        <w:tab/>
      </w:r>
      <w:r>
        <w:rPr>
          <w:sz w:val="26"/>
          <w:szCs w:val="26"/>
        </w:rPr>
        <w:tab/>
      </w:r>
      <w:r w:rsidR="006C1D14">
        <w:rPr>
          <w:sz w:val="26"/>
          <w:szCs w:val="26"/>
        </w:rPr>
        <w:t>T</w:t>
      </w:r>
      <w:r w:rsidR="00A353C3">
        <w:rPr>
          <w:sz w:val="26"/>
          <w:szCs w:val="26"/>
        </w:rPr>
        <w:t>he Complainant argued</w:t>
      </w:r>
      <w:r w:rsidR="00A353C3" w:rsidRPr="00A353C3">
        <w:rPr>
          <w:sz w:val="26"/>
          <w:szCs w:val="26"/>
        </w:rPr>
        <w:t xml:space="preserve"> </w:t>
      </w:r>
      <w:r w:rsidR="00A353C3">
        <w:rPr>
          <w:sz w:val="26"/>
          <w:szCs w:val="26"/>
        </w:rPr>
        <w:t xml:space="preserve">that it was not reasonable for PECO </w:t>
      </w:r>
      <w:r w:rsidR="00A353C3">
        <w:rPr>
          <w:rFonts w:eastAsia="Batang"/>
          <w:sz w:val="26"/>
          <w:szCs w:val="26"/>
        </w:rPr>
        <w:t xml:space="preserve">to </w:t>
      </w:r>
      <w:r w:rsidR="00A353C3" w:rsidRPr="00A353C3">
        <w:rPr>
          <w:rFonts w:eastAsia="Batang"/>
          <w:sz w:val="26"/>
          <w:szCs w:val="26"/>
        </w:rPr>
        <w:t xml:space="preserve">require </w:t>
      </w:r>
      <w:r w:rsidR="00A353C3">
        <w:rPr>
          <w:rFonts w:eastAsia="Batang"/>
          <w:sz w:val="26"/>
          <w:szCs w:val="26"/>
        </w:rPr>
        <w:t xml:space="preserve">him to obtain and pay for </w:t>
      </w:r>
      <w:r w:rsidR="00A353C3" w:rsidRPr="00A353C3">
        <w:rPr>
          <w:rFonts w:eastAsia="Batang"/>
          <w:sz w:val="26"/>
          <w:szCs w:val="26"/>
        </w:rPr>
        <w:t>an underwriter’s certifi</w:t>
      </w:r>
      <w:r w:rsidR="00A353C3">
        <w:rPr>
          <w:rFonts w:eastAsia="Batang"/>
          <w:sz w:val="26"/>
          <w:szCs w:val="26"/>
        </w:rPr>
        <w:t>cate unless a safety concern had</w:t>
      </w:r>
      <w:r w:rsidR="00A353C3" w:rsidRPr="00A353C3">
        <w:rPr>
          <w:rFonts w:eastAsia="Batang"/>
          <w:sz w:val="26"/>
          <w:szCs w:val="26"/>
        </w:rPr>
        <w:t xml:space="preserve"> been identified</w:t>
      </w:r>
      <w:r w:rsidR="004E75DC">
        <w:rPr>
          <w:rFonts w:eastAsia="Batang"/>
          <w:sz w:val="26"/>
          <w:szCs w:val="26"/>
        </w:rPr>
        <w:t>.</w:t>
      </w:r>
      <w:r w:rsidR="00A353C3" w:rsidRPr="00A353C3">
        <w:rPr>
          <w:rFonts w:eastAsia="Batang"/>
          <w:sz w:val="26"/>
          <w:szCs w:val="26"/>
        </w:rPr>
        <w:t xml:space="preserve"> </w:t>
      </w:r>
      <w:r w:rsidR="004E75DC">
        <w:rPr>
          <w:rFonts w:eastAsia="Batang"/>
          <w:sz w:val="26"/>
          <w:szCs w:val="26"/>
        </w:rPr>
        <w:t xml:space="preserve"> </w:t>
      </w:r>
      <w:r w:rsidR="00A353C3" w:rsidRPr="00A353C3">
        <w:rPr>
          <w:rFonts w:eastAsia="Batang"/>
          <w:sz w:val="26"/>
          <w:szCs w:val="26"/>
        </w:rPr>
        <w:t>Tr.</w:t>
      </w:r>
      <w:r w:rsidR="00A353C3">
        <w:rPr>
          <w:rFonts w:eastAsia="Batang"/>
          <w:sz w:val="26"/>
          <w:szCs w:val="26"/>
        </w:rPr>
        <w:t xml:space="preserve"> at</w:t>
      </w:r>
      <w:r w:rsidR="00A353C3" w:rsidRPr="00A353C3">
        <w:rPr>
          <w:rFonts w:eastAsia="Batang"/>
          <w:sz w:val="26"/>
          <w:szCs w:val="26"/>
        </w:rPr>
        <w:t xml:space="preserve"> </w:t>
      </w:r>
      <w:r w:rsidR="00A353C3">
        <w:rPr>
          <w:rFonts w:eastAsia="Batang"/>
          <w:sz w:val="26"/>
          <w:szCs w:val="26"/>
        </w:rPr>
        <w:t>11-</w:t>
      </w:r>
      <w:r w:rsidR="00A353C3" w:rsidRPr="00A353C3">
        <w:rPr>
          <w:rFonts w:eastAsia="Batang"/>
          <w:sz w:val="26"/>
          <w:szCs w:val="26"/>
        </w:rPr>
        <w:t xml:space="preserve">13.  </w:t>
      </w:r>
      <w:r w:rsidR="006C1D14">
        <w:rPr>
          <w:rFonts w:eastAsia="Batang"/>
          <w:sz w:val="26"/>
          <w:szCs w:val="26"/>
        </w:rPr>
        <w:t>T</w:t>
      </w:r>
      <w:r w:rsidR="00A353C3" w:rsidRPr="00A353C3">
        <w:rPr>
          <w:rFonts w:eastAsia="Batang"/>
          <w:sz w:val="26"/>
          <w:szCs w:val="26"/>
        </w:rPr>
        <w:t>he</w:t>
      </w:r>
      <w:r w:rsidR="00A353C3" w:rsidRPr="00A353C3">
        <w:rPr>
          <w:rFonts w:eastAsia="Times New Roman"/>
          <w:sz w:val="26"/>
          <w:szCs w:val="26"/>
        </w:rPr>
        <w:t xml:space="preserve"> Complainant</w:t>
      </w:r>
      <w:r w:rsidR="00A353C3">
        <w:rPr>
          <w:rFonts w:eastAsia="Times New Roman"/>
          <w:sz w:val="26"/>
          <w:szCs w:val="26"/>
        </w:rPr>
        <w:t xml:space="preserve"> also</w:t>
      </w:r>
      <w:r w:rsidR="00A353C3" w:rsidRPr="00A353C3">
        <w:rPr>
          <w:rFonts w:eastAsia="Times New Roman"/>
          <w:sz w:val="26"/>
          <w:szCs w:val="26"/>
        </w:rPr>
        <w:t xml:space="preserve"> testified that his </w:t>
      </w:r>
      <w:r w:rsidR="00A353C3">
        <w:rPr>
          <w:rFonts w:eastAsia="Times New Roman"/>
          <w:sz w:val="26"/>
          <w:szCs w:val="26"/>
        </w:rPr>
        <w:t xml:space="preserve">prospective </w:t>
      </w:r>
      <w:r w:rsidR="00A353C3" w:rsidRPr="00A353C3">
        <w:rPr>
          <w:rFonts w:eastAsia="Times New Roman"/>
          <w:sz w:val="26"/>
          <w:szCs w:val="26"/>
        </w:rPr>
        <w:t>tenant could not move into the apartment on time because the</w:t>
      </w:r>
      <w:r w:rsidR="006C1D14">
        <w:rPr>
          <w:sz w:val="26"/>
          <w:szCs w:val="26"/>
        </w:rPr>
        <w:t xml:space="preserve"> Company</w:t>
      </w:r>
      <w:r w:rsidR="00A353C3" w:rsidRPr="00A353C3">
        <w:rPr>
          <w:sz w:val="26"/>
          <w:szCs w:val="26"/>
        </w:rPr>
        <w:t xml:space="preserve"> would not provide electric service before the </w:t>
      </w:r>
      <w:r w:rsidR="00A353C3" w:rsidRPr="00A353C3">
        <w:rPr>
          <w:rFonts w:eastAsia="Times New Roman"/>
          <w:sz w:val="26"/>
          <w:szCs w:val="26"/>
        </w:rPr>
        <w:t>underwriter’s certificate was submitted</w:t>
      </w:r>
      <w:r w:rsidR="004E75DC">
        <w:rPr>
          <w:rFonts w:eastAsia="Times New Roman"/>
          <w:sz w:val="26"/>
          <w:szCs w:val="26"/>
        </w:rPr>
        <w:t xml:space="preserve">. </w:t>
      </w:r>
      <w:r w:rsidR="00A353C3" w:rsidRPr="00A353C3">
        <w:rPr>
          <w:rFonts w:eastAsia="Times New Roman"/>
          <w:sz w:val="26"/>
          <w:szCs w:val="26"/>
        </w:rPr>
        <w:t xml:space="preserve"> Tr.</w:t>
      </w:r>
      <w:r w:rsidR="00A353C3">
        <w:rPr>
          <w:rFonts w:eastAsia="Times New Roman"/>
          <w:sz w:val="26"/>
          <w:szCs w:val="26"/>
        </w:rPr>
        <w:t xml:space="preserve"> at</w:t>
      </w:r>
      <w:r w:rsidR="00A353C3" w:rsidRPr="00A353C3">
        <w:rPr>
          <w:rFonts w:eastAsia="Times New Roman"/>
          <w:sz w:val="26"/>
          <w:szCs w:val="26"/>
        </w:rPr>
        <w:t xml:space="preserve"> 13. </w:t>
      </w:r>
      <w:r w:rsidR="001835BF">
        <w:rPr>
          <w:rFonts w:eastAsia="Times New Roman"/>
          <w:sz w:val="26"/>
          <w:szCs w:val="26"/>
        </w:rPr>
        <w:t xml:space="preserve"> T</w:t>
      </w:r>
      <w:r w:rsidR="00A353C3">
        <w:rPr>
          <w:rFonts w:eastAsia="Times New Roman"/>
          <w:sz w:val="26"/>
          <w:szCs w:val="26"/>
        </w:rPr>
        <w:t xml:space="preserve">he Complainant claimed </w:t>
      </w:r>
      <w:r w:rsidR="00A353C3" w:rsidRPr="00A353C3">
        <w:rPr>
          <w:rFonts w:eastAsia="Batang"/>
          <w:sz w:val="26"/>
          <w:szCs w:val="26"/>
        </w:rPr>
        <w:t>that the other apartment in the duplex had electricity and that the electric service for the second floor apartment had only been off a short time</w:t>
      </w:r>
      <w:r w:rsidR="004E75DC">
        <w:rPr>
          <w:rFonts w:eastAsia="Batang"/>
          <w:sz w:val="26"/>
          <w:szCs w:val="26"/>
        </w:rPr>
        <w:t xml:space="preserve">. </w:t>
      </w:r>
      <w:r w:rsidR="00A353C3" w:rsidRPr="00A353C3">
        <w:rPr>
          <w:rFonts w:eastAsia="Batang"/>
          <w:sz w:val="26"/>
          <w:szCs w:val="26"/>
        </w:rPr>
        <w:t xml:space="preserve"> Tr.</w:t>
      </w:r>
      <w:r w:rsidR="00A353C3">
        <w:rPr>
          <w:rFonts w:eastAsia="Batang"/>
          <w:sz w:val="26"/>
          <w:szCs w:val="26"/>
        </w:rPr>
        <w:t xml:space="preserve"> at</w:t>
      </w:r>
      <w:r w:rsidR="00A353C3" w:rsidRPr="00A353C3">
        <w:rPr>
          <w:rFonts w:eastAsia="Batang"/>
          <w:sz w:val="26"/>
          <w:szCs w:val="26"/>
        </w:rPr>
        <w:t xml:space="preserve"> 10. </w:t>
      </w:r>
      <w:r w:rsidR="00A353C3">
        <w:rPr>
          <w:rFonts w:eastAsia="Batang"/>
          <w:sz w:val="26"/>
          <w:szCs w:val="26"/>
        </w:rPr>
        <w:t xml:space="preserve"> </w:t>
      </w:r>
      <w:r w:rsidR="00A353C3" w:rsidRPr="00A353C3">
        <w:rPr>
          <w:sz w:val="26"/>
          <w:szCs w:val="26"/>
        </w:rPr>
        <w:t>The Compl</w:t>
      </w:r>
      <w:r w:rsidR="00A353C3">
        <w:rPr>
          <w:sz w:val="26"/>
          <w:szCs w:val="26"/>
        </w:rPr>
        <w:t xml:space="preserve">ainant further asserted that PECO </w:t>
      </w:r>
      <w:r w:rsidR="00A353C3" w:rsidRPr="00A353C3">
        <w:rPr>
          <w:sz w:val="26"/>
          <w:szCs w:val="26"/>
        </w:rPr>
        <w:t xml:space="preserve">failed to cite a law or tariff that required him to submit the </w:t>
      </w:r>
      <w:r w:rsidR="00A353C3" w:rsidRPr="00A353C3">
        <w:rPr>
          <w:rFonts w:eastAsia="Times New Roman"/>
          <w:sz w:val="26"/>
          <w:szCs w:val="26"/>
        </w:rPr>
        <w:t>underwriter’s certificate</w:t>
      </w:r>
      <w:r w:rsidR="004E75DC">
        <w:rPr>
          <w:rFonts w:eastAsia="Times New Roman"/>
          <w:sz w:val="26"/>
          <w:szCs w:val="26"/>
        </w:rPr>
        <w:t xml:space="preserve">. </w:t>
      </w:r>
      <w:r w:rsidR="00A353C3" w:rsidRPr="00A353C3">
        <w:rPr>
          <w:rFonts w:eastAsia="Times New Roman"/>
          <w:sz w:val="26"/>
          <w:szCs w:val="26"/>
        </w:rPr>
        <w:t xml:space="preserve"> Tr.</w:t>
      </w:r>
      <w:r w:rsidR="007A5ABB">
        <w:rPr>
          <w:rFonts w:eastAsia="Times New Roman"/>
          <w:sz w:val="26"/>
          <w:szCs w:val="26"/>
        </w:rPr>
        <w:t xml:space="preserve"> at</w:t>
      </w:r>
      <w:r w:rsidR="00A353C3" w:rsidRPr="00A353C3">
        <w:rPr>
          <w:rFonts w:eastAsia="Times New Roman"/>
          <w:sz w:val="26"/>
          <w:szCs w:val="26"/>
        </w:rPr>
        <w:t xml:space="preserve"> 15, 64</w:t>
      </w:r>
      <w:r w:rsidR="007A5ABB">
        <w:rPr>
          <w:rFonts w:eastAsia="Times New Roman"/>
          <w:sz w:val="26"/>
          <w:szCs w:val="26"/>
        </w:rPr>
        <w:t>; Complainant</w:t>
      </w:r>
      <w:r w:rsidR="00A353C3" w:rsidRPr="00A353C3">
        <w:rPr>
          <w:rFonts w:eastAsia="Times New Roman"/>
          <w:sz w:val="26"/>
          <w:szCs w:val="26"/>
        </w:rPr>
        <w:t xml:space="preserve"> Ex</w:t>
      </w:r>
      <w:r w:rsidR="007A5ABB">
        <w:rPr>
          <w:rFonts w:eastAsia="Times New Roman"/>
          <w:sz w:val="26"/>
          <w:szCs w:val="26"/>
        </w:rPr>
        <w:t>h</w:t>
      </w:r>
      <w:r w:rsidR="0010562F">
        <w:rPr>
          <w:rFonts w:eastAsia="Times New Roman"/>
          <w:sz w:val="26"/>
          <w:szCs w:val="26"/>
        </w:rPr>
        <w:t>s</w:t>
      </w:r>
      <w:r w:rsidR="007A5ABB">
        <w:rPr>
          <w:rFonts w:eastAsia="Times New Roman"/>
          <w:sz w:val="26"/>
          <w:szCs w:val="26"/>
        </w:rPr>
        <w:t>.</w:t>
      </w:r>
      <w:r w:rsidR="0010562F">
        <w:rPr>
          <w:rFonts w:eastAsia="Times New Roman"/>
          <w:sz w:val="26"/>
          <w:szCs w:val="26"/>
        </w:rPr>
        <w:t xml:space="preserve"> 7 and</w:t>
      </w:r>
      <w:r w:rsidR="00A353C3" w:rsidRPr="00A353C3">
        <w:rPr>
          <w:rFonts w:eastAsia="Times New Roman"/>
          <w:sz w:val="26"/>
          <w:szCs w:val="26"/>
        </w:rPr>
        <w:t xml:space="preserve"> 8; PECO Ex</w:t>
      </w:r>
      <w:r w:rsidR="007A5ABB">
        <w:rPr>
          <w:rFonts w:eastAsia="Times New Roman"/>
          <w:sz w:val="26"/>
          <w:szCs w:val="26"/>
        </w:rPr>
        <w:t>h</w:t>
      </w:r>
      <w:r w:rsidR="00A353C3" w:rsidRPr="00A353C3">
        <w:rPr>
          <w:rFonts w:eastAsia="Times New Roman"/>
          <w:sz w:val="26"/>
          <w:szCs w:val="26"/>
        </w:rPr>
        <w:t>. 8.</w:t>
      </w:r>
    </w:p>
    <w:p w:rsidR="00A353C3" w:rsidRPr="00A353C3" w:rsidRDefault="00A353C3">
      <w:pPr>
        <w:pStyle w:val="NoSpacing"/>
        <w:rPr>
          <w:rFonts w:eastAsia="Batang"/>
          <w:sz w:val="26"/>
          <w:szCs w:val="26"/>
        </w:rPr>
      </w:pPr>
    </w:p>
    <w:p w:rsidR="00A353C3" w:rsidRDefault="00A353C3">
      <w:pPr>
        <w:pStyle w:val="NoSpacing"/>
        <w:rPr>
          <w:rFonts w:eastAsia="Times New Roman"/>
          <w:color w:val="333333"/>
          <w:sz w:val="26"/>
          <w:szCs w:val="26"/>
        </w:rPr>
      </w:pPr>
      <w:r w:rsidRPr="00A353C3">
        <w:rPr>
          <w:rFonts w:eastAsia="Batang"/>
          <w:sz w:val="26"/>
          <w:szCs w:val="26"/>
        </w:rPr>
        <w:tab/>
      </w:r>
      <w:r w:rsidRPr="00A353C3">
        <w:rPr>
          <w:rFonts w:eastAsia="Batang"/>
          <w:sz w:val="26"/>
          <w:szCs w:val="26"/>
        </w:rPr>
        <w:tab/>
      </w:r>
      <w:r w:rsidR="00047404">
        <w:rPr>
          <w:rFonts w:eastAsia="Batang"/>
          <w:sz w:val="26"/>
          <w:szCs w:val="26"/>
        </w:rPr>
        <w:t xml:space="preserve">PECO </w:t>
      </w:r>
      <w:r w:rsidR="001835BF">
        <w:rPr>
          <w:rFonts w:eastAsia="Batang"/>
          <w:sz w:val="26"/>
          <w:szCs w:val="26"/>
        </w:rPr>
        <w:t xml:space="preserve">stated that the Company </w:t>
      </w:r>
      <w:r w:rsidR="00047404">
        <w:rPr>
          <w:rFonts w:eastAsia="Batang"/>
          <w:sz w:val="26"/>
          <w:szCs w:val="26"/>
        </w:rPr>
        <w:t xml:space="preserve">had </w:t>
      </w:r>
      <w:r w:rsidRPr="00A353C3">
        <w:rPr>
          <w:rFonts w:eastAsia="Batang"/>
          <w:sz w:val="26"/>
          <w:szCs w:val="26"/>
        </w:rPr>
        <w:t>requested an underwriter’s certificate</w:t>
      </w:r>
      <w:r w:rsidR="001835BF">
        <w:rPr>
          <w:rFonts w:eastAsia="Batang"/>
          <w:sz w:val="26"/>
          <w:szCs w:val="26"/>
        </w:rPr>
        <w:t xml:space="preserve"> from the Complainant</w:t>
      </w:r>
      <w:r w:rsidRPr="00A353C3">
        <w:rPr>
          <w:rFonts w:eastAsia="Batang"/>
          <w:sz w:val="26"/>
          <w:szCs w:val="26"/>
        </w:rPr>
        <w:t xml:space="preserve"> because the service </w:t>
      </w:r>
      <w:r w:rsidR="001835BF">
        <w:rPr>
          <w:rFonts w:eastAsia="Batang"/>
          <w:sz w:val="26"/>
          <w:szCs w:val="26"/>
        </w:rPr>
        <w:t>at his</w:t>
      </w:r>
      <w:r w:rsidR="00047404">
        <w:rPr>
          <w:rFonts w:eastAsia="Batang"/>
          <w:sz w:val="26"/>
          <w:szCs w:val="26"/>
        </w:rPr>
        <w:t xml:space="preserve"> vacant apartment within the duplex </w:t>
      </w:r>
      <w:r w:rsidRPr="00A353C3">
        <w:rPr>
          <w:rFonts w:eastAsia="Batang"/>
          <w:sz w:val="26"/>
          <w:szCs w:val="26"/>
        </w:rPr>
        <w:t>had been off longer than six months</w:t>
      </w:r>
      <w:r w:rsidR="004E75DC">
        <w:rPr>
          <w:rFonts w:eastAsia="Batang"/>
          <w:sz w:val="26"/>
          <w:szCs w:val="26"/>
        </w:rPr>
        <w:t xml:space="preserve">. </w:t>
      </w:r>
      <w:r w:rsidRPr="00A353C3">
        <w:rPr>
          <w:rFonts w:eastAsia="Batang"/>
          <w:sz w:val="26"/>
          <w:szCs w:val="26"/>
        </w:rPr>
        <w:t xml:space="preserve"> Tr. </w:t>
      </w:r>
      <w:r w:rsidR="00047404">
        <w:rPr>
          <w:rFonts w:eastAsia="Batang"/>
          <w:sz w:val="26"/>
          <w:szCs w:val="26"/>
        </w:rPr>
        <w:t xml:space="preserve">at </w:t>
      </w:r>
      <w:r w:rsidRPr="00A353C3">
        <w:rPr>
          <w:rFonts w:eastAsia="Batang"/>
          <w:sz w:val="26"/>
          <w:szCs w:val="26"/>
        </w:rPr>
        <w:t>33; PECO Ex</w:t>
      </w:r>
      <w:r w:rsidR="00047404">
        <w:rPr>
          <w:rFonts w:eastAsia="Batang"/>
          <w:sz w:val="26"/>
          <w:szCs w:val="26"/>
        </w:rPr>
        <w:t>h</w:t>
      </w:r>
      <w:r w:rsidR="0010562F">
        <w:rPr>
          <w:rFonts w:eastAsia="Batang"/>
          <w:sz w:val="26"/>
          <w:szCs w:val="26"/>
        </w:rPr>
        <w:t>s. 1 and</w:t>
      </w:r>
      <w:r w:rsidRPr="00A353C3">
        <w:rPr>
          <w:rFonts w:eastAsia="Batang"/>
          <w:sz w:val="26"/>
          <w:szCs w:val="26"/>
        </w:rPr>
        <w:t xml:space="preserve"> 4.  </w:t>
      </w:r>
      <w:r w:rsidR="00047404">
        <w:rPr>
          <w:rFonts w:eastAsia="Batang"/>
          <w:sz w:val="26"/>
          <w:szCs w:val="26"/>
        </w:rPr>
        <w:t>PECO</w:t>
      </w:r>
      <w:r w:rsidR="001835BF">
        <w:rPr>
          <w:rFonts w:eastAsia="Batang"/>
          <w:sz w:val="26"/>
          <w:szCs w:val="26"/>
        </w:rPr>
        <w:t xml:space="preserve"> asserted that </w:t>
      </w:r>
      <w:r w:rsidR="002C1AD5">
        <w:rPr>
          <w:rFonts w:eastAsia="Batang"/>
          <w:sz w:val="26"/>
          <w:szCs w:val="26"/>
        </w:rPr>
        <w:t>it</w:t>
      </w:r>
      <w:r w:rsidR="002C1AD5" w:rsidRPr="00A353C3">
        <w:rPr>
          <w:rFonts w:eastAsia="Batang"/>
          <w:sz w:val="26"/>
          <w:szCs w:val="26"/>
        </w:rPr>
        <w:t>s</w:t>
      </w:r>
      <w:r w:rsidRPr="00A353C3">
        <w:rPr>
          <w:rFonts w:eastAsia="Batang"/>
          <w:sz w:val="26"/>
          <w:szCs w:val="26"/>
        </w:rPr>
        <w:t xml:space="preserve"> request for an underwri</w:t>
      </w:r>
      <w:r w:rsidR="00047404">
        <w:rPr>
          <w:rFonts w:eastAsia="Batang"/>
          <w:sz w:val="26"/>
          <w:szCs w:val="26"/>
        </w:rPr>
        <w:t xml:space="preserve">ter certificate was based on a Company policy and </w:t>
      </w:r>
      <w:r w:rsidR="002C1AD5">
        <w:rPr>
          <w:rFonts w:eastAsia="Batang"/>
          <w:sz w:val="26"/>
          <w:szCs w:val="26"/>
        </w:rPr>
        <w:t>it’s</w:t>
      </w:r>
      <w:r w:rsidR="00047404">
        <w:rPr>
          <w:rFonts w:eastAsia="Batang"/>
          <w:sz w:val="26"/>
          <w:szCs w:val="26"/>
        </w:rPr>
        <w:t xml:space="preserve"> T</w:t>
      </w:r>
      <w:r w:rsidRPr="00A353C3">
        <w:rPr>
          <w:rFonts w:eastAsia="Batang"/>
          <w:sz w:val="26"/>
          <w:szCs w:val="26"/>
        </w:rPr>
        <w:t>ariff</w:t>
      </w:r>
      <w:r w:rsidR="004E75DC">
        <w:rPr>
          <w:rFonts w:eastAsia="Batang"/>
          <w:sz w:val="26"/>
          <w:szCs w:val="26"/>
        </w:rPr>
        <w:t>.</w:t>
      </w:r>
      <w:r w:rsidRPr="00A353C3">
        <w:rPr>
          <w:rFonts w:eastAsia="Batang"/>
          <w:sz w:val="26"/>
          <w:szCs w:val="26"/>
        </w:rPr>
        <w:t xml:space="preserve"> Tr.</w:t>
      </w:r>
      <w:r w:rsidR="00047404">
        <w:rPr>
          <w:rFonts w:eastAsia="Batang"/>
          <w:sz w:val="26"/>
          <w:szCs w:val="26"/>
        </w:rPr>
        <w:t xml:space="preserve"> </w:t>
      </w:r>
      <w:r w:rsidR="007046AB">
        <w:rPr>
          <w:rFonts w:eastAsia="Batang"/>
          <w:sz w:val="26"/>
          <w:szCs w:val="26"/>
        </w:rPr>
        <w:t>at </w:t>
      </w:r>
      <w:r w:rsidRPr="00A353C3">
        <w:rPr>
          <w:rFonts w:eastAsia="Batang"/>
          <w:sz w:val="26"/>
          <w:szCs w:val="26"/>
        </w:rPr>
        <w:t>30, 31; PECO Ex</w:t>
      </w:r>
      <w:r w:rsidR="00047404">
        <w:rPr>
          <w:rFonts w:eastAsia="Batang"/>
          <w:sz w:val="26"/>
          <w:szCs w:val="26"/>
        </w:rPr>
        <w:t>h</w:t>
      </w:r>
      <w:r w:rsidR="0010562F">
        <w:rPr>
          <w:rFonts w:eastAsia="Batang"/>
          <w:sz w:val="26"/>
          <w:szCs w:val="26"/>
        </w:rPr>
        <w:t>s. 4 and</w:t>
      </w:r>
      <w:r w:rsidRPr="00A353C3">
        <w:rPr>
          <w:rFonts w:eastAsia="Batang"/>
          <w:sz w:val="26"/>
          <w:szCs w:val="26"/>
        </w:rPr>
        <w:t xml:space="preserve"> 5.  </w:t>
      </w:r>
      <w:r w:rsidR="00047404">
        <w:rPr>
          <w:rFonts w:eastAsia="Batang"/>
          <w:sz w:val="26"/>
          <w:szCs w:val="26"/>
        </w:rPr>
        <w:t>PECO</w:t>
      </w:r>
      <w:r w:rsidR="001835BF">
        <w:rPr>
          <w:rFonts w:eastAsia="Batang"/>
          <w:sz w:val="26"/>
          <w:szCs w:val="26"/>
        </w:rPr>
        <w:t xml:space="preserve"> claimed that </w:t>
      </w:r>
      <w:r w:rsidR="002C1AD5">
        <w:rPr>
          <w:rFonts w:eastAsia="Batang"/>
          <w:sz w:val="26"/>
          <w:szCs w:val="26"/>
        </w:rPr>
        <w:t>it</w:t>
      </w:r>
      <w:r w:rsidR="002C1AD5" w:rsidRPr="00A353C3">
        <w:rPr>
          <w:sz w:val="26"/>
          <w:szCs w:val="26"/>
        </w:rPr>
        <w:t>s</w:t>
      </w:r>
      <w:r w:rsidRPr="00A353C3">
        <w:rPr>
          <w:sz w:val="26"/>
          <w:szCs w:val="26"/>
        </w:rPr>
        <w:t xml:space="preserve"> policy requires an underwriter’s certificate when a hazardous condition exists, when the service has been off for more </w:t>
      </w:r>
      <w:r w:rsidRPr="00A353C3">
        <w:rPr>
          <w:sz w:val="26"/>
          <w:szCs w:val="26"/>
        </w:rPr>
        <w:lastRenderedPageBreak/>
        <w:t>than six months</w:t>
      </w:r>
      <w:r w:rsidR="007046AB">
        <w:rPr>
          <w:sz w:val="26"/>
          <w:szCs w:val="26"/>
        </w:rPr>
        <w:t>,</w:t>
      </w:r>
      <w:r w:rsidRPr="00A353C3">
        <w:rPr>
          <w:sz w:val="26"/>
          <w:szCs w:val="26"/>
        </w:rPr>
        <w:t xml:space="preserve"> or when one of the employees deems it unsafe to energize the service Tr.</w:t>
      </w:r>
      <w:r w:rsidR="00047404">
        <w:rPr>
          <w:sz w:val="26"/>
          <w:szCs w:val="26"/>
        </w:rPr>
        <w:t xml:space="preserve"> at</w:t>
      </w:r>
      <w:r w:rsidR="007046AB">
        <w:rPr>
          <w:sz w:val="26"/>
          <w:szCs w:val="26"/>
        </w:rPr>
        <w:t> </w:t>
      </w:r>
      <w:r w:rsidRPr="00A353C3">
        <w:rPr>
          <w:sz w:val="26"/>
          <w:szCs w:val="26"/>
        </w:rPr>
        <w:t xml:space="preserve">27, 32; PECO Ex. 4.  </w:t>
      </w:r>
      <w:r w:rsidR="00047404">
        <w:rPr>
          <w:sz w:val="26"/>
          <w:szCs w:val="26"/>
        </w:rPr>
        <w:t>Also, PECO</w:t>
      </w:r>
      <w:r w:rsidRPr="00A353C3">
        <w:rPr>
          <w:sz w:val="26"/>
          <w:szCs w:val="26"/>
        </w:rPr>
        <w:t xml:space="preserve"> explained that the Respondent’s tariff </w:t>
      </w:r>
      <w:r w:rsidR="007046AB">
        <w:rPr>
          <w:sz w:val="26"/>
          <w:szCs w:val="26"/>
        </w:rPr>
        <w:t>permits</w:t>
      </w:r>
      <w:r w:rsidRPr="00A353C3">
        <w:rPr>
          <w:sz w:val="26"/>
          <w:szCs w:val="26"/>
        </w:rPr>
        <w:t xml:space="preserve"> it to request an </w:t>
      </w:r>
      <w:r w:rsidRPr="00A353C3">
        <w:rPr>
          <w:rFonts w:eastAsia="Batang"/>
          <w:sz w:val="26"/>
          <w:szCs w:val="26"/>
        </w:rPr>
        <w:t xml:space="preserve">underwriter’s certificate.  </w:t>
      </w:r>
      <w:r w:rsidR="001835BF">
        <w:rPr>
          <w:rFonts w:eastAsia="Batang"/>
          <w:sz w:val="26"/>
          <w:szCs w:val="26"/>
        </w:rPr>
        <w:t xml:space="preserve">PECO noted that </w:t>
      </w:r>
      <w:r w:rsidR="002C1AD5">
        <w:rPr>
          <w:rFonts w:eastAsia="Batang"/>
          <w:sz w:val="26"/>
          <w:szCs w:val="26"/>
        </w:rPr>
        <w:t>it</w:t>
      </w:r>
      <w:r w:rsidR="002C1AD5" w:rsidRPr="00A353C3">
        <w:rPr>
          <w:rFonts w:eastAsia="Times New Roman"/>
          <w:color w:val="333333"/>
          <w:sz w:val="26"/>
          <w:szCs w:val="26"/>
        </w:rPr>
        <w:t>s</w:t>
      </w:r>
      <w:r w:rsidRPr="00A353C3">
        <w:rPr>
          <w:rFonts w:eastAsia="Times New Roman"/>
          <w:color w:val="333333"/>
          <w:sz w:val="26"/>
          <w:szCs w:val="26"/>
        </w:rPr>
        <w:t xml:space="preserve"> Tariff Rule 9 provi</w:t>
      </w:r>
      <w:r w:rsidR="001835BF">
        <w:rPr>
          <w:rFonts w:eastAsia="Times New Roman"/>
          <w:color w:val="333333"/>
          <w:sz w:val="26"/>
          <w:szCs w:val="26"/>
        </w:rPr>
        <w:t>des as follows</w:t>
      </w:r>
      <w:r w:rsidRPr="00A353C3">
        <w:rPr>
          <w:rFonts w:eastAsia="Times New Roman"/>
          <w:color w:val="333333"/>
          <w:sz w:val="26"/>
          <w:szCs w:val="26"/>
        </w:rPr>
        <w:t>:</w:t>
      </w:r>
    </w:p>
    <w:p w:rsidR="007515BA" w:rsidRPr="00A353C3" w:rsidRDefault="007515BA">
      <w:pPr>
        <w:pStyle w:val="NoSpacing"/>
        <w:rPr>
          <w:rFonts w:eastAsia="Times New Roman"/>
          <w:color w:val="333333"/>
          <w:sz w:val="26"/>
          <w:szCs w:val="26"/>
        </w:rPr>
      </w:pPr>
    </w:p>
    <w:p w:rsidR="00A353C3" w:rsidRPr="00A353C3" w:rsidRDefault="007515BA" w:rsidP="00736FD9">
      <w:pPr>
        <w:widowControl/>
        <w:ind w:left="1440" w:right="1440"/>
        <w:jc w:val="center"/>
        <w:rPr>
          <w:color w:val="333333"/>
          <w:sz w:val="26"/>
          <w:szCs w:val="26"/>
        </w:rPr>
      </w:pPr>
      <w:r>
        <w:rPr>
          <w:color w:val="333333"/>
          <w:sz w:val="26"/>
          <w:szCs w:val="26"/>
        </w:rPr>
        <w:t>9.</w:t>
      </w:r>
      <w:r>
        <w:rPr>
          <w:color w:val="333333"/>
          <w:sz w:val="26"/>
          <w:szCs w:val="26"/>
        </w:rPr>
        <w:tab/>
      </w:r>
      <w:r w:rsidR="00A353C3" w:rsidRPr="00A353C3">
        <w:rPr>
          <w:color w:val="333333"/>
          <w:sz w:val="26"/>
          <w:szCs w:val="26"/>
        </w:rPr>
        <w:t>INTRODUCTION OF SERVICE</w:t>
      </w:r>
    </w:p>
    <w:p w:rsidR="00A353C3" w:rsidRPr="00A353C3" w:rsidRDefault="00A353C3" w:rsidP="00736FD9">
      <w:pPr>
        <w:widowControl/>
        <w:ind w:left="1152" w:right="1152"/>
        <w:rPr>
          <w:color w:val="333333"/>
          <w:sz w:val="26"/>
          <w:szCs w:val="26"/>
        </w:rPr>
      </w:pPr>
    </w:p>
    <w:p w:rsidR="00A353C3" w:rsidRDefault="00A353C3" w:rsidP="00736FD9">
      <w:pPr>
        <w:widowControl/>
        <w:ind w:left="1440" w:right="1440"/>
        <w:rPr>
          <w:rFonts w:eastAsia="Batang"/>
          <w:sz w:val="26"/>
          <w:szCs w:val="26"/>
        </w:rPr>
      </w:pPr>
      <w:r w:rsidRPr="00A353C3">
        <w:rPr>
          <w:color w:val="333333"/>
          <w:sz w:val="26"/>
          <w:szCs w:val="26"/>
        </w:rPr>
        <w:t>9.2 INSPECTION.</w:t>
      </w:r>
      <w:r w:rsidR="007515BA">
        <w:rPr>
          <w:color w:val="333333"/>
          <w:sz w:val="26"/>
          <w:szCs w:val="26"/>
        </w:rPr>
        <w:t xml:space="preserve">  </w:t>
      </w:r>
      <w:r w:rsidRPr="00A353C3">
        <w:rPr>
          <w:color w:val="333333"/>
          <w:sz w:val="26"/>
          <w:szCs w:val="26"/>
        </w:rPr>
        <w:t xml:space="preserve">The Company </w:t>
      </w:r>
      <w:r w:rsidRPr="00A353C3">
        <w:rPr>
          <w:sz w:val="26"/>
          <w:szCs w:val="26"/>
        </w:rPr>
        <w:t>reserves the right to refuse the introduction of service unless a written certificate of approval satisfactory to the Company has been received from a competent inspection agency authorized to perform this service in the specific locality in which service is to be provided.</w:t>
      </w:r>
      <w:r w:rsidRPr="00A353C3">
        <w:rPr>
          <w:rFonts w:eastAsia="Batang"/>
          <w:sz w:val="26"/>
          <w:szCs w:val="26"/>
        </w:rPr>
        <w:t xml:space="preserve"> </w:t>
      </w:r>
    </w:p>
    <w:p w:rsidR="007046AB" w:rsidRDefault="007046AB" w:rsidP="00736FD9">
      <w:pPr>
        <w:widowControl/>
        <w:ind w:left="1440" w:right="1440"/>
        <w:rPr>
          <w:rFonts w:eastAsia="Batang"/>
          <w:sz w:val="26"/>
          <w:szCs w:val="26"/>
        </w:rPr>
      </w:pPr>
    </w:p>
    <w:p w:rsidR="006C1D14" w:rsidRDefault="006C1D14" w:rsidP="004150B8">
      <w:pPr>
        <w:widowControl/>
        <w:spacing w:line="360" w:lineRule="auto"/>
        <w:ind w:left="1440" w:right="1440"/>
        <w:rPr>
          <w:rFonts w:eastAsia="Batang"/>
          <w:sz w:val="26"/>
          <w:szCs w:val="26"/>
        </w:rPr>
      </w:pPr>
    </w:p>
    <w:p w:rsidR="006C1D14" w:rsidRPr="001B6C10" w:rsidRDefault="006C1D14">
      <w:pPr>
        <w:widowControl/>
        <w:spacing w:line="360" w:lineRule="auto"/>
        <w:rPr>
          <w:b/>
          <w:sz w:val="26"/>
          <w:szCs w:val="26"/>
        </w:rPr>
      </w:pPr>
      <w:r w:rsidRPr="001B6C10">
        <w:rPr>
          <w:b/>
          <w:sz w:val="26"/>
          <w:szCs w:val="26"/>
        </w:rPr>
        <w:t xml:space="preserve">ALJ’s Initial Decision </w:t>
      </w:r>
    </w:p>
    <w:p w:rsidR="006C1D14" w:rsidRPr="001B6C10" w:rsidRDefault="006C1D14">
      <w:pPr>
        <w:widowControl/>
        <w:spacing w:line="360" w:lineRule="auto"/>
        <w:rPr>
          <w:b/>
          <w:sz w:val="26"/>
          <w:szCs w:val="26"/>
        </w:rPr>
      </w:pPr>
    </w:p>
    <w:p w:rsidR="006C1D14" w:rsidRDefault="006C1D14">
      <w:pPr>
        <w:widowControl/>
        <w:spacing w:line="360" w:lineRule="auto"/>
        <w:rPr>
          <w:sz w:val="26"/>
          <w:szCs w:val="26"/>
        </w:rPr>
      </w:pPr>
      <w:r>
        <w:rPr>
          <w:sz w:val="26"/>
          <w:szCs w:val="26"/>
        </w:rPr>
        <w:tab/>
      </w:r>
      <w:r>
        <w:rPr>
          <w:sz w:val="26"/>
          <w:szCs w:val="26"/>
        </w:rPr>
        <w:tab/>
      </w:r>
      <w:r w:rsidRPr="000522FC">
        <w:rPr>
          <w:sz w:val="26"/>
          <w:szCs w:val="26"/>
        </w:rPr>
        <w:t xml:space="preserve">In </w:t>
      </w:r>
      <w:r>
        <w:rPr>
          <w:sz w:val="26"/>
          <w:szCs w:val="26"/>
        </w:rPr>
        <w:t xml:space="preserve">her </w:t>
      </w:r>
      <w:r w:rsidRPr="000522FC">
        <w:rPr>
          <w:sz w:val="26"/>
          <w:szCs w:val="26"/>
        </w:rPr>
        <w:t xml:space="preserve">Initial Decision, ALJ </w:t>
      </w:r>
      <w:r>
        <w:rPr>
          <w:sz w:val="26"/>
          <w:szCs w:val="26"/>
        </w:rPr>
        <w:t>Fordham</w:t>
      </w:r>
      <w:r w:rsidRPr="000522FC">
        <w:rPr>
          <w:sz w:val="26"/>
          <w:szCs w:val="26"/>
        </w:rPr>
        <w:t xml:space="preserve"> made </w:t>
      </w:r>
      <w:r>
        <w:rPr>
          <w:sz w:val="26"/>
          <w:szCs w:val="26"/>
        </w:rPr>
        <w:t>thirty</w:t>
      </w:r>
      <w:r w:rsidRPr="000522FC">
        <w:rPr>
          <w:sz w:val="26"/>
          <w:szCs w:val="26"/>
        </w:rPr>
        <w:t xml:space="preserve"> Findings of Fact and reached </w:t>
      </w:r>
      <w:r>
        <w:rPr>
          <w:sz w:val="26"/>
          <w:szCs w:val="26"/>
        </w:rPr>
        <w:t>seven</w:t>
      </w:r>
      <w:r w:rsidRPr="000522FC">
        <w:rPr>
          <w:sz w:val="26"/>
          <w:szCs w:val="26"/>
        </w:rPr>
        <w:t xml:space="preserve"> Conclusions of Law.  I.D. at </w:t>
      </w:r>
      <w:r>
        <w:rPr>
          <w:sz w:val="26"/>
          <w:szCs w:val="26"/>
        </w:rPr>
        <w:t>5-8, 12</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A353C3" w:rsidRPr="00A353C3" w:rsidRDefault="00A353C3" w:rsidP="00736FD9">
      <w:pPr>
        <w:widowControl/>
        <w:spacing w:line="360" w:lineRule="auto"/>
        <w:ind w:left="1152" w:right="1152"/>
        <w:rPr>
          <w:rFonts w:eastAsia="Batang"/>
          <w:sz w:val="26"/>
          <w:szCs w:val="26"/>
        </w:rPr>
      </w:pPr>
    </w:p>
    <w:p w:rsidR="00A353C3" w:rsidRPr="00A353C3" w:rsidRDefault="00A353C3" w:rsidP="00736FD9">
      <w:pPr>
        <w:widowControl/>
        <w:spacing w:line="360" w:lineRule="auto"/>
        <w:rPr>
          <w:color w:val="333333"/>
          <w:sz w:val="26"/>
          <w:szCs w:val="26"/>
        </w:rPr>
      </w:pPr>
      <w:r w:rsidRPr="00A353C3">
        <w:rPr>
          <w:rFonts w:eastAsia="Batang"/>
          <w:sz w:val="26"/>
          <w:szCs w:val="26"/>
        </w:rPr>
        <w:tab/>
      </w:r>
      <w:r w:rsidRPr="00A353C3">
        <w:rPr>
          <w:rFonts w:eastAsia="Batang"/>
          <w:sz w:val="26"/>
          <w:szCs w:val="26"/>
        </w:rPr>
        <w:tab/>
      </w:r>
      <w:r w:rsidR="00047404">
        <w:rPr>
          <w:rFonts w:eastAsia="Batang"/>
          <w:sz w:val="26"/>
          <w:szCs w:val="26"/>
        </w:rPr>
        <w:t>The ALJ stated that utility t</w:t>
      </w:r>
      <w:r w:rsidRPr="00A353C3">
        <w:rPr>
          <w:color w:val="333333"/>
          <w:sz w:val="26"/>
          <w:szCs w:val="26"/>
        </w:rPr>
        <w:t xml:space="preserve">ariffs are service rules and regulations adopted by public utilities relating to rates.  </w:t>
      </w:r>
      <w:r w:rsidR="00047404">
        <w:rPr>
          <w:color w:val="333333"/>
          <w:sz w:val="26"/>
          <w:szCs w:val="26"/>
        </w:rPr>
        <w:t>According to the ALJ, t</w:t>
      </w:r>
      <w:r w:rsidRPr="00A353C3">
        <w:rPr>
          <w:color w:val="333333"/>
          <w:sz w:val="26"/>
          <w:szCs w:val="26"/>
        </w:rPr>
        <w:t xml:space="preserve">ariffs filed with state regulatory agencies such as the public utility commission are not mere contracts but have the force of law and are binding on the consumer and the utility. </w:t>
      </w:r>
      <w:r w:rsidR="004E75DC">
        <w:rPr>
          <w:color w:val="333333"/>
          <w:sz w:val="26"/>
          <w:szCs w:val="26"/>
        </w:rPr>
        <w:t xml:space="preserve"> I.D. at 11 </w:t>
      </w:r>
      <w:r w:rsidR="004150B8">
        <w:rPr>
          <w:color w:val="333333"/>
          <w:sz w:val="26"/>
          <w:szCs w:val="26"/>
        </w:rPr>
        <w:t>(citing</w:t>
      </w:r>
      <w:r w:rsidR="004E75DC">
        <w:rPr>
          <w:color w:val="333333"/>
          <w:sz w:val="26"/>
          <w:szCs w:val="26"/>
        </w:rPr>
        <w:t xml:space="preserve"> </w:t>
      </w:r>
      <w:r w:rsidRPr="00A353C3">
        <w:rPr>
          <w:i/>
          <w:iCs/>
          <w:sz w:val="26"/>
          <w:szCs w:val="26"/>
        </w:rPr>
        <w:t>Stiteler v. Bell Telephone Company</w:t>
      </w:r>
      <w:r w:rsidRPr="00A353C3">
        <w:rPr>
          <w:sz w:val="26"/>
          <w:szCs w:val="26"/>
        </w:rPr>
        <w:t>, 379 A.2d 339 (Pa.</w:t>
      </w:r>
      <w:r w:rsidR="004E75DC">
        <w:rPr>
          <w:sz w:val="26"/>
          <w:szCs w:val="26"/>
        </w:rPr>
        <w:t xml:space="preserve"> </w:t>
      </w:r>
      <w:r w:rsidRPr="00A353C3">
        <w:rPr>
          <w:sz w:val="26"/>
          <w:szCs w:val="26"/>
        </w:rPr>
        <w:t xml:space="preserve">Cmwlth. 1977); </w:t>
      </w:r>
      <w:r w:rsidRPr="00A353C3">
        <w:rPr>
          <w:i/>
          <w:iCs/>
          <w:sz w:val="26"/>
          <w:szCs w:val="26"/>
        </w:rPr>
        <w:t xml:space="preserve">Brockway Glass Company v. </w:t>
      </w:r>
      <w:r w:rsidRPr="00A353C3">
        <w:rPr>
          <w:i/>
          <w:sz w:val="26"/>
          <w:szCs w:val="26"/>
        </w:rPr>
        <w:t>Pa. Pub. Util. Comm’n</w:t>
      </w:r>
      <w:r w:rsidR="002C1AD5" w:rsidRPr="00A353C3">
        <w:rPr>
          <w:i/>
          <w:sz w:val="26"/>
          <w:szCs w:val="26"/>
        </w:rPr>
        <w:t>,</w:t>
      </w:r>
      <w:r w:rsidRPr="00A353C3">
        <w:rPr>
          <w:sz w:val="26"/>
          <w:szCs w:val="26"/>
        </w:rPr>
        <w:t xml:space="preserve"> 437 A.2d 1067 (Pa.</w:t>
      </w:r>
      <w:r w:rsidR="004E75DC">
        <w:rPr>
          <w:sz w:val="26"/>
          <w:szCs w:val="26"/>
        </w:rPr>
        <w:t xml:space="preserve"> </w:t>
      </w:r>
      <w:r w:rsidRPr="00A353C3">
        <w:rPr>
          <w:sz w:val="26"/>
          <w:szCs w:val="26"/>
        </w:rPr>
        <w:t>Cmwlth. 1981)</w:t>
      </w:r>
      <w:r w:rsidR="004E75DC">
        <w:rPr>
          <w:sz w:val="26"/>
          <w:szCs w:val="26"/>
        </w:rPr>
        <w:t xml:space="preserve"> (</w:t>
      </w:r>
      <w:r w:rsidR="004E75DC" w:rsidRPr="00A353C3">
        <w:rPr>
          <w:i/>
          <w:iCs/>
          <w:sz w:val="26"/>
          <w:szCs w:val="26"/>
        </w:rPr>
        <w:t>Brockway Glass</w:t>
      </w:r>
      <w:r w:rsidR="004E75DC">
        <w:rPr>
          <w:iCs/>
          <w:sz w:val="26"/>
          <w:szCs w:val="26"/>
        </w:rPr>
        <w:t>)</w:t>
      </w:r>
      <w:r w:rsidRPr="00A353C3">
        <w:rPr>
          <w:sz w:val="26"/>
          <w:szCs w:val="26"/>
        </w:rPr>
        <w:t xml:space="preserve">; </w:t>
      </w:r>
      <w:r w:rsidRPr="00A353C3">
        <w:rPr>
          <w:i/>
          <w:iCs/>
          <w:sz w:val="26"/>
          <w:szCs w:val="26"/>
        </w:rPr>
        <w:t xml:space="preserve">Pennsylvania Electric Company v. </w:t>
      </w:r>
      <w:r w:rsidRPr="00A353C3">
        <w:rPr>
          <w:i/>
          <w:sz w:val="26"/>
          <w:szCs w:val="26"/>
        </w:rPr>
        <w:t>Pa. Pub. Util. Comm’n</w:t>
      </w:r>
      <w:r w:rsidR="002C1AD5" w:rsidRPr="00A353C3">
        <w:rPr>
          <w:i/>
          <w:sz w:val="26"/>
          <w:szCs w:val="26"/>
        </w:rPr>
        <w:t>,</w:t>
      </w:r>
      <w:r w:rsidRPr="00A353C3">
        <w:rPr>
          <w:sz w:val="26"/>
          <w:szCs w:val="26"/>
        </w:rPr>
        <w:t xml:space="preserve"> 663 A.2d 281 (Pa.</w:t>
      </w:r>
      <w:r w:rsidR="004E75DC">
        <w:rPr>
          <w:sz w:val="26"/>
          <w:szCs w:val="26"/>
        </w:rPr>
        <w:t xml:space="preserve"> </w:t>
      </w:r>
      <w:r w:rsidRPr="00A353C3">
        <w:rPr>
          <w:sz w:val="26"/>
          <w:szCs w:val="26"/>
        </w:rPr>
        <w:t>Cmwlth. 1995)</w:t>
      </w:r>
      <w:r w:rsidR="004E75DC">
        <w:rPr>
          <w:sz w:val="26"/>
          <w:szCs w:val="26"/>
        </w:rPr>
        <w:t>)</w:t>
      </w:r>
      <w:r w:rsidRPr="00A353C3">
        <w:rPr>
          <w:sz w:val="26"/>
          <w:szCs w:val="26"/>
        </w:rPr>
        <w:t>.</w:t>
      </w:r>
    </w:p>
    <w:p w:rsidR="00A353C3" w:rsidRPr="00A353C3" w:rsidRDefault="00A353C3" w:rsidP="00736FD9">
      <w:pPr>
        <w:widowControl/>
        <w:spacing w:line="360" w:lineRule="auto"/>
        <w:rPr>
          <w:color w:val="333333"/>
          <w:sz w:val="26"/>
          <w:szCs w:val="26"/>
        </w:rPr>
      </w:pPr>
    </w:p>
    <w:p w:rsidR="00A353C3" w:rsidRPr="00A353C3" w:rsidRDefault="00A353C3" w:rsidP="00736FD9">
      <w:pPr>
        <w:widowControl/>
        <w:spacing w:line="360" w:lineRule="auto"/>
        <w:rPr>
          <w:rFonts w:eastAsia="Calibri"/>
          <w:sz w:val="26"/>
          <w:szCs w:val="26"/>
        </w:rPr>
      </w:pPr>
      <w:r w:rsidRPr="00A353C3">
        <w:rPr>
          <w:color w:val="333333"/>
          <w:sz w:val="26"/>
          <w:szCs w:val="26"/>
        </w:rPr>
        <w:lastRenderedPageBreak/>
        <w:tab/>
      </w:r>
      <w:r w:rsidRPr="00A353C3">
        <w:rPr>
          <w:color w:val="333333"/>
          <w:sz w:val="26"/>
          <w:szCs w:val="26"/>
        </w:rPr>
        <w:tab/>
      </w:r>
      <w:r w:rsidR="006C1D14">
        <w:rPr>
          <w:color w:val="333333"/>
          <w:sz w:val="26"/>
          <w:szCs w:val="26"/>
        </w:rPr>
        <w:t>The ALJ noted that t</w:t>
      </w:r>
      <w:r w:rsidRPr="00A353C3">
        <w:rPr>
          <w:sz w:val="26"/>
          <w:szCs w:val="26"/>
        </w:rPr>
        <w:t>ariff provisions that have been approved by t</w:t>
      </w:r>
      <w:r w:rsidR="006C1D14">
        <w:rPr>
          <w:sz w:val="26"/>
          <w:szCs w:val="26"/>
        </w:rPr>
        <w:t>he Commission, as PECO</w:t>
      </w:r>
      <w:r w:rsidRPr="00A353C3">
        <w:rPr>
          <w:sz w:val="26"/>
          <w:szCs w:val="26"/>
        </w:rPr>
        <w:t xml:space="preserve">’s tariff provisions here, are </w:t>
      </w:r>
      <w:r w:rsidRPr="00A353C3">
        <w:rPr>
          <w:i/>
          <w:sz w:val="26"/>
          <w:szCs w:val="26"/>
        </w:rPr>
        <w:t xml:space="preserve">prima facie </w:t>
      </w:r>
      <w:r w:rsidRPr="00A353C3">
        <w:rPr>
          <w:sz w:val="26"/>
          <w:szCs w:val="26"/>
        </w:rPr>
        <w:t xml:space="preserve">reasonable.  </w:t>
      </w:r>
      <w:r w:rsidR="004E75DC">
        <w:rPr>
          <w:sz w:val="26"/>
          <w:szCs w:val="26"/>
        </w:rPr>
        <w:t xml:space="preserve">I.D. at 11 (citing </w:t>
      </w:r>
      <w:r w:rsidRPr="00A353C3">
        <w:rPr>
          <w:i/>
          <w:sz w:val="26"/>
          <w:szCs w:val="26"/>
        </w:rPr>
        <w:t>Lynch v. Pa. Pub. Util. Comm’n,</w:t>
      </w:r>
      <w:r w:rsidRPr="00A353C3">
        <w:rPr>
          <w:sz w:val="26"/>
          <w:szCs w:val="26"/>
        </w:rPr>
        <w:t xml:space="preserve"> 594 A.2d 816 (Pa.</w:t>
      </w:r>
      <w:r w:rsidR="004E75DC">
        <w:rPr>
          <w:sz w:val="26"/>
          <w:szCs w:val="26"/>
        </w:rPr>
        <w:t xml:space="preserve"> </w:t>
      </w:r>
      <w:r w:rsidRPr="00A353C3">
        <w:rPr>
          <w:sz w:val="26"/>
          <w:szCs w:val="26"/>
        </w:rPr>
        <w:t>Cmwlth. 1991)</w:t>
      </w:r>
      <w:r w:rsidR="004E75DC">
        <w:rPr>
          <w:sz w:val="26"/>
          <w:szCs w:val="26"/>
        </w:rPr>
        <w:t>,</w:t>
      </w:r>
      <w:r w:rsidRPr="00A353C3">
        <w:rPr>
          <w:sz w:val="26"/>
          <w:szCs w:val="26"/>
        </w:rPr>
        <w:t xml:space="preserve"> </w:t>
      </w:r>
      <w:r w:rsidRPr="00890DA4">
        <w:rPr>
          <w:i/>
          <w:sz w:val="26"/>
          <w:szCs w:val="26"/>
        </w:rPr>
        <w:t>app. denied</w:t>
      </w:r>
      <w:r w:rsidRPr="00A353C3">
        <w:rPr>
          <w:sz w:val="26"/>
          <w:szCs w:val="26"/>
        </w:rPr>
        <w:t xml:space="preserve"> </w:t>
      </w:r>
      <w:r w:rsidR="004E75DC">
        <w:rPr>
          <w:sz w:val="26"/>
          <w:szCs w:val="26"/>
        </w:rPr>
        <w:t xml:space="preserve">529 Pa. 670, </w:t>
      </w:r>
      <w:r w:rsidRPr="00A353C3">
        <w:rPr>
          <w:sz w:val="26"/>
          <w:szCs w:val="26"/>
        </w:rPr>
        <w:t>605 A.2d 335 (1992)</w:t>
      </w:r>
      <w:r w:rsidR="004E75DC">
        <w:rPr>
          <w:sz w:val="26"/>
          <w:szCs w:val="26"/>
        </w:rPr>
        <w:t>)</w:t>
      </w:r>
      <w:r w:rsidRPr="00A353C3">
        <w:rPr>
          <w:sz w:val="26"/>
          <w:szCs w:val="26"/>
        </w:rPr>
        <w:t xml:space="preserve">. </w:t>
      </w:r>
      <w:r w:rsidR="007046AB">
        <w:rPr>
          <w:sz w:val="26"/>
          <w:szCs w:val="26"/>
        </w:rPr>
        <w:t xml:space="preserve"> </w:t>
      </w:r>
      <w:r w:rsidR="006C1D14">
        <w:rPr>
          <w:rFonts w:eastAsia="Calibri"/>
          <w:sz w:val="26"/>
          <w:szCs w:val="26"/>
        </w:rPr>
        <w:t xml:space="preserve">Also, the ALJ pointed out that </w:t>
      </w:r>
      <w:r w:rsidRPr="00A353C3">
        <w:rPr>
          <w:rFonts w:eastAsia="Calibri"/>
          <w:sz w:val="26"/>
          <w:szCs w:val="26"/>
        </w:rPr>
        <w:t>Section 1501 of the Public Utility Code, 66 Pa.</w:t>
      </w:r>
      <w:r w:rsidR="004D4A2C">
        <w:rPr>
          <w:rFonts w:eastAsia="Calibri"/>
          <w:sz w:val="26"/>
          <w:szCs w:val="26"/>
        </w:rPr>
        <w:t xml:space="preserve"> </w:t>
      </w:r>
      <w:r w:rsidRPr="00A353C3">
        <w:rPr>
          <w:rFonts w:eastAsia="Calibri"/>
          <w:sz w:val="26"/>
          <w:szCs w:val="26"/>
        </w:rPr>
        <w:t>C.S. § 1501 requires public utilities to “furnish and maintain adequate, efficient, safe, and reasonable service and facilities and make all such repairs, changes, alterations, substitutions, extensions, and improvements in or to such service and facilities as shall be necessary or proper for the safety of its patrons, employees, and the public.”</w:t>
      </w:r>
      <w:r w:rsidR="001835BF">
        <w:rPr>
          <w:rFonts w:eastAsia="Calibri"/>
          <w:sz w:val="26"/>
          <w:szCs w:val="26"/>
        </w:rPr>
        <w:t xml:space="preserve">  I.D. at 11.</w:t>
      </w:r>
    </w:p>
    <w:p w:rsidR="00A353C3" w:rsidRPr="00A353C3" w:rsidRDefault="00A353C3" w:rsidP="00736FD9">
      <w:pPr>
        <w:widowControl/>
        <w:spacing w:line="360" w:lineRule="auto"/>
        <w:rPr>
          <w:rFonts w:eastAsia="Calibri"/>
          <w:sz w:val="26"/>
          <w:szCs w:val="26"/>
        </w:rPr>
      </w:pPr>
    </w:p>
    <w:p w:rsidR="00A353C3" w:rsidRPr="00A353C3" w:rsidRDefault="00A353C3" w:rsidP="00736FD9">
      <w:pPr>
        <w:widowControl/>
        <w:spacing w:line="360" w:lineRule="auto"/>
        <w:rPr>
          <w:rFonts w:eastAsia="Batang"/>
          <w:sz w:val="26"/>
          <w:szCs w:val="26"/>
        </w:rPr>
      </w:pPr>
      <w:r w:rsidRPr="00A353C3">
        <w:rPr>
          <w:rFonts w:eastAsia="Calibri"/>
          <w:sz w:val="26"/>
          <w:szCs w:val="26"/>
        </w:rPr>
        <w:tab/>
      </w:r>
      <w:r w:rsidRPr="00A353C3">
        <w:rPr>
          <w:rFonts w:eastAsia="Calibri"/>
          <w:sz w:val="26"/>
          <w:szCs w:val="26"/>
        </w:rPr>
        <w:tab/>
      </w:r>
      <w:r w:rsidR="006C1D14">
        <w:rPr>
          <w:rFonts w:eastAsia="Calibri"/>
          <w:sz w:val="26"/>
          <w:szCs w:val="26"/>
        </w:rPr>
        <w:t>As such, the ALJ found that i</w:t>
      </w:r>
      <w:r w:rsidRPr="00A353C3">
        <w:rPr>
          <w:rFonts w:eastAsia="Calibri"/>
          <w:sz w:val="26"/>
          <w:szCs w:val="26"/>
        </w:rPr>
        <w:t xml:space="preserve">t </w:t>
      </w:r>
      <w:r w:rsidR="006C1D14">
        <w:rPr>
          <w:rFonts w:eastAsia="Calibri"/>
          <w:sz w:val="26"/>
          <w:szCs w:val="26"/>
        </w:rPr>
        <w:t>is reasonable for PECO</w:t>
      </w:r>
      <w:r w:rsidRPr="00A353C3">
        <w:rPr>
          <w:rFonts w:eastAsia="Calibri"/>
          <w:sz w:val="26"/>
          <w:szCs w:val="26"/>
        </w:rPr>
        <w:t xml:space="preserve"> to be concerned about the safety of the electrical service, the customer’s property and the public.  </w:t>
      </w:r>
      <w:r w:rsidR="006C1D14">
        <w:rPr>
          <w:rFonts w:eastAsia="Calibri"/>
          <w:sz w:val="26"/>
          <w:szCs w:val="26"/>
        </w:rPr>
        <w:t xml:space="preserve">The ALJ also found that PECO </w:t>
      </w:r>
      <w:r w:rsidRPr="00A353C3">
        <w:rPr>
          <w:rFonts w:eastAsia="Calibri"/>
          <w:sz w:val="26"/>
          <w:szCs w:val="26"/>
        </w:rPr>
        <w:t xml:space="preserve">presented evidence to demonstrate that the request for an </w:t>
      </w:r>
      <w:r w:rsidRPr="00A353C3">
        <w:rPr>
          <w:rFonts w:eastAsia="Batang"/>
          <w:sz w:val="26"/>
          <w:szCs w:val="26"/>
        </w:rPr>
        <w:t xml:space="preserve">underwriter’s certificate was </w:t>
      </w:r>
      <w:r w:rsidRPr="00A353C3">
        <w:rPr>
          <w:rFonts w:eastAsia="Calibri"/>
          <w:sz w:val="26"/>
          <w:szCs w:val="26"/>
        </w:rPr>
        <w:t xml:space="preserve">reasonable and based on safety.  </w:t>
      </w:r>
      <w:r w:rsidR="006C1D14">
        <w:rPr>
          <w:rFonts w:eastAsia="Calibri"/>
          <w:sz w:val="26"/>
          <w:szCs w:val="26"/>
        </w:rPr>
        <w:t>According to the ALJ, t</w:t>
      </w:r>
      <w:r w:rsidRPr="00A353C3">
        <w:rPr>
          <w:rFonts w:eastAsia="Calibri"/>
          <w:sz w:val="26"/>
          <w:szCs w:val="26"/>
        </w:rPr>
        <w:t xml:space="preserve">he </w:t>
      </w:r>
      <w:r w:rsidR="006C1D14">
        <w:rPr>
          <w:rFonts w:eastAsia="Calibri"/>
          <w:sz w:val="26"/>
          <w:szCs w:val="26"/>
        </w:rPr>
        <w:t>Company</w:t>
      </w:r>
      <w:r w:rsidRPr="00A353C3">
        <w:rPr>
          <w:rFonts w:eastAsia="Calibri"/>
          <w:sz w:val="26"/>
          <w:szCs w:val="26"/>
        </w:rPr>
        <w:t xml:space="preserve"> presented evidence to show that i</w:t>
      </w:r>
      <w:r w:rsidR="006C1D14">
        <w:rPr>
          <w:rFonts w:eastAsia="Calibri"/>
          <w:sz w:val="26"/>
          <w:szCs w:val="26"/>
        </w:rPr>
        <w:t>t was following its tariff and C</w:t>
      </w:r>
      <w:r w:rsidRPr="00A353C3">
        <w:rPr>
          <w:rFonts w:eastAsia="Calibri"/>
          <w:sz w:val="26"/>
          <w:szCs w:val="26"/>
        </w:rPr>
        <w:t xml:space="preserve">ompany policy when it requested the </w:t>
      </w:r>
      <w:r w:rsidRPr="00A353C3">
        <w:rPr>
          <w:rFonts w:eastAsia="Batang"/>
          <w:sz w:val="26"/>
          <w:szCs w:val="26"/>
        </w:rPr>
        <w:t xml:space="preserve">underwriter’s certificate before turning the electric on in the vacant apartment. </w:t>
      </w:r>
      <w:r w:rsidR="006C1D14">
        <w:rPr>
          <w:rFonts w:eastAsia="Batang"/>
          <w:sz w:val="26"/>
          <w:szCs w:val="26"/>
        </w:rPr>
        <w:t xml:space="preserve"> I.D. at 11.</w:t>
      </w:r>
      <w:r w:rsidRPr="00A353C3">
        <w:rPr>
          <w:rFonts w:eastAsia="Batang"/>
          <w:sz w:val="26"/>
          <w:szCs w:val="26"/>
        </w:rPr>
        <w:t xml:space="preserve"> </w:t>
      </w:r>
    </w:p>
    <w:p w:rsidR="00A353C3" w:rsidRPr="00A353C3" w:rsidRDefault="00A353C3" w:rsidP="00736FD9">
      <w:pPr>
        <w:widowControl/>
        <w:spacing w:line="360" w:lineRule="auto"/>
        <w:rPr>
          <w:rFonts w:eastAsia="Batang"/>
          <w:sz w:val="26"/>
          <w:szCs w:val="26"/>
        </w:rPr>
      </w:pPr>
    </w:p>
    <w:p w:rsidR="00A353C3" w:rsidRPr="00A353C3" w:rsidRDefault="00A353C3" w:rsidP="00736FD9">
      <w:pPr>
        <w:widowControl/>
        <w:spacing w:line="360" w:lineRule="auto"/>
        <w:rPr>
          <w:color w:val="333333"/>
          <w:sz w:val="26"/>
          <w:szCs w:val="26"/>
        </w:rPr>
      </w:pPr>
      <w:r w:rsidRPr="00A353C3">
        <w:rPr>
          <w:rFonts w:eastAsia="Batang"/>
          <w:sz w:val="26"/>
          <w:szCs w:val="26"/>
        </w:rPr>
        <w:tab/>
      </w:r>
      <w:r w:rsidRPr="00A353C3">
        <w:rPr>
          <w:rFonts w:eastAsia="Batang"/>
          <w:sz w:val="26"/>
          <w:szCs w:val="26"/>
        </w:rPr>
        <w:tab/>
      </w:r>
      <w:r w:rsidR="001835BF">
        <w:rPr>
          <w:rFonts w:eastAsia="Batang"/>
          <w:sz w:val="26"/>
          <w:szCs w:val="26"/>
        </w:rPr>
        <w:t>The ALJ determined that t</w:t>
      </w:r>
      <w:r w:rsidRPr="00A353C3">
        <w:rPr>
          <w:rFonts w:eastAsia="Calibri"/>
          <w:sz w:val="26"/>
          <w:szCs w:val="26"/>
        </w:rPr>
        <w:t>he Complainant faile</w:t>
      </w:r>
      <w:r w:rsidR="001835BF">
        <w:rPr>
          <w:rFonts w:eastAsia="Calibri"/>
          <w:sz w:val="26"/>
          <w:szCs w:val="26"/>
        </w:rPr>
        <w:t>d to provide evidence that PECO</w:t>
      </w:r>
      <w:r w:rsidRPr="00A353C3">
        <w:rPr>
          <w:rFonts w:eastAsia="Calibri"/>
          <w:sz w:val="26"/>
          <w:szCs w:val="26"/>
        </w:rPr>
        <w:t>’s tariff, manual</w:t>
      </w:r>
      <w:r w:rsidR="007046AB">
        <w:rPr>
          <w:rFonts w:eastAsia="Calibri"/>
          <w:sz w:val="26"/>
          <w:szCs w:val="26"/>
        </w:rPr>
        <w:t>,</w:t>
      </w:r>
      <w:r w:rsidRPr="00A353C3">
        <w:rPr>
          <w:rFonts w:eastAsia="Calibri"/>
          <w:sz w:val="26"/>
          <w:szCs w:val="26"/>
        </w:rPr>
        <w:t xml:space="preserve"> and policy were unreasonable and were not warranted.  </w:t>
      </w:r>
      <w:r w:rsidR="001835BF">
        <w:rPr>
          <w:rFonts w:eastAsia="Calibri"/>
          <w:sz w:val="26"/>
          <w:szCs w:val="26"/>
        </w:rPr>
        <w:t>According to the ALJ, th</w:t>
      </w:r>
      <w:r w:rsidRPr="00A353C3">
        <w:rPr>
          <w:rFonts w:eastAsia="Calibri"/>
          <w:sz w:val="26"/>
          <w:szCs w:val="26"/>
        </w:rPr>
        <w:t xml:space="preserve">e </w:t>
      </w:r>
      <w:r w:rsidR="001835BF">
        <w:rPr>
          <w:rFonts w:eastAsia="Calibri"/>
          <w:sz w:val="26"/>
          <w:szCs w:val="26"/>
        </w:rPr>
        <w:t xml:space="preserve">Complainant </w:t>
      </w:r>
      <w:r w:rsidRPr="00A353C3">
        <w:rPr>
          <w:rFonts w:eastAsia="Calibri"/>
          <w:sz w:val="26"/>
          <w:szCs w:val="26"/>
        </w:rPr>
        <w:t xml:space="preserve">did not present evidence to show that he could certify that the wiring at the property was safe without the underwriter’s certificate.  </w:t>
      </w:r>
      <w:r w:rsidR="001835BF">
        <w:rPr>
          <w:rFonts w:eastAsia="Calibri"/>
          <w:sz w:val="26"/>
          <w:szCs w:val="26"/>
        </w:rPr>
        <w:t xml:space="preserve">The ALJ noted that PECO </w:t>
      </w:r>
      <w:r w:rsidRPr="00A353C3">
        <w:rPr>
          <w:rFonts w:eastAsia="Calibri"/>
          <w:sz w:val="26"/>
          <w:szCs w:val="26"/>
        </w:rPr>
        <w:t xml:space="preserve">is required to provide safe service.  </w:t>
      </w:r>
      <w:r w:rsidR="001835BF">
        <w:rPr>
          <w:rFonts w:eastAsia="Calibri"/>
          <w:sz w:val="26"/>
          <w:szCs w:val="26"/>
        </w:rPr>
        <w:t>The ALJ concluded that t</w:t>
      </w:r>
      <w:r w:rsidRPr="00A353C3">
        <w:rPr>
          <w:rFonts w:eastAsia="Calibri"/>
          <w:sz w:val="26"/>
          <w:szCs w:val="26"/>
        </w:rPr>
        <w:t>he Complainant failed to sustain his burde</w:t>
      </w:r>
      <w:r w:rsidR="001835BF">
        <w:rPr>
          <w:rFonts w:eastAsia="Calibri"/>
          <w:sz w:val="26"/>
          <w:szCs w:val="26"/>
        </w:rPr>
        <w:t>n of proving that the Company</w:t>
      </w:r>
      <w:r w:rsidRPr="00A353C3">
        <w:rPr>
          <w:rFonts w:eastAsia="Calibri"/>
          <w:sz w:val="26"/>
          <w:szCs w:val="26"/>
        </w:rPr>
        <w:t xml:space="preserve">’s rules and policies violated the </w:t>
      </w:r>
      <w:r w:rsidR="001835BF">
        <w:rPr>
          <w:rFonts w:eastAsia="Calibri"/>
          <w:sz w:val="26"/>
          <w:szCs w:val="26"/>
        </w:rPr>
        <w:t>Code or the Commission’s R</w:t>
      </w:r>
      <w:r w:rsidRPr="00A353C3">
        <w:rPr>
          <w:rFonts w:eastAsia="Calibri"/>
          <w:sz w:val="26"/>
          <w:szCs w:val="26"/>
        </w:rPr>
        <w:t xml:space="preserve">egulations.  </w:t>
      </w:r>
      <w:r w:rsidR="001835BF">
        <w:rPr>
          <w:rFonts w:eastAsia="Calibri"/>
          <w:sz w:val="26"/>
          <w:szCs w:val="26"/>
        </w:rPr>
        <w:t>Therefore, s</w:t>
      </w:r>
      <w:r w:rsidRPr="00A353C3">
        <w:rPr>
          <w:rFonts w:eastAsia="Calibri"/>
          <w:sz w:val="26"/>
          <w:szCs w:val="26"/>
        </w:rPr>
        <w:t xml:space="preserve">ince the Complainant failed to sustain his burden of proof, </w:t>
      </w:r>
      <w:r w:rsidR="001835BF">
        <w:rPr>
          <w:rFonts w:eastAsia="Calibri"/>
          <w:sz w:val="26"/>
          <w:szCs w:val="26"/>
        </w:rPr>
        <w:t xml:space="preserve">the ALJ dismissed </w:t>
      </w:r>
      <w:r w:rsidR="001835BF">
        <w:rPr>
          <w:color w:val="333333"/>
          <w:sz w:val="26"/>
          <w:szCs w:val="26"/>
        </w:rPr>
        <w:t>the C</w:t>
      </w:r>
      <w:r w:rsidRPr="00A353C3">
        <w:rPr>
          <w:color w:val="333333"/>
          <w:sz w:val="26"/>
          <w:szCs w:val="26"/>
        </w:rPr>
        <w:t>omplaint.</w:t>
      </w:r>
      <w:r w:rsidR="001835BF">
        <w:rPr>
          <w:color w:val="333333"/>
          <w:sz w:val="26"/>
          <w:szCs w:val="26"/>
        </w:rPr>
        <w:t xml:space="preserve">  I.D. at 11-12.</w:t>
      </w:r>
    </w:p>
    <w:p w:rsidR="00D20396" w:rsidRDefault="00D20396">
      <w:pPr>
        <w:widowControl/>
        <w:spacing w:after="200" w:line="276" w:lineRule="auto"/>
        <w:rPr>
          <w:sz w:val="26"/>
          <w:szCs w:val="26"/>
        </w:rPr>
      </w:pPr>
      <w:r>
        <w:rPr>
          <w:sz w:val="26"/>
          <w:szCs w:val="26"/>
        </w:rPr>
        <w:br w:type="page"/>
      </w:r>
    </w:p>
    <w:p w:rsidR="00DA1467" w:rsidRPr="00A353C3" w:rsidRDefault="00DA1467">
      <w:pPr>
        <w:widowControl/>
        <w:spacing w:line="360" w:lineRule="auto"/>
        <w:rPr>
          <w:b/>
          <w:sz w:val="26"/>
          <w:szCs w:val="26"/>
        </w:rPr>
      </w:pPr>
      <w:r w:rsidRPr="00A353C3">
        <w:rPr>
          <w:b/>
          <w:sz w:val="26"/>
          <w:szCs w:val="26"/>
        </w:rPr>
        <w:lastRenderedPageBreak/>
        <w:t>Exceptions and Replies</w:t>
      </w:r>
    </w:p>
    <w:p w:rsidR="00DA1467" w:rsidRPr="00A353C3" w:rsidRDefault="00DA1467">
      <w:pPr>
        <w:widowControl/>
        <w:spacing w:line="360" w:lineRule="auto"/>
        <w:rPr>
          <w:b/>
          <w:sz w:val="26"/>
          <w:szCs w:val="26"/>
        </w:rPr>
      </w:pPr>
    </w:p>
    <w:p w:rsidR="0067040E" w:rsidRDefault="006F61BD">
      <w:pPr>
        <w:widowControl/>
        <w:spacing w:line="360" w:lineRule="auto"/>
        <w:rPr>
          <w:sz w:val="26"/>
          <w:szCs w:val="26"/>
        </w:rPr>
      </w:pPr>
      <w:r>
        <w:rPr>
          <w:b/>
          <w:sz w:val="26"/>
          <w:szCs w:val="26"/>
        </w:rPr>
        <w:tab/>
      </w:r>
      <w:r>
        <w:rPr>
          <w:b/>
          <w:sz w:val="26"/>
          <w:szCs w:val="26"/>
        </w:rPr>
        <w:tab/>
      </w:r>
      <w:r w:rsidRPr="006F61BD">
        <w:rPr>
          <w:sz w:val="26"/>
          <w:szCs w:val="26"/>
        </w:rPr>
        <w:t>In his Exceptions, the Complainant</w:t>
      </w:r>
      <w:r w:rsidR="008C4589">
        <w:rPr>
          <w:sz w:val="26"/>
          <w:szCs w:val="26"/>
        </w:rPr>
        <w:t xml:space="preserve"> </w:t>
      </w:r>
      <w:r w:rsidR="00846A66">
        <w:rPr>
          <w:sz w:val="26"/>
          <w:szCs w:val="26"/>
        </w:rPr>
        <w:t xml:space="preserve">asserts that the “or” terminology within Section 9.2 of PECO’s Tariff, which designates the three-part criteria for underwriter certification, creates a double meaning that warrants consideration of extrinsic evidence.  The Complainant states that while the record shows that electric service was discontinued at his apartment for more than six months, there was no evidence presented that the apartment could not be certified safe without an underwriter.  To the contrary, the Complainant maintains that the record indicates safe service was determined without the need for an underwriter’s certificate.  Also, the Complainant avers that whereas tariff provisions that have been approved by the Commission are </w:t>
      </w:r>
      <w:r w:rsidR="00846A66">
        <w:rPr>
          <w:i/>
          <w:sz w:val="26"/>
          <w:szCs w:val="26"/>
        </w:rPr>
        <w:t xml:space="preserve">prima facie </w:t>
      </w:r>
      <w:r w:rsidR="00846A66">
        <w:rPr>
          <w:sz w:val="26"/>
          <w:szCs w:val="26"/>
        </w:rPr>
        <w:t>reasonable, the Commission could not have intended to give PECO unlimited discretion to punish owners and tenants in the manner mandated by looking to the tariff’</w:t>
      </w:r>
      <w:r w:rsidR="006A018D">
        <w:rPr>
          <w:sz w:val="26"/>
          <w:szCs w:val="26"/>
        </w:rPr>
        <w:t>s plain language alone.  The C</w:t>
      </w:r>
      <w:r w:rsidR="00846A66">
        <w:rPr>
          <w:sz w:val="26"/>
          <w:szCs w:val="26"/>
        </w:rPr>
        <w:t>omplainant opines that notwithstanding the “or” language in the Commission-approved Section</w:t>
      </w:r>
      <w:r w:rsidR="000078BC">
        <w:rPr>
          <w:sz w:val="26"/>
          <w:szCs w:val="26"/>
        </w:rPr>
        <w:t xml:space="preserve"> 9.2, utilities do not have un</w:t>
      </w:r>
      <w:r w:rsidR="00846A66">
        <w:rPr>
          <w:sz w:val="26"/>
          <w:szCs w:val="26"/>
        </w:rPr>
        <w:t>limited discretion to formulate tariffs just as long as they</w:t>
      </w:r>
      <w:r w:rsidR="000078BC">
        <w:rPr>
          <w:sz w:val="26"/>
          <w:szCs w:val="26"/>
        </w:rPr>
        <w:t xml:space="preserve"> are driven by public policy.  Exc. at 1-2.</w:t>
      </w:r>
    </w:p>
    <w:p w:rsidR="0067040E" w:rsidRDefault="0067040E">
      <w:pPr>
        <w:widowControl/>
        <w:spacing w:line="360" w:lineRule="auto"/>
        <w:rPr>
          <w:sz w:val="26"/>
          <w:szCs w:val="26"/>
        </w:rPr>
      </w:pPr>
    </w:p>
    <w:p w:rsidR="00DA1467" w:rsidRDefault="0067040E">
      <w:pPr>
        <w:widowControl/>
        <w:spacing w:line="360" w:lineRule="auto"/>
        <w:rPr>
          <w:sz w:val="26"/>
          <w:szCs w:val="26"/>
        </w:rPr>
      </w:pPr>
      <w:r>
        <w:rPr>
          <w:sz w:val="26"/>
          <w:szCs w:val="26"/>
        </w:rPr>
        <w:tab/>
      </w:r>
      <w:r>
        <w:rPr>
          <w:sz w:val="26"/>
          <w:szCs w:val="26"/>
        </w:rPr>
        <w:tab/>
        <w:t>The Complainant avers that based on the evidence, there was no hazard</w:t>
      </w:r>
      <w:r w:rsidR="00901401">
        <w:rPr>
          <w:sz w:val="26"/>
          <w:szCs w:val="26"/>
        </w:rPr>
        <w:t xml:space="preserve">ous condition at the </w:t>
      </w:r>
      <w:r>
        <w:rPr>
          <w:sz w:val="26"/>
          <w:szCs w:val="26"/>
        </w:rPr>
        <w:t>property</w:t>
      </w:r>
      <w:r w:rsidR="00901401">
        <w:rPr>
          <w:sz w:val="26"/>
          <w:szCs w:val="26"/>
        </w:rPr>
        <w:t xml:space="preserve"> in question</w:t>
      </w:r>
      <w:r>
        <w:rPr>
          <w:sz w:val="26"/>
          <w:szCs w:val="26"/>
        </w:rPr>
        <w:t xml:space="preserve">.  </w:t>
      </w:r>
      <w:r w:rsidR="004E75DC">
        <w:rPr>
          <w:sz w:val="26"/>
          <w:szCs w:val="26"/>
        </w:rPr>
        <w:t>Exc. at 2 (</w:t>
      </w:r>
      <w:r w:rsidR="004150B8">
        <w:rPr>
          <w:sz w:val="26"/>
          <w:szCs w:val="26"/>
        </w:rPr>
        <w:t>citing Tr</w:t>
      </w:r>
      <w:r>
        <w:rPr>
          <w:sz w:val="26"/>
          <w:szCs w:val="26"/>
        </w:rPr>
        <w:t>. at 41</w:t>
      </w:r>
      <w:r w:rsidR="004E75DC">
        <w:rPr>
          <w:sz w:val="26"/>
          <w:szCs w:val="26"/>
        </w:rPr>
        <w:t>)</w:t>
      </w:r>
      <w:r>
        <w:rPr>
          <w:sz w:val="26"/>
          <w:szCs w:val="26"/>
        </w:rPr>
        <w:t>.  Furthermore, the Complainant notes that the inspection confirmed there was no realistic likelihood of structural decay or deteriorated wiring so as to risk an unsafe condition developing during that time.  As such, the Complainant opines that in this case, the Commission can refrain from revisiting the undisputed facts or its factual determination with respect to the policy’s “hazardous condition” criteria.</w:t>
      </w:r>
      <w:r w:rsidR="00901401">
        <w:rPr>
          <w:sz w:val="26"/>
          <w:szCs w:val="26"/>
        </w:rPr>
        <w:t xml:space="preserve">  The Complainant further opines that the decision to enforce the tariff with no exception despite the absence of any unsafe condition was reached by overriding the facts and through a mistake of law.  </w:t>
      </w:r>
      <w:r w:rsidR="0057049C">
        <w:rPr>
          <w:sz w:val="26"/>
          <w:szCs w:val="26"/>
        </w:rPr>
        <w:t xml:space="preserve">According to the Complainant, the lack of exemption or waiver provision in the tariff is unreasonable.  </w:t>
      </w:r>
      <w:r w:rsidR="00901401">
        <w:rPr>
          <w:sz w:val="26"/>
          <w:szCs w:val="26"/>
        </w:rPr>
        <w:t>Exc. at 2-3.</w:t>
      </w:r>
      <w:r w:rsidR="00846A66">
        <w:rPr>
          <w:sz w:val="26"/>
          <w:szCs w:val="26"/>
        </w:rPr>
        <w:t xml:space="preserve"> </w:t>
      </w:r>
    </w:p>
    <w:p w:rsidR="0057049C" w:rsidRDefault="0057049C">
      <w:pPr>
        <w:widowControl/>
        <w:spacing w:line="360" w:lineRule="auto"/>
        <w:rPr>
          <w:sz w:val="26"/>
          <w:szCs w:val="26"/>
        </w:rPr>
      </w:pPr>
    </w:p>
    <w:p w:rsidR="0057049C" w:rsidRDefault="006A018D">
      <w:pPr>
        <w:widowControl/>
        <w:spacing w:line="360" w:lineRule="auto"/>
        <w:rPr>
          <w:sz w:val="26"/>
          <w:szCs w:val="26"/>
        </w:rPr>
      </w:pPr>
      <w:r>
        <w:rPr>
          <w:sz w:val="26"/>
          <w:szCs w:val="26"/>
        </w:rPr>
        <w:lastRenderedPageBreak/>
        <w:tab/>
      </w:r>
      <w:r>
        <w:rPr>
          <w:sz w:val="26"/>
          <w:szCs w:val="26"/>
        </w:rPr>
        <w:tab/>
      </w:r>
      <w:r w:rsidR="005A36AB">
        <w:rPr>
          <w:sz w:val="26"/>
          <w:szCs w:val="26"/>
        </w:rPr>
        <w:t xml:space="preserve">The Complainant asserts that he testified that comparable service to an adjoining apartment with the identical wiring was safe after a period of discontinuity.  The Complainant opines that if he had been permitted to do so at the hearing, it would have been a simple matter to establish with reasonable certainty the maintenance measures taken to render the service in a safe condition for the preceding six month period.  </w:t>
      </w:r>
      <w:r w:rsidR="004E75DC">
        <w:rPr>
          <w:sz w:val="26"/>
          <w:szCs w:val="26"/>
        </w:rPr>
        <w:t>Exc. at 3 (citing</w:t>
      </w:r>
      <w:r w:rsidR="005A36AB">
        <w:rPr>
          <w:i/>
          <w:sz w:val="26"/>
          <w:szCs w:val="26"/>
        </w:rPr>
        <w:t xml:space="preserve"> </w:t>
      </w:r>
      <w:r w:rsidR="00643BDC">
        <w:rPr>
          <w:sz w:val="26"/>
          <w:szCs w:val="26"/>
        </w:rPr>
        <w:t>Tr. at 13</w:t>
      </w:r>
      <w:r w:rsidR="004E75DC">
        <w:rPr>
          <w:sz w:val="26"/>
          <w:szCs w:val="26"/>
        </w:rPr>
        <w:t>)</w:t>
      </w:r>
      <w:r w:rsidR="005A36AB">
        <w:rPr>
          <w:sz w:val="26"/>
          <w:szCs w:val="26"/>
        </w:rPr>
        <w:t>.  The Complainant avers that the ALJ’s decision disregards that the owner is required to pay the identical premium for certification even after it is clear that there is no unsafe condition at his property.  Without the possibility of exemption, the Complainant maintains that as applied, the tariff mandates that the property owner contact a third party electrical inspection agency, pay a separate fee to confirm there is no violation of the electrical code</w:t>
      </w:r>
      <w:r w:rsidR="00365F8A">
        <w:rPr>
          <w:sz w:val="26"/>
          <w:szCs w:val="26"/>
        </w:rPr>
        <w:t>,</w:t>
      </w:r>
      <w:r w:rsidR="005A36AB">
        <w:rPr>
          <w:sz w:val="26"/>
          <w:szCs w:val="26"/>
        </w:rPr>
        <w:t xml:space="preserve"> and verify t</w:t>
      </w:r>
      <w:r w:rsidR="0010562F">
        <w:rPr>
          <w:sz w:val="26"/>
          <w:szCs w:val="26"/>
        </w:rPr>
        <w:t>he absence of a hazard for the C</w:t>
      </w:r>
      <w:r w:rsidR="005A36AB">
        <w:rPr>
          <w:sz w:val="26"/>
          <w:szCs w:val="26"/>
        </w:rPr>
        <w:t>ompany’s employees.  According to the Complainant, the plain language relied upon by the Company overrides the simple fact that having a test meter in place will indicate full functioning of the wiring and that an inspector’s finding of “no hazardous condition” renders the discontinuity parameter entirely redundant</w:t>
      </w:r>
      <w:r w:rsidR="00643BDC">
        <w:rPr>
          <w:sz w:val="26"/>
          <w:szCs w:val="26"/>
        </w:rPr>
        <w:t xml:space="preserve">.  Exc. at 3-4. </w:t>
      </w:r>
    </w:p>
    <w:p w:rsidR="00643BDC" w:rsidRDefault="00643BDC">
      <w:pPr>
        <w:widowControl/>
        <w:spacing w:line="360" w:lineRule="auto"/>
        <w:rPr>
          <w:sz w:val="26"/>
          <w:szCs w:val="26"/>
        </w:rPr>
      </w:pPr>
    </w:p>
    <w:p w:rsidR="00643BDC" w:rsidRDefault="00643BDC">
      <w:pPr>
        <w:widowControl/>
        <w:spacing w:line="360" w:lineRule="auto"/>
        <w:rPr>
          <w:sz w:val="26"/>
          <w:szCs w:val="26"/>
        </w:rPr>
      </w:pPr>
      <w:r>
        <w:rPr>
          <w:sz w:val="26"/>
          <w:szCs w:val="26"/>
        </w:rPr>
        <w:tab/>
      </w:r>
      <w:r>
        <w:rPr>
          <w:sz w:val="26"/>
          <w:szCs w:val="26"/>
        </w:rPr>
        <w:tab/>
        <w:t>In conclusion, the Complainant requests that the ALJ’s decision should be reversed and the record remitted with directions to reconsider whether a reasonable exception is implied by the tariff.  Exc. at 8.</w:t>
      </w:r>
    </w:p>
    <w:p w:rsidR="00643BDC" w:rsidRDefault="00643BDC">
      <w:pPr>
        <w:widowControl/>
        <w:spacing w:line="360" w:lineRule="auto"/>
        <w:rPr>
          <w:sz w:val="26"/>
          <w:szCs w:val="26"/>
        </w:rPr>
      </w:pPr>
    </w:p>
    <w:p w:rsidR="00643BDC" w:rsidRDefault="00ED03D2">
      <w:pPr>
        <w:widowControl/>
        <w:spacing w:line="360" w:lineRule="auto"/>
        <w:rPr>
          <w:sz w:val="26"/>
          <w:szCs w:val="26"/>
        </w:rPr>
      </w:pPr>
      <w:r>
        <w:rPr>
          <w:sz w:val="26"/>
          <w:szCs w:val="26"/>
        </w:rPr>
        <w:tab/>
      </w:r>
      <w:r>
        <w:rPr>
          <w:sz w:val="26"/>
          <w:szCs w:val="26"/>
        </w:rPr>
        <w:tab/>
      </w:r>
      <w:r w:rsidR="003808F6">
        <w:rPr>
          <w:sz w:val="26"/>
          <w:szCs w:val="26"/>
        </w:rPr>
        <w:t>In its replies to the Complainant’s Exceptions, PECO claims that its policy requires an Underwriter Certificate of Inspection to protect the safety of the customer and their property before service is energize</w:t>
      </w:r>
      <w:r w:rsidR="00A3117E">
        <w:rPr>
          <w:sz w:val="26"/>
          <w:szCs w:val="26"/>
        </w:rPr>
        <w:t>d under the following situations</w:t>
      </w:r>
      <w:r w:rsidR="003808F6">
        <w:rPr>
          <w:sz w:val="26"/>
          <w:szCs w:val="26"/>
        </w:rPr>
        <w:t>:  hazardous conditions, unsafe conditions, meter removed, service off for six months or longer, or in the judgment of the Company, citing to Section 9.2 of the Company’s Tariff.  PECO maintains that in this instance, the Company is operating under the basis of a Commission</w:t>
      </w:r>
      <w:r w:rsidR="004E75DC">
        <w:rPr>
          <w:sz w:val="26"/>
          <w:szCs w:val="26"/>
        </w:rPr>
        <w:t>-</w:t>
      </w:r>
      <w:r w:rsidR="003808F6">
        <w:rPr>
          <w:sz w:val="26"/>
          <w:szCs w:val="26"/>
        </w:rPr>
        <w:t xml:space="preserve">approved tariff.  PECO points out that the Complainant has admitted in his Complaint and in his Exceptions that service was off at the property in question for six months.  As such, PECO opines that </w:t>
      </w:r>
      <w:r w:rsidR="004E75DC">
        <w:rPr>
          <w:sz w:val="26"/>
          <w:szCs w:val="26"/>
        </w:rPr>
        <w:t xml:space="preserve">it is </w:t>
      </w:r>
      <w:r w:rsidR="003808F6">
        <w:rPr>
          <w:sz w:val="26"/>
          <w:szCs w:val="26"/>
        </w:rPr>
        <w:t xml:space="preserve">right to require an underwriter’s certificate if the </w:t>
      </w:r>
      <w:r w:rsidR="003808F6">
        <w:rPr>
          <w:sz w:val="26"/>
          <w:szCs w:val="26"/>
        </w:rPr>
        <w:lastRenderedPageBreak/>
        <w:t>service is off for six months</w:t>
      </w:r>
      <w:r w:rsidR="00A3117E">
        <w:rPr>
          <w:sz w:val="26"/>
          <w:szCs w:val="26"/>
        </w:rPr>
        <w:t xml:space="preserve"> or longer is contained within Section 9.2 of the C</w:t>
      </w:r>
      <w:r w:rsidR="003808F6">
        <w:rPr>
          <w:sz w:val="26"/>
          <w:szCs w:val="26"/>
        </w:rPr>
        <w:t>ompany’s tariff as approved and on file with the Commission.  PECO maintains that tar</w:t>
      </w:r>
      <w:r w:rsidR="00A3117E">
        <w:rPr>
          <w:sz w:val="26"/>
          <w:szCs w:val="26"/>
        </w:rPr>
        <w:t>iff provisions approved by the C</w:t>
      </w:r>
      <w:r w:rsidR="003808F6">
        <w:rPr>
          <w:sz w:val="26"/>
          <w:szCs w:val="26"/>
        </w:rPr>
        <w:t xml:space="preserve">ommission are </w:t>
      </w:r>
      <w:r w:rsidR="003808F6">
        <w:rPr>
          <w:i/>
          <w:sz w:val="26"/>
          <w:szCs w:val="26"/>
        </w:rPr>
        <w:t xml:space="preserve">prima facie </w:t>
      </w:r>
      <w:r w:rsidR="003808F6">
        <w:rPr>
          <w:sz w:val="26"/>
          <w:szCs w:val="26"/>
        </w:rPr>
        <w:t xml:space="preserve">reasonable.  </w:t>
      </w:r>
      <w:r w:rsidR="00A67537">
        <w:rPr>
          <w:sz w:val="26"/>
          <w:szCs w:val="26"/>
        </w:rPr>
        <w:t>R. Exc. at 2 (citing</w:t>
      </w:r>
      <w:r w:rsidR="00A3117E">
        <w:rPr>
          <w:i/>
          <w:sz w:val="26"/>
          <w:szCs w:val="26"/>
        </w:rPr>
        <w:t xml:space="preserve"> </w:t>
      </w:r>
      <w:r w:rsidR="00A3117E">
        <w:rPr>
          <w:sz w:val="26"/>
          <w:szCs w:val="26"/>
        </w:rPr>
        <w:t>66 Pa. C.S. § 316</w:t>
      </w:r>
      <w:r w:rsidR="00A67537">
        <w:rPr>
          <w:sz w:val="26"/>
          <w:szCs w:val="26"/>
        </w:rPr>
        <w:t>)</w:t>
      </w:r>
      <w:r w:rsidR="00A3117E">
        <w:rPr>
          <w:sz w:val="26"/>
          <w:szCs w:val="26"/>
        </w:rPr>
        <w:t>.  Moreover, PECO claims that tariffs that have been approved by the Commission have the full force and effect of law and are binding on both the utility and its customers.  R. Exc. at 1-2</w:t>
      </w:r>
      <w:r w:rsidR="00A67537">
        <w:rPr>
          <w:sz w:val="26"/>
          <w:szCs w:val="26"/>
        </w:rPr>
        <w:t xml:space="preserve"> (citing </w:t>
      </w:r>
      <w:r w:rsidR="00A67537">
        <w:rPr>
          <w:i/>
          <w:sz w:val="26"/>
          <w:szCs w:val="26"/>
        </w:rPr>
        <w:t>Brockway Glass</w:t>
      </w:r>
      <w:r w:rsidR="00A67537">
        <w:rPr>
          <w:sz w:val="26"/>
          <w:szCs w:val="26"/>
        </w:rPr>
        <w:t>)</w:t>
      </w:r>
      <w:r w:rsidR="00A3117E">
        <w:rPr>
          <w:sz w:val="26"/>
          <w:szCs w:val="26"/>
        </w:rPr>
        <w:t xml:space="preserve">. </w:t>
      </w:r>
    </w:p>
    <w:p w:rsidR="00A3117E" w:rsidRDefault="00A3117E">
      <w:pPr>
        <w:widowControl/>
        <w:spacing w:line="360" w:lineRule="auto"/>
        <w:rPr>
          <w:sz w:val="26"/>
          <w:szCs w:val="26"/>
        </w:rPr>
      </w:pPr>
    </w:p>
    <w:p w:rsidR="00373887" w:rsidRDefault="00A3117E">
      <w:pPr>
        <w:widowControl/>
        <w:spacing w:line="360" w:lineRule="auto"/>
        <w:rPr>
          <w:sz w:val="26"/>
          <w:szCs w:val="26"/>
        </w:rPr>
      </w:pPr>
      <w:r>
        <w:rPr>
          <w:sz w:val="26"/>
          <w:szCs w:val="26"/>
        </w:rPr>
        <w:tab/>
      </w:r>
      <w:r>
        <w:rPr>
          <w:sz w:val="26"/>
          <w:szCs w:val="26"/>
        </w:rPr>
        <w:tab/>
        <w:t>Additionally, PECO points out that in addition to the tariff, the requirement to obtain an underwriter’s certificate for safety is in the Company’s Electric Services Requirement manual (the “Blue Book”) which is a standard upheld by the National Electric Code and the Pennsylvania Uniform Construction Code.  According to PECO, this national standard sets a basis for safety for PECO’s requirements, tariff and Company policy.  Therefore, PECO avers that there is a reasonable basis for the Company to require the underwriter’s certificate for the safety of both the customer and property based upon these national standards.  R. Exc. at 2.</w:t>
      </w:r>
    </w:p>
    <w:p w:rsidR="00373887" w:rsidRDefault="00373887">
      <w:pPr>
        <w:widowControl/>
        <w:spacing w:line="360" w:lineRule="auto"/>
        <w:rPr>
          <w:sz w:val="26"/>
          <w:szCs w:val="26"/>
        </w:rPr>
      </w:pPr>
    </w:p>
    <w:p w:rsidR="00A3117E" w:rsidRDefault="00373887">
      <w:pPr>
        <w:widowControl/>
        <w:spacing w:line="360" w:lineRule="auto"/>
        <w:rPr>
          <w:sz w:val="26"/>
          <w:szCs w:val="26"/>
        </w:rPr>
      </w:pPr>
      <w:r>
        <w:rPr>
          <w:sz w:val="26"/>
          <w:szCs w:val="26"/>
        </w:rPr>
        <w:tab/>
      </w:r>
      <w:r>
        <w:rPr>
          <w:sz w:val="26"/>
          <w:szCs w:val="26"/>
        </w:rPr>
        <w:tab/>
      </w:r>
      <w:r w:rsidR="00AA72F5">
        <w:rPr>
          <w:sz w:val="26"/>
          <w:szCs w:val="26"/>
        </w:rPr>
        <w:t xml:space="preserve">PECO asserts that the Complainant provided no proof at the hearing that his rental property was safe after the service had been off for six months.  Further, PECO maintains that the Complainant could not show and did not present evidence that his property was consistent with the national Electric Code or that energizing service would not cause a hazard or safety issue.  PECO explains that the underwriter’s certificate requirement is in place to protect such </w:t>
      </w:r>
      <w:r w:rsidR="002C1AD5">
        <w:rPr>
          <w:sz w:val="26"/>
          <w:szCs w:val="26"/>
        </w:rPr>
        <w:t>individuals</w:t>
      </w:r>
      <w:r w:rsidR="00AA72F5">
        <w:rPr>
          <w:sz w:val="26"/>
          <w:szCs w:val="26"/>
        </w:rPr>
        <w:t xml:space="preserve"> as the Complainant’s tenant who could have moved into the property, and once service was energized without inspection, a fire could start or life threatening hazard </w:t>
      </w:r>
      <w:r w:rsidR="00A67537">
        <w:rPr>
          <w:sz w:val="26"/>
          <w:szCs w:val="26"/>
        </w:rPr>
        <w:t xml:space="preserve">could </w:t>
      </w:r>
      <w:r w:rsidR="00AA72F5">
        <w:rPr>
          <w:sz w:val="26"/>
          <w:szCs w:val="26"/>
        </w:rPr>
        <w:t>arise.  Therefore, PECO opines that as this tariff provision and policy is in place to ensure safety and protect PECO’s customers, it is reasonable.</w:t>
      </w:r>
      <w:r w:rsidR="00A3117E">
        <w:rPr>
          <w:sz w:val="26"/>
          <w:szCs w:val="26"/>
        </w:rPr>
        <w:t xml:space="preserve">  </w:t>
      </w:r>
      <w:r w:rsidR="00AA72F5">
        <w:rPr>
          <w:sz w:val="26"/>
          <w:szCs w:val="26"/>
        </w:rPr>
        <w:t>R. Exc. at 2-3</w:t>
      </w:r>
      <w:r w:rsidR="004150B8">
        <w:rPr>
          <w:sz w:val="26"/>
          <w:szCs w:val="26"/>
        </w:rPr>
        <w:t>.</w:t>
      </w:r>
    </w:p>
    <w:p w:rsidR="00AA72F5" w:rsidRDefault="00AA72F5">
      <w:pPr>
        <w:widowControl/>
        <w:spacing w:line="360" w:lineRule="auto"/>
        <w:rPr>
          <w:sz w:val="26"/>
          <w:szCs w:val="26"/>
        </w:rPr>
      </w:pPr>
    </w:p>
    <w:p w:rsidR="00AA72F5" w:rsidRDefault="00AA72F5">
      <w:pPr>
        <w:widowControl/>
        <w:spacing w:line="360" w:lineRule="auto"/>
        <w:rPr>
          <w:sz w:val="26"/>
          <w:szCs w:val="26"/>
        </w:rPr>
      </w:pPr>
      <w:r>
        <w:rPr>
          <w:sz w:val="26"/>
          <w:szCs w:val="26"/>
        </w:rPr>
        <w:tab/>
      </w:r>
      <w:r>
        <w:rPr>
          <w:sz w:val="26"/>
          <w:szCs w:val="26"/>
        </w:rPr>
        <w:tab/>
        <w:t xml:space="preserve">Lastly, PECO asserts that the Complainant cannot demonstrate that PECO’s Tariff Section 9.2 requirement for an underwriter’s certificate is unreasonable.  PECO </w:t>
      </w:r>
      <w:r>
        <w:rPr>
          <w:sz w:val="26"/>
          <w:szCs w:val="26"/>
        </w:rPr>
        <w:lastRenderedPageBreak/>
        <w:t>claims that it has a reasonable basis for this tariff requirement an</w:t>
      </w:r>
      <w:r w:rsidR="00910A31">
        <w:rPr>
          <w:sz w:val="26"/>
          <w:szCs w:val="26"/>
        </w:rPr>
        <w:t>d that it is entirely justified.</w:t>
      </w:r>
      <w:r>
        <w:rPr>
          <w:sz w:val="26"/>
          <w:szCs w:val="26"/>
        </w:rPr>
        <w:t xml:space="preserve">  </w:t>
      </w:r>
      <w:r w:rsidR="00910A31">
        <w:rPr>
          <w:sz w:val="26"/>
          <w:szCs w:val="26"/>
        </w:rPr>
        <w:t>A</w:t>
      </w:r>
      <w:r>
        <w:rPr>
          <w:sz w:val="26"/>
          <w:szCs w:val="26"/>
        </w:rPr>
        <w:t>ccordingly, PECO avers that the ALJ’s decision dismissing this Complaint was proper and that nothing within the Complainant’s Exceptions warrants a reversal of the ALJ’</w:t>
      </w:r>
      <w:r w:rsidR="00910A31">
        <w:rPr>
          <w:sz w:val="26"/>
          <w:szCs w:val="26"/>
        </w:rPr>
        <w:t>s dec</w:t>
      </w:r>
      <w:r>
        <w:rPr>
          <w:sz w:val="26"/>
          <w:szCs w:val="26"/>
        </w:rPr>
        <w:t xml:space="preserve">ision.  </w:t>
      </w:r>
      <w:r w:rsidR="00910A31">
        <w:rPr>
          <w:sz w:val="26"/>
          <w:szCs w:val="26"/>
        </w:rPr>
        <w:t xml:space="preserve">Therefore, </w:t>
      </w:r>
      <w:r>
        <w:rPr>
          <w:sz w:val="26"/>
          <w:szCs w:val="26"/>
        </w:rPr>
        <w:t>PECO requests that the Complainant’</w:t>
      </w:r>
      <w:r w:rsidR="00910A31">
        <w:rPr>
          <w:sz w:val="26"/>
          <w:szCs w:val="26"/>
        </w:rPr>
        <w:t xml:space="preserve">s Exceptions be denied and his </w:t>
      </w:r>
      <w:r>
        <w:rPr>
          <w:sz w:val="26"/>
          <w:szCs w:val="26"/>
        </w:rPr>
        <w:t>Complaint dismissed</w:t>
      </w:r>
      <w:r w:rsidR="00910A31">
        <w:rPr>
          <w:sz w:val="26"/>
          <w:szCs w:val="26"/>
        </w:rPr>
        <w:t>.  R. Exc. at 3.</w:t>
      </w:r>
    </w:p>
    <w:p w:rsidR="00CF2926" w:rsidRPr="00A3117E" w:rsidRDefault="00CF2926">
      <w:pPr>
        <w:widowControl/>
        <w:spacing w:line="360" w:lineRule="auto"/>
        <w:rPr>
          <w:sz w:val="26"/>
          <w:szCs w:val="26"/>
        </w:rPr>
      </w:pPr>
    </w:p>
    <w:p w:rsidR="00DA1467" w:rsidRDefault="00DA1467">
      <w:pPr>
        <w:widowControl/>
        <w:spacing w:line="360" w:lineRule="auto"/>
        <w:rPr>
          <w:b/>
          <w:sz w:val="26"/>
          <w:szCs w:val="26"/>
        </w:rPr>
      </w:pPr>
      <w:r w:rsidRPr="00A353C3">
        <w:rPr>
          <w:b/>
          <w:sz w:val="26"/>
          <w:szCs w:val="26"/>
        </w:rPr>
        <w:t>Disposition</w:t>
      </w:r>
    </w:p>
    <w:p w:rsidR="00613A18" w:rsidRPr="00A353C3" w:rsidRDefault="00613A18">
      <w:pPr>
        <w:widowControl/>
        <w:spacing w:line="360" w:lineRule="auto"/>
        <w:rPr>
          <w:b/>
          <w:sz w:val="26"/>
          <w:szCs w:val="26"/>
        </w:rPr>
      </w:pPr>
    </w:p>
    <w:p w:rsidR="00613A18" w:rsidRDefault="00CF2926">
      <w:pPr>
        <w:widowControl/>
        <w:spacing w:line="360" w:lineRule="auto"/>
        <w:rPr>
          <w:sz w:val="26"/>
          <w:szCs w:val="26"/>
        </w:rPr>
      </w:pPr>
      <w:r>
        <w:rPr>
          <w:b/>
          <w:sz w:val="26"/>
          <w:szCs w:val="26"/>
        </w:rPr>
        <w:tab/>
      </w:r>
      <w:r>
        <w:rPr>
          <w:b/>
          <w:sz w:val="26"/>
          <w:szCs w:val="26"/>
        </w:rPr>
        <w:tab/>
      </w:r>
      <w:r w:rsidRPr="00CF2926">
        <w:rPr>
          <w:sz w:val="26"/>
          <w:szCs w:val="26"/>
        </w:rPr>
        <w:t xml:space="preserve">Based upon our review of the evidence of record, </w:t>
      </w:r>
      <w:r w:rsidR="002C1AD5">
        <w:rPr>
          <w:sz w:val="26"/>
          <w:szCs w:val="26"/>
        </w:rPr>
        <w:t>as well as the Exceptions and the Replies thereto, we shall deny the Complainant’s Exceptions.  We find that the ALJ properly dismissed the Complaint</w:t>
      </w:r>
      <w:r w:rsidR="00EC0852">
        <w:rPr>
          <w:sz w:val="26"/>
          <w:szCs w:val="26"/>
        </w:rPr>
        <w:t xml:space="preserve"> as he has faile</w:t>
      </w:r>
      <w:r w:rsidR="0047572D">
        <w:rPr>
          <w:sz w:val="26"/>
          <w:szCs w:val="26"/>
        </w:rPr>
        <w:t xml:space="preserve">d to sustain his burden of proof that PECO acted unreasonably when requiring him to obtain an underwriter’s certification before </w:t>
      </w:r>
      <w:r w:rsidR="001E5D47">
        <w:rPr>
          <w:sz w:val="26"/>
          <w:szCs w:val="26"/>
        </w:rPr>
        <w:t xml:space="preserve">reconnecting electric service to an apartment that had been unoccupied for over six months.  </w:t>
      </w:r>
      <w:r w:rsidR="009658BE">
        <w:rPr>
          <w:sz w:val="26"/>
          <w:szCs w:val="26"/>
        </w:rPr>
        <w:t xml:space="preserve">We find that the evidence presented by PECO determined that its request was reasonable, permitted by its Commission approved tariff and is based upon currently existing Company policy.  </w:t>
      </w:r>
      <w:r w:rsidR="00EC0852">
        <w:rPr>
          <w:sz w:val="26"/>
          <w:szCs w:val="26"/>
        </w:rPr>
        <w:t>Specifically, Section 9.2 of PECO’s Commission approved tariff allows the Company to refuse to connect service unless an underwriter’s certificate is submitted by an authorized inspection agency.</w:t>
      </w:r>
    </w:p>
    <w:p w:rsidR="00613A18" w:rsidRDefault="00613A18">
      <w:pPr>
        <w:widowControl/>
        <w:spacing w:line="360" w:lineRule="auto"/>
        <w:rPr>
          <w:sz w:val="26"/>
          <w:szCs w:val="26"/>
        </w:rPr>
      </w:pPr>
    </w:p>
    <w:p w:rsidR="009658BE" w:rsidRDefault="00EC0852">
      <w:pPr>
        <w:widowControl/>
        <w:spacing w:line="360" w:lineRule="auto"/>
        <w:ind w:firstLine="1440"/>
        <w:rPr>
          <w:sz w:val="26"/>
          <w:szCs w:val="26"/>
        </w:rPr>
      </w:pPr>
      <w:r>
        <w:rPr>
          <w:sz w:val="26"/>
          <w:szCs w:val="26"/>
        </w:rPr>
        <w:t>Furthermore, we find that PECO’s policy that requires the submission of said underwriter’s certificate when the electric service has been off for six months or more when there is no electric meter at the property</w:t>
      </w:r>
      <w:r w:rsidR="004D4A2C">
        <w:rPr>
          <w:sz w:val="26"/>
          <w:szCs w:val="26"/>
        </w:rPr>
        <w:t>,</w:t>
      </w:r>
      <w:r>
        <w:rPr>
          <w:sz w:val="26"/>
          <w:szCs w:val="26"/>
        </w:rPr>
        <w:t xml:space="preserve"> or when there is a hazardous condition, is reasonable and appropriate to ensure the safety of the Company’s customers, their property and the Company’s employees.  </w:t>
      </w:r>
      <w:r w:rsidR="00144B0A">
        <w:rPr>
          <w:sz w:val="26"/>
          <w:szCs w:val="26"/>
        </w:rPr>
        <w:t xml:space="preserve">It is important to note that the safety of the electric distribution system in Pennsylvania is of paramount importance to this Commission and we </w:t>
      </w:r>
      <w:r w:rsidR="004D4A2C">
        <w:rPr>
          <w:sz w:val="26"/>
          <w:szCs w:val="26"/>
        </w:rPr>
        <w:t xml:space="preserve">do not condone </w:t>
      </w:r>
      <w:r w:rsidR="00144B0A">
        <w:rPr>
          <w:sz w:val="26"/>
          <w:szCs w:val="26"/>
        </w:rPr>
        <w:t>compromis</w:t>
      </w:r>
      <w:r w:rsidR="004D4A2C">
        <w:rPr>
          <w:sz w:val="26"/>
          <w:szCs w:val="26"/>
        </w:rPr>
        <w:t xml:space="preserve">ing </w:t>
      </w:r>
      <w:r w:rsidR="00ED287C">
        <w:rPr>
          <w:sz w:val="26"/>
          <w:szCs w:val="26"/>
        </w:rPr>
        <w:t xml:space="preserve">PECO’s responsibility to provide </w:t>
      </w:r>
      <w:r w:rsidR="00144B0A">
        <w:rPr>
          <w:sz w:val="26"/>
          <w:szCs w:val="26"/>
        </w:rPr>
        <w:t>saf</w:t>
      </w:r>
      <w:r w:rsidR="00ED287C">
        <w:rPr>
          <w:sz w:val="26"/>
          <w:szCs w:val="26"/>
        </w:rPr>
        <w:t>e electric service</w:t>
      </w:r>
      <w:r w:rsidR="00144B0A">
        <w:rPr>
          <w:sz w:val="26"/>
          <w:szCs w:val="26"/>
        </w:rPr>
        <w:t xml:space="preserve"> based upon the facts of this Complaint proceeding.</w:t>
      </w:r>
    </w:p>
    <w:p w:rsidR="000E1E27" w:rsidRDefault="000E1E27">
      <w:pPr>
        <w:widowControl/>
        <w:spacing w:line="360" w:lineRule="auto"/>
        <w:rPr>
          <w:sz w:val="26"/>
          <w:szCs w:val="26"/>
        </w:rPr>
      </w:pPr>
    </w:p>
    <w:p w:rsidR="000E1E27" w:rsidRDefault="000E1E27">
      <w:pPr>
        <w:widowControl/>
        <w:spacing w:line="360" w:lineRule="auto"/>
        <w:rPr>
          <w:sz w:val="26"/>
          <w:szCs w:val="26"/>
        </w:rPr>
      </w:pPr>
      <w:r>
        <w:rPr>
          <w:sz w:val="26"/>
          <w:szCs w:val="26"/>
        </w:rPr>
        <w:lastRenderedPageBreak/>
        <w:tab/>
      </w:r>
      <w:r>
        <w:rPr>
          <w:sz w:val="26"/>
          <w:szCs w:val="26"/>
        </w:rPr>
        <w:tab/>
        <w:t>Accordingly, we shall deny the Exceptions of the Complainant and adopt the ALJ’s Initial Decision dismissing the Complaint.</w:t>
      </w:r>
    </w:p>
    <w:p w:rsidR="00DA1467" w:rsidRPr="00CF2926" w:rsidRDefault="00DA1467">
      <w:pPr>
        <w:widowControl/>
        <w:spacing w:line="360" w:lineRule="auto"/>
        <w:rPr>
          <w:sz w:val="26"/>
          <w:szCs w:val="26"/>
        </w:rPr>
      </w:pPr>
    </w:p>
    <w:p w:rsidR="00DA1467" w:rsidRPr="00A353C3" w:rsidRDefault="00DA1467">
      <w:pPr>
        <w:keepNext/>
        <w:widowControl/>
        <w:tabs>
          <w:tab w:val="left" w:pos="-720"/>
        </w:tabs>
        <w:suppressAutoHyphens/>
        <w:spacing w:line="360" w:lineRule="auto"/>
        <w:jc w:val="center"/>
        <w:outlineLvl w:val="1"/>
        <w:rPr>
          <w:sz w:val="26"/>
          <w:szCs w:val="26"/>
        </w:rPr>
      </w:pPr>
      <w:r w:rsidRPr="00A353C3">
        <w:rPr>
          <w:b/>
          <w:sz w:val="26"/>
          <w:szCs w:val="26"/>
        </w:rPr>
        <w:t>Conclusion</w:t>
      </w:r>
    </w:p>
    <w:p w:rsidR="00DA1467" w:rsidRPr="00A353C3" w:rsidRDefault="00DA1467">
      <w:pPr>
        <w:keepNext/>
        <w:widowControl/>
        <w:tabs>
          <w:tab w:val="left" w:pos="-720"/>
        </w:tabs>
        <w:suppressAutoHyphens/>
        <w:spacing w:line="360" w:lineRule="auto"/>
        <w:rPr>
          <w:sz w:val="26"/>
          <w:szCs w:val="26"/>
        </w:rPr>
      </w:pPr>
    </w:p>
    <w:p w:rsidR="00DA1467" w:rsidRPr="00A353C3" w:rsidRDefault="00DA1467">
      <w:pPr>
        <w:widowControl/>
        <w:tabs>
          <w:tab w:val="left" w:pos="-720"/>
        </w:tabs>
        <w:suppressAutoHyphens/>
        <w:spacing w:line="360" w:lineRule="auto"/>
        <w:ind w:firstLine="1440"/>
        <w:rPr>
          <w:sz w:val="26"/>
          <w:szCs w:val="26"/>
        </w:rPr>
      </w:pPr>
      <w:r w:rsidRPr="00A353C3">
        <w:rPr>
          <w:sz w:val="26"/>
          <w:szCs w:val="26"/>
        </w:rPr>
        <w:t>In light of the above discussion, we shall</w:t>
      </w:r>
      <w:r w:rsidR="004D4A2C">
        <w:rPr>
          <w:sz w:val="26"/>
          <w:szCs w:val="26"/>
        </w:rPr>
        <w:t xml:space="preserve"> </w:t>
      </w:r>
      <w:r w:rsidRPr="00A353C3">
        <w:rPr>
          <w:sz w:val="26"/>
          <w:szCs w:val="26"/>
        </w:rPr>
        <w:t>deny the Complainant’s Exceptions</w:t>
      </w:r>
      <w:r w:rsidR="004D4A2C">
        <w:rPr>
          <w:sz w:val="26"/>
          <w:szCs w:val="26"/>
        </w:rPr>
        <w:t xml:space="preserve"> and adopt the </w:t>
      </w:r>
      <w:r w:rsidRPr="00A353C3">
        <w:rPr>
          <w:sz w:val="26"/>
          <w:szCs w:val="26"/>
        </w:rPr>
        <w:t>ALJ’s Initial Decision</w:t>
      </w:r>
      <w:r w:rsidR="004D4A2C">
        <w:rPr>
          <w:sz w:val="26"/>
          <w:szCs w:val="26"/>
        </w:rPr>
        <w:t xml:space="preserve"> that dismisses the </w:t>
      </w:r>
      <w:r w:rsidRPr="00A353C3">
        <w:rPr>
          <w:sz w:val="26"/>
          <w:szCs w:val="26"/>
        </w:rPr>
        <w:t>Complaint consistent with this Opinion and Order</w:t>
      </w:r>
      <w:r w:rsidR="004D4A2C">
        <w:rPr>
          <w:sz w:val="26"/>
          <w:szCs w:val="26"/>
        </w:rPr>
        <w:t>;</w:t>
      </w:r>
      <w:r w:rsidR="004150B8">
        <w:rPr>
          <w:sz w:val="26"/>
          <w:szCs w:val="26"/>
        </w:rPr>
        <w:t xml:space="preserve"> </w:t>
      </w:r>
      <w:r w:rsidRPr="00A353C3">
        <w:rPr>
          <w:b/>
          <w:sz w:val="26"/>
          <w:szCs w:val="26"/>
        </w:rPr>
        <w:t>THEREFORE,</w:t>
      </w:r>
    </w:p>
    <w:p w:rsidR="00DA1467" w:rsidRPr="00A353C3" w:rsidRDefault="00DA1467">
      <w:pPr>
        <w:widowControl/>
        <w:spacing w:after="200" w:line="360" w:lineRule="auto"/>
        <w:rPr>
          <w:b/>
          <w:sz w:val="26"/>
          <w:szCs w:val="26"/>
        </w:rPr>
      </w:pPr>
    </w:p>
    <w:p w:rsidR="00DA1467" w:rsidRPr="00A353C3" w:rsidRDefault="00DA1467">
      <w:pPr>
        <w:widowControl/>
        <w:tabs>
          <w:tab w:val="left" w:pos="-720"/>
        </w:tabs>
        <w:suppressAutoHyphens/>
        <w:spacing w:line="360" w:lineRule="auto"/>
        <w:ind w:firstLine="1440"/>
        <w:rPr>
          <w:b/>
          <w:sz w:val="26"/>
          <w:szCs w:val="26"/>
        </w:rPr>
      </w:pPr>
      <w:r w:rsidRPr="00A353C3">
        <w:rPr>
          <w:b/>
          <w:sz w:val="26"/>
          <w:szCs w:val="26"/>
        </w:rPr>
        <w:t>IT IS ORDERED:</w:t>
      </w:r>
    </w:p>
    <w:p w:rsidR="00DA1467" w:rsidRPr="00A353C3" w:rsidRDefault="00DA1467">
      <w:pPr>
        <w:widowControl/>
        <w:tabs>
          <w:tab w:val="left" w:pos="-720"/>
        </w:tabs>
        <w:suppressAutoHyphens/>
        <w:spacing w:line="360" w:lineRule="auto"/>
        <w:rPr>
          <w:sz w:val="26"/>
          <w:szCs w:val="26"/>
        </w:rPr>
      </w:pPr>
    </w:p>
    <w:p w:rsidR="00DA1467" w:rsidRPr="00A353C3" w:rsidRDefault="00DA1467">
      <w:pPr>
        <w:widowControl/>
        <w:tabs>
          <w:tab w:val="left" w:pos="-720"/>
        </w:tabs>
        <w:suppressAutoHyphens/>
        <w:spacing w:line="360" w:lineRule="auto"/>
        <w:ind w:firstLine="1440"/>
        <w:rPr>
          <w:sz w:val="26"/>
          <w:szCs w:val="26"/>
        </w:rPr>
      </w:pPr>
      <w:r w:rsidRPr="00A353C3">
        <w:rPr>
          <w:sz w:val="26"/>
          <w:szCs w:val="26"/>
        </w:rPr>
        <w:t>1.</w:t>
      </w:r>
      <w:r w:rsidRPr="00A353C3">
        <w:rPr>
          <w:sz w:val="26"/>
          <w:szCs w:val="26"/>
        </w:rPr>
        <w:tab/>
        <w:t>That the Exceptions filed by David Hatchigian on February 10, 2016, to the Initial Decision of Administrative Law Judge Cynthia Williams Fordham, are denied.</w:t>
      </w:r>
    </w:p>
    <w:p w:rsidR="00DA1467" w:rsidRPr="00A353C3" w:rsidRDefault="00DA1467">
      <w:pPr>
        <w:widowControl/>
        <w:tabs>
          <w:tab w:val="left" w:pos="-720"/>
        </w:tabs>
        <w:suppressAutoHyphens/>
        <w:spacing w:line="360" w:lineRule="auto"/>
        <w:ind w:firstLine="1440"/>
        <w:rPr>
          <w:sz w:val="26"/>
          <w:szCs w:val="26"/>
        </w:rPr>
      </w:pPr>
    </w:p>
    <w:p w:rsidR="00DA1467" w:rsidRPr="00A353C3" w:rsidRDefault="00DA1467">
      <w:pPr>
        <w:widowControl/>
        <w:tabs>
          <w:tab w:val="left" w:pos="-720"/>
        </w:tabs>
        <w:suppressAutoHyphens/>
        <w:spacing w:line="360" w:lineRule="auto"/>
        <w:ind w:firstLine="1440"/>
        <w:rPr>
          <w:b/>
          <w:sz w:val="26"/>
          <w:szCs w:val="26"/>
        </w:rPr>
      </w:pPr>
      <w:r w:rsidRPr="00A353C3">
        <w:rPr>
          <w:sz w:val="26"/>
          <w:szCs w:val="26"/>
        </w:rPr>
        <w:t>2.</w:t>
      </w:r>
      <w:r w:rsidRPr="00A353C3">
        <w:rPr>
          <w:sz w:val="26"/>
          <w:szCs w:val="26"/>
        </w:rPr>
        <w:tab/>
        <w:t>That the Initial Decision of Administrative Law Judge Cynthia Williams Fordham, issued on January 21, 2016, is adopted.</w:t>
      </w:r>
    </w:p>
    <w:p w:rsidR="00DA1467" w:rsidRPr="00A353C3" w:rsidRDefault="00DA1467">
      <w:pPr>
        <w:widowControl/>
        <w:tabs>
          <w:tab w:val="left" w:pos="0"/>
        </w:tabs>
        <w:suppressAutoHyphens/>
        <w:spacing w:line="360" w:lineRule="auto"/>
        <w:ind w:firstLine="1440"/>
        <w:rPr>
          <w:spacing w:val="-3"/>
          <w:sz w:val="26"/>
          <w:szCs w:val="26"/>
        </w:rPr>
      </w:pPr>
    </w:p>
    <w:p w:rsidR="00DA1467" w:rsidRPr="00A353C3" w:rsidRDefault="00DA1467">
      <w:pPr>
        <w:widowControl/>
        <w:spacing w:line="360" w:lineRule="auto"/>
        <w:ind w:firstLine="1440"/>
        <w:rPr>
          <w:sz w:val="26"/>
          <w:szCs w:val="26"/>
        </w:rPr>
      </w:pPr>
      <w:r w:rsidRPr="00A353C3">
        <w:rPr>
          <w:spacing w:val="-3"/>
          <w:sz w:val="26"/>
          <w:szCs w:val="26"/>
        </w:rPr>
        <w:t>3.</w:t>
      </w:r>
      <w:r w:rsidRPr="00A353C3">
        <w:rPr>
          <w:spacing w:val="-3"/>
          <w:sz w:val="26"/>
          <w:szCs w:val="26"/>
        </w:rPr>
        <w:tab/>
      </w:r>
      <w:r w:rsidRPr="00A353C3">
        <w:rPr>
          <w:sz w:val="26"/>
          <w:szCs w:val="26"/>
        </w:rPr>
        <w:t>That the Formal Complaint filed on April 10, 2015, at Docket No. C</w:t>
      </w:r>
      <w:r w:rsidR="004D4A2C">
        <w:rPr>
          <w:sz w:val="26"/>
          <w:szCs w:val="26"/>
        </w:rPr>
        <w:noBreakHyphen/>
      </w:r>
      <w:r w:rsidRPr="00A353C3">
        <w:rPr>
          <w:sz w:val="26"/>
          <w:szCs w:val="26"/>
        </w:rPr>
        <w:t>2015-2477321 by David Hatchigian against PECO Energy Company is dismissed.</w:t>
      </w:r>
    </w:p>
    <w:p w:rsidR="00DA1467" w:rsidRPr="00A353C3" w:rsidRDefault="00DA1467">
      <w:pPr>
        <w:widowControl/>
        <w:spacing w:line="360" w:lineRule="auto"/>
        <w:rPr>
          <w:sz w:val="26"/>
          <w:szCs w:val="26"/>
        </w:rPr>
      </w:pPr>
    </w:p>
    <w:p w:rsidR="00DA1467" w:rsidRDefault="000E1E27" w:rsidP="00736FD9">
      <w:pPr>
        <w:keepNext/>
        <w:keepLines/>
        <w:widowControl/>
        <w:ind w:firstLine="1440"/>
        <w:rPr>
          <w:sz w:val="26"/>
          <w:szCs w:val="26"/>
        </w:rPr>
      </w:pPr>
      <w:r>
        <w:rPr>
          <w:sz w:val="26"/>
          <w:szCs w:val="26"/>
        </w:rPr>
        <w:lastRenderedPageBreak/>
        <w:t>4</w:t>
      </w:r>
      <w:r w:rsidR="00DA1467" w:rsidRPr="00A353C3">
        <w:rPr>
          <w:sz w:val="26"/>
          <w:szCs w:val="26"/>
        </w:rPr>
        <w:t>.</w:t>
      </w:r>
      <w:r w:rsidR="00DA1467" w:rsidRPr="00A353C3">
        <w:rPr>
          <w:sz w:val="26"/>
          <w:szCs w:val="26"/>
        </w:rPr>
        <w:tab/>
      </w:r>
      <w:r w:rsidR="00DA1467" w:rsidRPr="00A353C3">
        <w:rPr>
          <w:spacing w:val="-3"/>
          <w:sz w:val="26"/>
          <w:szCs w:val="26"/>
        </w:rPr>
        <w:t xml:space="preserve">That the proceeding at </w:t>
      </w:r>
      <w:r w:rsidR="00DA1467" w:rsidRPr="00A353C3">
        <w:rPr>
          <w:sz w:val="26"/>
          <w:szCs w:val="26"/>
        </w:rPr>
        <w:t>Docket Nos. C-2015-2477321 be marked closed.</w:t>
      </w:r>
    </w:p>
    <w:p w:rsidR="00613A18" w:rsidRDefault="00613A18" w:rsidP="00736FD9">
      <w:pPr>
        <w:keepNext/>
        <w:keepLines/>
        <w:widowControl/>
        <w:ind w:firstLine="1440"/>
        <w:rPr>
          <w:sz w:val="26"/>
          <w:szCs w:val="26"/>
        </w:rPr>
      </w:pPr>
    </w:p>
    <w:p w:rsidR="00613A18" w:rsidRPr="00A353C3" w:rsidRDefault="00613A18" w:rsidP="00736FD9">
      <w:pPr>
        <w:keepNext/>
        <w:keepLines/>
        <w:widowControl/>
        <w:ind w:firstLine="1440"/>
        <w:rPr>
          <w:spacing w:val="-3"/>
          <w:sz w:val="26"/>
          <w:szCs w:val="26"/>
        </w:rPr>
      </w:pPr>
    </w:p>
    <w:p w:rsidR="00DA1467" w:rsidRPr="00A353C3" w:rsidRDefault="006963CB" w:rsidP="00736FD9">
      <w:pPr>
        <w:keepNext/>
        <w:keepLines/>
        <w:widowControl/>
        <w:tabs>
          <w:tab w:val="left" w:pos="-720"/>
        </w:tabs>
        <w:suppressAutoHyphens/>
        <w:spacing w:line="360" w:lineRule="auto"/>
        <w:rPr>
          <w:b/>
          <w:sz w:val="26"/>
          <w:szCs w:val="26"/>
        </w:rPr>
      </w:pPr>
      <w:r>
        <w:rPr>
          <w:noProof/>
        </w:rPr>
        <w:drawing>
          <wp:anchor distT="0" distB="0" distL="114300" distR="114300" simplePos="0" relativeHeight="251659264" behindDoc="1" locked="0" layoutInCell="1" allowOverlap="1" wp14:anchorId="7FDF1B96" wp14:editId="2D323E88">
            <wp:simplePos x="0" y="0"/>
            <wp:positionH relativeFrom="column">
              <wp:posOffset>3169920</wp:posOffset>
            </wp:positionH>
            <wp:positionV relativeFrom="paragraph">
              <wp:posOffset>229870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A1467" w:rsidRPr="00A353C3">
        <w:rPr>
          <w:b/>
          <w:sz w:val="26"/>
          <w:szCs w:val="26"/>
        </w:rPr>
        <w:tab/>
      </w:r>
      <w:r w:rsidR="00DA1467" w:rsidRPr="00A353C3">
        <w:rPr>
          <w:b/>
          <w:sz w:val="26"/>
          <w:szCs w:val="26"/>
        </w:rPr>
        <w:tab/>
      </w:r>
      <w:r w:rsidR="00DA1467" w:rsidRPr="00A353C3">
        <w:rPr>
          <w:b/>
          <w:sz w:val="26"/>
          <w:szCs w:val="26"/>
        </w:rPr>
        <w:tab/>
      </w:r>
      <w:r w:rsidR="00DA1467" w:rsidRPr="00A353C3">
        <w:rPr>
          <w:b/>
          <w:sz w:val="26"/>
          <w:szCs w:val="26"/>
        </w:rPr>
        <w:tab/>
      </w:r>
      <w:r w:rsidR="00DA1467" w:rsidRPr="00A353C3">
        <w:rPr>
          <w:b/>
          <w:sz w:val="26"/>
          <w:szCs w:val="26"/>
        </w:rPr>
        <w:tab/>
      </w:r>
      <w:r w:rsidR="00DA1467" w:rsidRPr="00A353C3">
        <w:rPr>
          <w:b/>
          <w:sz w:val="26"/>
          <w:szCs w:val="26"/>
        </w:rPr>
        <w:tab/>
      </w:r>
      <w:r w:rsidR="00DA1467" w:rsidRPr="00A353C3">
        <w:rPr>
          <w:b/>
          <w:sz w:val="26"/>
          <w:szCs w:val="26"/>
        </w:rPr>
        <w:tab/>
        <w:t>BY THE COMMISSION,</w:t>
      </w:r>
    </w:p>
    <w:p w:rsidR="00DA1467" w:rsidRDefault="00DA1467" w:rsidP="00736FD9">
      <w:pPr>
        <w:keepNext/>
        <w:keepLines/>
        <w:widowControl/>
        <w:tabs>
          <w:tab w:val="left" w:pos="-720"/>
        </w:tabs>
        <w:suppressAutoHyphens/>
        <w:spacing w:line="360" w:lineRule="auto"/>
        <w:rPr>
          <w:sz w:val="26"/>
          <w:szCs w:val="26"/>
        </w:rPr>
      </w:pPr>
    </w:p>
    <w:p w:rsidR="004D4A2C" w:rsidRPr="00A353C3" w:rsidRDefault="004D4A2C" w:rsidP="00736FD9">
      <w:pPr>
        <w:keepNext/>
        <w:keepLines/>
        <w:widowControl/>
        <w:tabs>
          <w:tab w:val="left" w:pos="-720"/>
        </w:tabs>
        <w:suppressAutoHyphens/>
        <w:spacing w:line="360" w:lineRule="auto"/>
        <w:rPr>
          <w:sz w:val="26"/>
          <w:szCs w:val="26"/>
        </w:rPr>
      </w:pPr>
    </w:p>
    <w:p w:rsidR="00DA1467" w:rsidRPr="00A353C3" w:rsidRDefault="00DA1467" w:rsidP="00736FD9">
      <w:pPr>
        <w:keepNext/>
        <w:keepLines/>
        <w:widowControl/>
        <w:tabs>
          <w:tab w:val="left" w:pos="-720"/>
        </w:tabs>
        <w:suppressAutoHyphens/>
        <w:spacing w:line="360" w:lineRule="auto"/>
        <w:rPr>
          <w:sz w:val="26"/>
          <w:szCs w:val="26"/>
        </w:rPr>
      </w:pPr>
    </w:p>
    <w:p w:rsidR="00DA1467" w:rsidRPr="00A353C3" w:rsidRDefault="00DA1467" w:rsidP="00736FD9">
      <w:pPr>
        <w:keepNext/>
        <w:keepLines/>
        <w:widowControl/>
        <w:tabs>
          <w:tab w:val="left" w:pos="-720"/>
        </w:tabs>
        <w:suppressAutoHyphens/>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Rosemary Chiavetta</w:t>
      </w:r>
    </w:p>
    <w:p w:rsidR="00DA1467" w:rsidRPr="00A353C3" w:rsidRDefault="00DA1467" w:rsidP="00736FD9">
      <w:pPr>
        <w:keepNext/>
        <w:keepLines/>
        <w:widowControl/>
        <w:tabs>
          <w:tab w:val="left" w:pos="-720"/>
        </w:tabs>
        <w:suppressAutoHyphens/>
        <w:spacing w:line="360" w:lineRule="auto"/>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Secretary</w:t>
      </w:r>
    </w:p>
    <w:p w:rsidR="004D4A2C" w:rsidRDefault="004D4A2C" w:rsidP="00736FD9">
      <w:pPr>
        <w:keepNext/>
        <w:keepLines/>
        <w:widowControl/>
        <w:tabs>
          <w:tab w:val="left" w:pos="-720"/>
        </w:tabs>
        <w:suppressAutoHyphens/>
        <w:rPr>
          <w:sz w:val="26"/>
          <w:szCs w:val="26"/>
        </w:rPr>
      </w:pPr>
    </w:p>
    <w:p w:rsidR="00DA1467" w:rsidRPr="00A353C3" w:rsidRDefault="00DA1467" w:rsidP="00736FD9">
      <w:pPr>
        <w:keepNext/>
        <w:keepLines/>
        <w:widowControl/>
        <w:tabs>
          <w:tab w:val="left" w:pos="-720"/>
        </w:tabs>
        <w:suppressAutoHyphens/>
        <w:rPr>
          <w:sz w:val="26"/>
          <w:szCs w:val="26"/>
        </w:rPr>
      </w:pPr>
      <w:r w:rsidRPr="00A353C3">
        <w:rPr>
          <w:sz w:val="26"/>
          <w:szCs w:val="26"/>
        </w:rPr>
        <w:t>(SEAL)</w:t>
      </w:r>
    </w:p>
    <w:p w:rsidR="00DA1467" w:rsidRPr="00A353C3" w:rsidRDefault="00DA1467" w:rsidP="00736FD9">
      <w:pPr>
        <w:keepNext/>
        <w:keepLines/>
        <w:widowControl/>
        <w:tabs>
          <w:tab w:val="left" w:pos="-720"/>
        </w:tabs>
        <w:suppressAutoHyphens/>
        <w:rPr>
          <w:sz w:val="26"/>
          <w:szCs w:val="26"/>
        </w:rPr>
      </w:pPr>
    </w:p>
    <w:p w:rsidR="00613A18" w:rsidRDefault="00DA1467" w:rsidP="00736FD9">
      <w:pPr>
        <w:keepNext/>
        <w:keepLines/>
        <w:widowControl/>
        <w:tabs>
          <w:tab w:val="left" w:pos="-720"/>
        </w:tabs>
        <w:suppressAutoHyphens/>
        <w:rPr>
          <w:sz w:val="26"/>
          <w:szCs w:val="26"/>
        </w:rPr>
      </w:pPr>
      <w:r w:rsidRPr="00A353C3">
        <w:rPr>
          <w:sz w:val="26"/>
          <w:szCs w:val="26"/>
        </w:rPr>
        <w:t>ORDER ADOPTED:  December 8, 2016</w:t>
      </w:r>
    </w:p>
    <w:p w:rsidR="004D4A2C" w:rsidRDefault="004D4A2C" w:rsidP="00736FD9">
      <w:pPr>
        <w:keepNext/>
        <w:keepLines/>
        <w:widowControl/>
        <w:tabs>
          <w:tab w:val="left" w:pos="-720"/>
        </w:tabs>
        <w:suppressAutoHyphens/>
        <w:rPr>
          <w:sz w:val="26"/>
          <w:szCs w:val="26"/>
        </w:rPr>
      </w:pPr>
    </w:p>
    <w:p w:rsidR="00DA1467" w:rsidRPr="00A353C3" w:rsidRDefault="00DA1467" w:rsidP="00736FD9">
      <w:pPr>
        <w:keepNext/>
        <w:keepLines/>
        <w:widowControl/>
        <w:tabs>
          <w:tab w:val="left" w:pos="-720"/>
        </w:tabs>
        <w:suppressAutoHyphens/>
        <w:rPr>
          <w:sz w:val="26"/>
          <w:szCs w:val="26"/>
        </w:rPr>
      </w:pPr>
      <w:r w:rsidRPr="00A353C3">
        <w:rPr>
          <w:sz w:val="26"/>
          <w:szCs w:val="26"/>
        </w:rPr>
        <w:t xml:space="preserve">ORDER ENTERED:  </w:t>
      </w:r>
      <w:r w:rsidR="006963CB">
        <w:rPr>
          <w:sz w:val="26"/>
          <w:szCs w:val="26"/>
        </w:rPr>
        <w:t>December 8, 2016</w:t>
      </w:r>
      <w:bookmarkStart w:id="0" w:name="_GoBack"/>
      <w:bookmarkEnd w:id="0"/>
    </w:p>
    <w:sectPr w:rsidR="00DA1467" w:rsidRPr="00A353C3" w:rsidSect="00A743C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19" w:rsidRDefault="00684219" w:rsidP="00DE24BD">
      <w:r>
        <w:separator/>
      </w:r>
    </w:p>
  </w:endnote>
  <w:endnote w:type="continuationSeparator" w:id="0">
    <w:p w:rsidR="00684219" w:rsidRDefault="00684219" w:rsidP="00DE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153412"/>
      <w:docPartObj>
        <w:docPartGallery w:val="Page Numbers (Bottom of Page)"/>
        <w:docPartUnique/>
      </w:docPartObj>
    </w:sdtPr>
    <w:sdtEndPr>
      <w:rPr>
        <w:noProof/>
      </w:rPr>
    </w:sdtEndPr>
    <w:sdtContent>
      <w:p w:rsidR="00A743C9" w:rsidRDefault="00A743C9">
        <w:pPr>
          <w:pStyle w:val="Footer"/>
          <w:jc w:val="center"/>
        </w:pPr>
        <w:r>
          <w:fldChar w:fldCharType="begin"/>
        </w:r>
        <w:r>
          <w:instrText xml:space="preserve"> PAGE   \* MERGEFORMAT </w:instrText>
        </w:r>
        <w:r>
          <w:fldChar w:fldCharType="separate"/>
        </w:r>
        <w:r w:rsidR="006963CB">
          <w:rPr>
            <w:noProof/>
          </w:rPr>
          <w:t>14</w:t>
        </w:r>
        <w:r>
          <w:rPr>
            <w:noProof/>
          </w:rPr>
          <w:fldChar w:fldCharType="end"/>
        </w:r>
      </w:p>
    </w:sdtContent>
  </w:sdt>
  <w:p w:rsidR="00A743C9" w:rsidRDefault="00A74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19" w:rsidRDefault="00684219" w:rsidP="00DE24BD">
      <w:r>
        <w:separator/>
      </w:r>
    </w:p>
  </w:footnote>
  <w:footnote w:type="continuationSeparator" w:id="0">
    <w:p w:rsidR="00684219" w:rsidRDefault="00684219" w:rsidP="00DE24BD">
      <w:r>
        <w:continuationSeparator/>
      </w:r>
    </w:p>
  </w:footnote>
  <w:footnote w:id="1">
    <w:p w:rsidR="00DE24BD" w:rsidRPr="00800378" w:rsidRDefault="00DE24BD" w:rsidP="00DE24BD">
      <w:pPr>
        <w:pStyle w:val="FootnoteText"/>
        <w:ind w:firstLine="720"/>
        <w:rPr>
          <w:sz w:val="26"/>
          <w:szCs w:val="26"/>
        </w:rPr>
      </w:pPr>
      <w:r w:rsidRPr="00800378">
        <w:rPr>
          <w:rStyle w:val="FootnoteReference"/>
          <w:sz w:val="26"/>
          <w:szCs w:val="26"/>
        </w:rPr>
        <w:footnoteRef/>
      </w:r>
      <w:r w:rsidRPr="00800378">
        <w:rPr>
          <w:sz w:val="26"/>
          <w:szCs w:val="26"/>
        </w:rPr>
        <w:tab/>
      </w:r>
      <w:r>
        <w:rPr>
          <w:sz w:val="26"/>
          <w:szCs w:val="26"/>
        </w:rPr>
        <w:t>On February 16, 2016, the Commission’s Secretary’s Bureau issued a Secretarial Letter granting Mr. Hatchigian’s request for an Extension of Time to file Exceptions.  The Secretarial Letter granted an extension until February 12, 2016, to file Exceptions and stated that any Replies to Exceptions must be filed by February 26, 2016.</w:t>
      </w:r>
    </w:p>
  </w:footnote>
  <w:footnote w:id="2">
    <w:p w:rsidR="00881104" w:rsidRPr="00881104" w:rsidRDefault="00881104" w:rsidP="00736FD9">
      <w:pPr>
        <w:pStyle w:val="FootnoteText"/>
        <w:keepNext/>
        <w:keepLines/>
        <w:widowControl/>
        <w:ind w:firstLine="720"/>
        <w:rPr>
          <w:sz w:val="26"/>
          <w:szCs w:val="26"/>
        </w:rPr>
      </w:pPr>
      <w:r w:rsidRPr="00881104">
        <w:rPr>
          <w:rStyle w:val="FootnoteReference"/>
          <w:sz w:val="26"/>
          <w:szCs w:val="26"/>
        </w:rPr>
        <w:footnoteRef/>
      </w:r>
      <w:r>
        <w:rPr>
          <w:sz w:val="26"/>
          <w:szCs w:val="26"/>
        </w:rPr>
        <w:tab/>
        <w:t>The Complainant owns a duplex with two apartments at the service address and was attempting to rent the second floor apartment that had been vacant for over seven months.  Finding</w:t>
      </w:r>
      <w:r w:rsidR="004E75DC">
        <w:rPr>
          <w:sz w:val="26"/>
          <w:szCs w:val="26"/>
        </w:rPr>
        <w:t>s</w:t>
      </w:r>
      <w:r>
        <w:rPr>
          <w:sz w:val="26"/>
          <w:szCs w:val="26"/>
        </w:rPr>
        <w:t xml:space="preserve"> of Fact Nos. 1, 3, 7 and 8.</w:t>
      </w:r>
    </w:p>
  </w:footnote>
  <w:footnote w:id="3">
    <w:p w:rsidR="0071285E" w:rsidRPr="0071285E" w:rsidRDefault="0071285E" w:rsidP="0071285E">
      <w:pPr>
        <w:pStyle w:val="FootnoteText"/>
        <w:ind w:firstLine="720"/>
        <w:rPr>
          <w:sz w:val="26"/>
          <w:szCs w:val="26"/>
        </w:rPr>
      </w:pPr>
      <w:r w:rsidRPr="0071285E">
        <w:rPr>
          <w:rStyle w:val="FootnoteReference"/>
          <w:sz w:val="26"/>
          <w:szCs w:val="26"/>
        </w:rPr>
        <w:footnoteRef/>
      </w:r>
      <w:r>
        <w:rPr>
          <w:sz w:val="26"/>
          <w:szCs w:val="26"/>
        </w:rPr>
        <w:t xml:space="preserve"> </w:t>
      </w:r>
      <w:r>
        <w:rPr>
          <w:sz w:val="26"/>
          <w:szCs w:val="26"/>
        </w:rPr>
        <w:tab/>
        <w:t>By Hearing Notice of July 15, 2015, the ALJ assigned to this case was changed from ALJ Eranda Vero to ALJ Cynthia W. Fordham.</w:t>
      </w:r>
      <w:r w:rsidRPr="0071285E">
        <w:rPr>
          <w:sz w:val="26"/>
          <w:szCs w:val="26"/>
        </w:rPr>
        <w:t xml:space="preserve"> </w:t>
      </w:r>
    </w:p>
  </w:footnote>
  <w:footnote w:id="4">
    <w:p w:rsidR="0071285E" w:rsidRPr="0071285E" w:rsidRDefault="00BD712A">
      <w:pPr>
        <w:pStyle w:val="FootnoteText"/>
        <w:rPr>
          <w:sz w:val="26"/>
          <w:szCs w:val="26"/>
        </w:rPr>
      </w:pPr>
      <w:r>
        <w:rPr>
          <w:sz w:val="26"/>
          <w:szCs w:val="26"/>
        </w:rPr>
        <w:tab/>
      </w:r>
      <w:r w:rsidR="0071285E" w:rsidRPr="0071285E">
        <w:rPr>
          <w:rStyle w:val="FootnoteReference"/>
          <w:sz w:val="26"/>
          <w:szCs w:val="26"/>
        </w:rPr>
        <w:footnoteRef/>
      </w:r>
      <w:r w:rsidR="0071285E">
        <w:rPr>
          <w:sz w:val="26"/>
          <w:szCs w:val="26"/>
        </w:rPr>
        <w:tab/>
        <w:t xml:space="preserve">However, ALJ Fordham </w:t>
      </w:r>
      <w:r>
        <w:rPr>
          <w:sz w:val="26"/>
          <w:szCs w:val="26"/>
        </w:rPr>
        <w:t xml:space="preserve">did </w:t>
      </w:r>
      <w:r w:rsidR="0071285E">
        <w:rPr>
          <w:sz w:val="26"/>
          <w:szCs w:val="26"/>
        </w:rPr>
        <w:t>grant the Complainant’s r</w:t>
      </w:r>
      <w:r w:rsidR="008908B4">
        <w:rPr>
          <w:sz w:val="26"/>
          <w:szCs w:val="26"/>
        </w:rPr>
        <w:t>equest to consolidate his</w:t>
      </w:r>
      <w:r w:rsidR="0071285E">
        <w:rPr>
          <w:sz w:val="26"/>
          <w:szCs w:val="26"/>
        </w:rPr>
        <w:t xml:space="preserve"> electric and gas complaint</w:t>
      </w:r>
      <w:r w:rsidR="00C36F85">
        <w:rPr>
          <w:sz w:val="26"/>
          <w:szCs w:val="26"/>
        </w:rPr>
        <w:t>s at Docket Nos.</w:t>
      </w:r>
      <w:r w:rsidR="008908B4">
        <w:rPr>
          <w:sz w:val="26"/>
          <w:szCs w:val="26"/>
        </w:rPr>
        <w:t xml:space="preserve"> C-2015-2477331 and C-2015-2487879</w:t>
      </w:r>
      <w:r w:rsidR="00C36F85">
        <w:rPr>
          <w:sz w:val="26"/>
          <w:szCs w:val="26"/>
        </w:rPr>
        <w:t>, respectively.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D"/>
    <w:rsid w:val="000078BC"/>
    <w:rsid w:val="00047404"/>
    <w:rsid w:val="0004744B"/>
    <w:rsid w:val="000A7CB0"/>
    <w:rsid w:val="000E1E27"/>
    <w:rsid w:val="0010562F"/>
    <w:rsid w:val="00133B76"/>
    <w:rsid w:val="00144B0A"/>
    <w:rsid w:val="001622BC"/>
    <w:rsid w:val="00181A11"/>
    <w:rsid w:val="001835BF"/>
    <w:rsid w:val="00184F3D"/>
    <w:rsid w:val="0018645D"/>
    <w:rsid w:val="001B4A6B"/>
    <w:rsid w:val="001E5D47"/>
    <w:rsid w:val="00235A2E"/>
    <w:rsid w:val="0026422C"/>
    <w:rsid w:val="00284BF9"/>
    <w:rsid w:val="002C1AD5"/>
    <w:rsid w:val="002C4047"/>
    <w:rsid w:val="00336B52"/>
    <w:rsid w:val="0036186C"/>
    <w:rsid w:val="00364EE8"/>
    <w:rsid w:val="00365F8A"/>
    <w:rsid w:val="00373887"/>
    <w:rsid w:val="003808F6"/>
    <w:rsid w:val="003C294E"/>
    <w:rsid w:val="004150B8"/>
    <w:rsid w:val="0047572D"/>
    <w:rsid w:val="004D4A2C"/>
    <w:rsid w:val="004E75DC"/>
    <w:rsid w:val="00502691"/>
    <w:rsid w:val="005534DC"/>
    <w:rsid w:val="00563152"/>
    <w:rsid w:val="0057049C"/>
    <w:rsid w:val="005A264B"/>
    <w:rsid w:val="005A36AB"/>
    <w:rsid w:val="005C7A29"/>
    <w:rsid w:val="00613A18"/>
    <w:rsid w:val="00643BDC"/>
    <w:rsid w:val="0067040E"/>
    <w:rsid w:val="00684219"/>
    <w:rsid w:val="006963CB"/>
    <w:rsid w:val="006A018D"/>
    <w:rsid w:val="006C1D14"/>
    <w:rsid w:val="006F61BD"/>
    <w:rsid w:val="007046AB"/>
    <w:rsid w:val="0071285E"/>
    <w:rsid w:val="00736FD9"/>
    <w:rsid w:val="007515BA"/>
    <w:rsid w:val="0077092D"/>
    <w:rsid w:val="00797BE2"/>
    <w:rsid w:val="007A5ABB"/>
    <w:rsid w:val="007A666D"/>
    <w:rsid w:val="007B252D"/>
    <w:rsid w:val="007D5B10"/>
    <w:rsid w:val="00846A66"/>
    <w:rsid w:val="00881104"/>
    <w:rsid w:val="008908B4"/>
    <w:rsid w:val="00890DA4"/>
    <w:rsid w:val="008A1688"/>
    <w:rsid w:val="008C4589"/>
    <w:rsid w:val="008D77ED"/>
    <w:rsid w:val="00901401"/>
    <w:rsid w:val="00910A31"/>
    <w:rsid w:val="009658BE"/>
    <w:rsid w:val="009A5BD2"/>
    <w:rsid w:val="00A3117E"/>
    <w:rsid w:val="00A353C3"/>
    <w:rsid w:val="00A67537"/>
    <w:rsid w:val="00A743C9"/>
    <w:rsid w:val="00AA72F5"/>
    <w:rsid w:val="00AF60E7"/>
    <w:rsid w:val="00B156D8"/>
    <w:rsid w:val="00B17A1A"/>
    <w:rsid w:val="00B72918"/>
    <w:rsid w:val="00BD712A"/>
    <w:rsid w:val="00C110F6"/>
    <w:rsid w:val="00C36F85"/>
    <w:rsid w:val="00C52C55"/>
    <w:rsid w:val="00CD22D6"/>
    <w:rsid w:val="00CF2926"/>
    <w:rsid w:val="00D20396"/>
    <w:rsid w:val="00D50A26"/>
    <w:rsid w:val="00DA1467"/>
    <w:rsid w:val="00DE1D3E"/>
    <w:rsid w:val="00DE24BD"/>
    <w:rsid w:val="00E73139"/>
    <w:rsid w:val="00EC0852"/>
    <w:rsid w:val="00ED03D2"/>
    <w:rsid w:val="00ED287C"/>
    <w:rsid w:val="00F02A67"/>
    <w:rsid w:val="00F3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B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4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DE24BD"/>
    <w:rPr>
      <w:vertAlign w:val="superscript"/>
    </w:rPr>
  </w:style>
  <w:style w:type="paragraph" w:styleId="FootnoteText">
    <w:name w:val="footnote text"/>
    <w:basedOn w:val="Normal"/>
    <w:link w:val="FootnoteTextChar"/>
    <w:uiPriority w:val="99"/>
    <w:unhideWhenUsed/>
    <w:rsid w:val="00DE24BD"/>
  </w:style>
  <w:style w:type="character" w:customStyle="1" w:styleId="FootnoteTextChar">
    <w:name w:val="Footnote Text Char"/>
    <w:basedOn w:val="DefaultParagraphFont"/>
    <w:link w:val="FootnoteText"/>
    <w:uiPriority w:val="99"/>
    <w:rsid w:val="00DE24BD"/>
    <w:rPr>
      <w:rFonts w:ascii="Times New Roman" w:eastAsia="Times New Roman" w:hAnsi="Times New Roman" w:cs="Times New Roman"/>
      <w:sz w:val="20"/>
      <w:szCs w:val="20"/>
    </w:rPr>
  </w:style>
  <w:style w:type="paragraph" w:styleId="NoSpacing">
    <w:name w:val="No Spacing"/>
    <w:uiPriority w:val="1"/>
    <w:qFormat/>
    <w:rsid w:val="00184F3D"/>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184F3D"/>
    <w:pPr>
      <w:widowControl/>
      <w:spacing w:after="120" w:line="360" w:lineRule="auto"/>
      <w:jc w:val="center"/>
    </w:pPr>
    <w:rPr>
      <w:rFonts w:eastAsiaTheme="minorHAnsi"/>
      <w:sz w:val="16"/>
      <w:szCs w:val="16"/>
    </w:rPr>
  </w:style>
  <w:style w:type="character" w:customStyle="1" w:styleId="BodyText3Char">
    <w:name w:val="Body Text 3 Char"/>
    <w:basedOn w:val="DefaultParagraphFont"/>
    <w:link w:val="BodyText3"/>
    <w:uiPriority w:val="99"/>
    <w:semiHidden/>
    <w:rsid w:val="00184F3D"/>
    <w:rPr>
      <w:rFonts w:ascii="Times New Roman" w:hAnsi="Times New Roman" w:cs="Times New Roman"/>
      <w:sz w:val="16"/>
      <w:szCs w:val="16"/>
    </w:rPr>
  </w:style>
  <w:style w:type="paragraph" w:styleId="Header">
    <w:name w:val="header"/>
    <w:basedOn w:val="Normal"/>
    <w:link w:val="HeaderChar"/>
    <w:uiPriority w:val="99"/>
    <w:unhideWhenUsed/>
    <w:rsid w:val="00A743C9"/>
    <w:pPr>
      <w:tabs>
        <w:tab w:val="center" w:pos="4680"/>
        <w:tab w:val="right" w:pos="9360"/>
      </w:tabs>
    </w:pPr>
  </w:style>
  <w:style w:type="character" w:customStyle="1" w:styleId="HeaderChar">
    <w:name w:val="Header Char"/>
    <w:basedOn w:val="DefaultParagraphFont"/>
    <w:link w:val="Header"/>
    <w:uiPriority w:val="99"/>
    <w:rsid w:val="00A743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743C9"/>
    <w:pPr>
      <w:tabs>
        <w:tab w:val="center" w:pos="4680"/>
        <w:tab w:val="right" w:pos="9360"/>
      </w:tabs>
    </w:pPr>
  </w:style>
  <w:style w:type="character" w:customStyle="1" w:styleId="FooterChar">
    <w:name w:val="Footer Char"/>
    <w:basedOn w:val="DefaultParagraphFont"/>
    <w:link w:val="Footer"/>
    <w:uiPriority w:val="99"/>
    <w:rsid w:val="00A743C9"/>
    <w:rPr>
      <w:rFonts w:ascii="Times New Roman" w:eastAsia="Times New Roman" w:hAnsi="Times New Roman" w:cs="Times New Roman"/>
      <w:sz w:val="20"/>
      <w:szCs w:val="20"/>
    </w:rPr>
  </w:style>
  <w:style w:type="character" w:styleId="Hyperlink">
    <w:name w:val="Hyperlink"/>
    <w:basedOn w:val="DefaultParagraphFont"/>
    <w:rsid w:val="00A743C9"/>
    <w:rPr>
      <w:color w:val="0000FF"/>
      <w:u w:val="single"/>
    </w:rPr>
  </w:style>
  <w:style w:type="character" w:customStyle="1" w:styleId="term1">
    <w:name w:val="term1"/>
    <w:basedOn w:val="DefaultParagraphFont"/>
    <w:rsid w:val="00A743C9"/>
    <w:rPr>
      <w:b/>
      <w:bCs/>
    </w:rPr>
  </w:style>
  <w:style w:type="paragraph" w:styleId="BalloonText">
    <w:name w:val="Balloon Text"/>
    <w:basedOn w:val="Normal"/>
    <w:link w:val="BalloonTextChar"/>
    <w:uiPriority w:val="99"/>
    <w:semiHidden/>
    <w:unhideWhenUsed/>
    <w:rsid w:val="004E75DC"/>
    <w:rPr>
      <w:rFonts w:ascii="Tahoma" w:hAnsi="Tahoma" w:cs="Tahoma"/>
      <w:sz w:val="16"/>
      <w:szCs w:val="16"/>
    </w:rPr>
  </w:style>
  <w:style w:type="character" w:customStyle="1" w:styleId="BalloonTextChar">
    <w:name w:val="Balloon Text Char"/>
    <w:basedOn w:val="DefaultParagraphFont"/>
    <w:link w:val="BalloonText"/>
    <w:uiPriority w:val="99"/>
    <w:semiHidden/>
    <w:rsid w:val="004E75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B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4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DE24BD"/>
    <w:rPr>
      <w:vertAlign w:val="superscript"/>
    </w:rPr>
  </w:style>
  <w:style w:type="paragraph" w:styleId="FootnoteText">
    <w:name w:val="footnote text"/>
    <w:basedOn w:val="Normal"/>
    <w:link w:val="FootnoteTextChar"/>
    <w:uiPriority w:val="99"/>
    <w:unhideWhenUsed/>
    <w:rsid w:val="00DE24BD"/>
  </w:style>
  <w:style w:type="character" w:customStyle="1" w:styleId="FootnoteTextChar">
    <w:name w:val="Footnote Text Char"/>
    <w:basedOn w:val="DefaultParagraphFont"/>
    <w:link w:val="FootnoteText"/>
    <w:uiPriority w:val="99"/>
    <w:rsid w:val="00DE24BD"/>
    <w:rPr>
      <w:rFonts w:ascii="Times New Roman" w:eastAsia="Times New Roman" w:hAnsi="Times New Roman" w:cs="Times New Roman"/>
      <w:sz w:val="20"/>
      <w:szCs w:val="20"/>
    </w:rPr>
  </w:style>
  <w:style w:type="paragraph" w:styleId="NoSpacing">
    <w:name w:val="No Spacing"/>
    <w:uiPriority w:val="1"/>
    <w:qFormat/>
    <w:rsid w:val="00184F3D"/>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184F3D"/>
    <w:pPr>
      <w:widowControl/>
      <w:spacing w:after="120" w:line="360" w:lineRule="auto"/>
      <w:jc w:val="center"/>
    </w:pPr>
    <w:rPr>
      <w:rFonts w:eastAsiaTheme="minorHAnsi"/>
      <w:sz w:val="16"/>
      <w:szCs w:val="16"/>
    </w:rPr>
  </w:style>
  <w:style w:type="character" w:customStyle="1" w:styleId="BodyText3Char">
    <w:name w:val="Body Text 3 Char"/>
    <w:basedOn w:val="DefaultParagraphFont"/>
    <w:link w:val="BodyText3"/>
    <w:uiPriority w:val="99"/>
    <w:semiHidden/>
    <w:rsid w:val="00184F3D"/>
    <w:rPr>
      <w:rFonts w:ascii="Times New Roman" w:hAnsi="Times New Roman" w:cs="Times New Roman"/>
      <w:sz w:val="16"/>
      <w:szCs w:val="16"/>
    </w:rPr>
  </w:style>
  <w:style w:type="paragraph" w:styleId="Header">
    <w:name w:val="header"/>
    <w:basedOn w:val="Normal"/>
    <w:link w:val="HeaderChar"/>
    <w:uiPriority w:val="99"/>
    <w:unhideWhenUsed/>
    <w:rsid w:val="00A743C9"/>
    <w:pPr>
      <w:tabs>
        <w:tab w:val="center" w:pos="4680"/>
        <w:tab w:val="right" w:pos="9360"/>
      </w:tabs>
    </w:pPr>
  </w:style>
  <w:style w:type="character" w:customStyle="1" w:styleId="HeaderChar">
    <w:name w:val="Header Char"/>
    <w:basedOn w:val="DefaultParagraphFont"/>
    <w:link w:val="Header"/>
    <w:uiPriority w:val="99"/>
    <w:rsid w:val="00A743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743C9"/>
    <w:pPr>
      <w:tabs>
        <w:tab w:val="center" w:pos="4680"/>
        <w:tab w:val="right" w:pos="9360"/>
      </w:tabs>
    </w:pPr>
  </w:style>
  <w:style w:type="character" w:customStyle="1" w:styleId="FooterChar">
    <w:name w:val="Footer Char"/>
    <w:basedOn w:val="DefaultParagraphFont"/>
    <w:link w:val="Footer"/>
    <w:uiPriority w:val="99"/>
    <w:rsid w:val="00A743C9"/>
    <w:rPr>
      <w:rFonts w:ascii="Times New Roman" w:eastAsia="Times New Roman" w:hAnsi="Times New Roman" w:cs="Times New Roman"/>
      <w:sz w:val="20"/>
      <w:szCs w:val="20"/>
    </w:rPr>
  </w:style>
  <w:style w:type="character" w:styleId="Hyperlink">
    <w:name w:val="Hyperlink"/>
    <w:basedOn w:val="DefaultParagraphFont"/>
    <w:rsid w:val="00A743C9"/>
    <w:rPr>
      <w:color w:val="0000FF"/>
      <w:u w:val="single"/>
    </w:rPr>
  </w:style>
  <w:style w:type="character" w:customStyle="1" w:styleId="term1">
    <w:name w:val="term1"/>
    <w:basedOn w:val="DefaultParagraphFont"/>
    <w:rsid w:val="00A743C9"/>
    <w:rPr>
      <w:b/>
      <w:bCs/>
    </w:rPr>
  </w:style>
  <w:style w:type="paragraph" w:styleId="BalloonText">
    <w:name w:val="Balloon Text"/>
    <w:basedOn w:val="Normal"/>
    <w:link w:val="BalloonTextChar"/>
    <w:uiPriority w:val="99"/>
    <w:semiHidden/>
    <w:unhideWhenUsed/>
    <w:rsid w:val="004E75DC"/>
    <w:rPr>
      <w:rFonts w:ascii="Tahoma" w:hAnsi="Tahoma" w:cs="Tahoma"/>
      <w:sz w:val="16"/>
      <w:szCs w:val="16"/>
    </w:rPr>
  </w:style>
  <w:style w:type="character" w:customStyle="1" w:styleId="BalloonTextChar">
    <w:name w:val="Balloon Text Char"/>
    <w:basedOn w:val="DefaultParagraphFont"/>
    <w:link w:val="BalloonText"/>
    <w:uiPriority w:val="99"/>
    <w:semiHidden/>
    <w:rsid w:val="004E75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B694-F5A3-48D3-AD72-E5964346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5</cp:revision>
  <cp:lastPrinted>2016-11-23T14:18:00Z</cp:lastPrinted>
  <dcterms:created xsi:type="dcterms:W3CDTF">2016-11-23T14:45:00Z</dcterms:created>
  <dcterms:modified xsi:type="dcterms:W3CDTF">2016-12-08T13:40:00Z</dcterms:modified>
</cp:coreProperties>
</file>