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drawings/drawing3.xml" ContentType="application/vnd.openxmlformats-officedocument.drawingml.chartshapes+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5F84" w:rsidRDefault="00DD5F84" w:rsidP="00DD5F84">
      <w:pPr>
        <w:spacing w:after="0"/>
        <w:jc w:val="center"/>
        <w:rPr>
          <w:rFonts w:cs="Arial"/>
          <w:b/>
          <w:bCs/>
          <w:sz w:val="32"/>
          <w:szCs w:val="32"/>
        </w:rPr>
      </w:pPr>
    </w:p>
    <w:p w:rsidR="00DD5F84" w:rsidRDefault="00DD5F84" w:rsidP="00DD5F84">
      <w:pPr>
        <w:spacing w:after="0"/>
        <w:jc w:val="center"/>
        <w:rPr>
          <w:rFonts w:cs="Arial"/>
          <w:b/>
          <w:bCs/>
          <w:sz w:val="32"/>
          <w:szCs w:val="32"/>
        </w:rPr>
      </w:pPr>
    </w:p>
    <w:p w:rsidR="00DD5F84" w:rsidRDefault="00D44CAA" w:rsidP="00DD5F84">
      <w:pPr>
        <w:spacing w:after="0"/>
        <w:jc w:val="center"/>
        <w:rPr>
          <w:rFonts w:cs="Arial"/>
          <w:b/>
          <w:bCs/>
          <w:sz w:val="36"/>
          <w:szCs w:val="36"/>
        </w:rPr>
      </w:pPr>
      <w:r>
        <w:rPr>
          <w:rFonts w:cs="Arial"/>
          <w:b/>
          <w:bCs/>
          <w:sz w:val="36"/>
          <w:szCs w:val="36"/>
        </w:rPr>
        <w:t>VONDLE &amp; ASSOCIATES, INC.</w:t>
      </w:r>
    </w:p>
    <w:p w:rsidR="00DD5F84" w:rsidRDefault="00DD5F84" w:rsidP="00DD5F84">
      <w:pPr>
        <w:spacing w:after="0"/>
        <w:jc w:val="center"/>
        <w:rPr>
          <w:rFonts w:cs="Arial"/>
          <w:b/>
          <w:bCs/>
          <w:sz w:val="36"/>
          <w:szCs w:val="36"/>
        </w:rPr>
      </w:pPr>
    </w:p>
    <w:p w:rsidR="00DD5F84" w:rsidRDefault="00DD5F84" w:rsidP="001E3253">
      <w:pPr>
        <w:tabs>
          <w:tab w:val="left" w:pos="8385"/>
        </w:tabs>
        <w:spacing w:after="0"/>
        <w:jc w:val="center"/>
        <w:rPr>
          <w:rFonts w:cs="Arial"/>
          <w:b/>
          <w:bCs/>
          <w:sz w:val="36"/>
          <w:szCs w:val="36"/>
        </w:rPr>
      </w:pPr>
    </w:p>
    <w:p w:rsidR="00DD5F84" w:rsidRPr="00BD4CF3" w:rsidRDefault="00C9314F" w:rsidP="00DD5F84">
      <w:pPr>
        <w:spacing w:after="0"/>
        <w:jc w:val="center"/>
        <w:rPr>
          <w:rFonts w:cs="Arial"/>
          <w:b/>
          <w:bCs/>
          <w:sz w:val="36"/>
          <w:szCs w:val="36"/>
        </w:rPr>
      </w:pPr>
      <w:r w:rsidRPr="00BD4CF3">
        <w:rPr>
          <w:rFonts w:cs="Arial"/>
          <w:b/>
          <w:bCs/>
          <w:sz w:val="36"/>
          <w:szCs w:val="36"/>
        </w:rPr>
        <w:t>201</w:t>
      </w:r>
      <w:r>
        <w:rPr>
          <w:rFonts w:cs="Arial"/>
          <w:b/>
          <w:bCs/>
          <w:sz w:val="36"/>
          <w:szCs w:val="36"/>
        </w:rPr>
        <w:t>6</w:t>
      </w:r>
      <w:r w:rsidRPr="00BD4CF3">
        <w:rPr>
          <w:rFonts w:cs="Arial"/>
          <w:b/>
          <w:bCs/>
          <w:sz w:val="36"/>
          <w:szCs w:val="36"/>
        </w:rPr>
        <w:t xml:space="preserve"> </w:t>
      </w:r>
      <w:r w:rsidRPr="00C9314F">
        <w:rPr>
          <w:rFonts w:cs="Arial"/>
          <w:b/>
          <w:bCs/>
          <w:sz w:val="36"/>
          <w:szCs w:val="36"/>
        </w:rPr>
        <w:t xml:space="preserve">STRATIFIED MANAGEMENT </w:t>
      </w:r>
      <w:r>
        <w:rPr>
          <w:rFonts w:cs="Arial"/>
          <w:b/>
          <w:bCs/>
          <w:sz w:val="36"/>
          <w:szCs w:val="36"/>
        </w:rPr>
        <w:br/>
      </w:r>
      <w:r w:rsidRPr="00C9314F">
        <w:rPr>
          <w:rFonts w:cs="Arial"/>
          <w:b/>
          <w:bCs/>
          <w:sz w:val="36"/>
          <w:szCs w:val="36"/>
        </w:rPr>
        <w:t>AND OPERATIONS AUDIT</w:t>
      </w:r>
      <w:r>
        <w:rPr>
          <w:rFonts w:cs="Arial"/>
          <w:b/>
          <w:bCs/>
          <w:sz w:val="36"/>
          <w:szCs w:val="36"/>
        </w:rPr>
        <w:t xml:space="preserve"> OF</w:t>
      </w:r>
    </w:p>
    <w:p w:rsidR="00DD5F84" w:rsidRDefault="00DD5F84" w:rsidP="00DD5F84">
      <w:pPr>
        <w:spacing w:after="0"/>
        <w:jc w:val="center"/>
        <w:rPr>
          <w:rFonts w:cs="Arial"/>
          <w:b/>
          <w:bCs/>
          <w:sz w:val="36"/>
          <w:szCs w:val="36"/>
        </w:rPr>
      </w:pPr>
    </w:p>
    <w:p w:rsidR="00DD5F84" w:rsidRDefault="00DD5F84" w:rsidP="00DD5F84">
      <w:pPr>
        <w:spacing w:after="0"/>
        <w:jc w:val="center"/>
        <w:rPr>
          <w:rFonts w:cs="Arial"/>
          <w:b/>
          <w:bCs/>
          <w:sz w:val="36"/>
          <w:szCs w:val="36"/>
        </w:rPr>
      </w:pPr>
    </w:p>
    <w:p w:rsidR="00DD5F84" w:rsidRPr="00AA3FFB" w:rsidRDefault="00DD5F84" w:rsidP="00DD5F84">
      <w:pPr>
        <w:spacing w:after="0"/>
        <w:jc w:val="center"/>
        <w:rPr>
          <w:rFonts w:cs="Arial"/>
          <w:b/>
          <w:bCs/>
          <w:sz w:val="36"/>
          <w:szCs w:val="36"/>
        </w:rPr>
      </w:pPr>
      <w:r>
        <w:rPr>
          <w:rFonts w:cs="Arial"/>
          <w:b/>
          <w:bCs/>
          <w:sz w:val="36"/>
          <w:szCs w:val="36"/>
        </w:rPr>
        <w:t>PPL ELECTRIC UTILITIES CORPORATION</w:t>
      </w:r>
    </w:p>
    <w:p w:rsidR="00DD5F84" w:rsidRPr="001E3253" w:rsidRDefault="00DD5F84" w:rsidP="00DD5F84">
      <w:pPr>
        <w:spacing w:after="0"/>
        <w:jc w:val="center"/>
        <w:rPr>
          <w:rFonts w:cs="Arial"/>
          <w:b/>
          <w:bCs/>
          <w:sz w:val="32"/>
          <w:szCs w:val="32"/>
        </w:rPr>
      </w:pPr>
    </w:p>
    <w:p w:rsidR="001E3253" w:rsidRPr="001E3253" w:rsidRDefault="001E3253" w:rsidP="00DD5F84">
      <w:pPr>
        <w:spacing w:after="0"/>
        <w:jc w:val="center"/>
        <w:rPr>
          <w:rFonts w:cs="Arial"/>
          <w:b/>
          <w:bCs/>
          <w:sz w:val="32"/>
          <w:szCs w:val="32"/>
        </w:rPr>
      </w:pPr>
    </w:p>
    <w:p w:rsidR="00DD5F84" w:rsidRPr="0011248E" w:rsidRDefault="00DD5F84" w:rsidP="00DD5F84">
      <w:pPr>
        <w:spacing w:after="0"/>
        <w:jc w:val="center"/>
        <w:rPr>
          <w:rFonts w:cs="Arial"/>
          <w:b/>
          <w:bCs/>
          <w:sz w:val="32"/>
          <w:szCs w:val="32"/>
        </w:rPr>
      </w:pPr>
    </w:p>
    <w:p w:rsidR="00DD5F84" w:rsidRPr="00C354A0" w:rsidRDefault="00DD5F84" w:rsidP="00DD5F84">
      <w:pPr>
        <w:spacing w:after="0"/>
        <w:jc w:val="center"/>
        <w:rPr>
          <w:rFonts w:cs="Arial"/>
          <w:b/>
          <w:bCs/>
          <w:sz w:val="32"/>
          <w:szCs w:val="32"/>
        </w:rPr>
      </w:pPr>
    </w:p>
    <w:p w:rsidR="00DD5F84" w:rsidRDefault="00DD5F84" w:rsidP="00DD5F84">
      <w:pPr>
        <w:spacing w:after="0"/>
        <w:jc w:val="center"/>
        <w:rPr>
          <w:rFonts w:cs="Arial"/>
          <w:b/>
          <w:bCs/>
          <w:sz w:val="36"/>
          <w:szCs w:val="36"/>
        </w:rPr>
      </w:pPr>
    </w:p>
    <w:p w:rsidR="00DD5F84" w:rsidRPr="001E3253" w:rsidRDefault="00DD5F84" w:rsidP="00DD5F84">
      <w:pPr>
        <w:spacing w:after="0"/>
        <w:jc w:val="center"/>
        <w:rPr>
          <w:rFonts w:ascii="Arial Bold" w:hAnsi="Arial Bold" w:cs="Arial"/>
          <w:b/>
          <w:bCs/>
          <w:smallCaps/>
          <w:sz w:val="36"/>
          <w:szCs w:val="36"/>
        </w:rPr>
      </w:pPr>
    </w:p>
    <w:p w:rsidR="00DD5F84" w:rsidRPr="00AA3FFB" w:rsidRDefault="00DD5F84" w:rsidP="00DD5F84">
      <w:pPr>
        <w:spacing w:after="0"/>
        <w:jc w:val="center"/>
        <w:rPr>
          <w:rFonts w:cs="Arial"/>
          <w:b/>
          <w:bCs/>
          <w:sz w:val="36"/>
          <w:szCs w:val="36"/>
        </w:rPr>
      </w:pPr>
      <w:r>
        <w:rPr>
          <w:rFonts w:cs="Arial"/>
          <w:b/>
          <w:bCs/>
          <w:sz w:val="36"/>
          <w:szCs w:val="36"/>
        </w:rPr>
        <w:t>PENNSYLVANIA PUBLIC UTILITY COMMISSION</w:t>
      </w:r>
    </w:p>
    <w:p w:rsidR="00DD5F84" w:rsidRPr="008C40C7" w:rsidRDefault="00DD5F84" w:rsidP="00DD5F84">
      <w:pPr>
        <w:spacing w:after="0"/>
        <w:jc w:val="center"/>
        <w:rPr>
          <w:rFonts w:cs="Arial"/>
          <w:b/>
          <w:bCs/>
        </w:rPr>
      </w:pPr>
    </w:p>
    <w:p w:rsidR="00DD5F84" w:rsidRPr="008C40C7" w:rsidRDefault="00DD5F84" w:rsidP="00DD5F84">
      <w:pPr>
        <w:spacing w:after="0"/>
        <w:jc w:val="center"/>
        <w:rPr>
          <w:rFonts w:cs="Arial"/>
          <w:b/>
          <w:bCs/>
        </w:rPr>
      </w:pPr>
      <w:r>
        <w:rPr>
          <w:rFonts w:cs="Arial"/>
          <w:b/>
          <w:bCs/>
          <w:noProof/>
        </w:rPr>
        <w:drawing>
          <wp:inline distT="0" distB="0" distL="0" distR="0">
            <wp:extent cx="1714500" cy="17145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UC-logo.png"/>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4500" cy="1714500"/>
                    </a:xfrm>
                    <a:prstGeom prst="rect">
                      <a:avLst/>
                    </a:prstGeom>
                  </pic:spPr>
                </pic:pic>
              </a:graphicData>
            </a:graphic>
          </wp:inline>
        </w:drawing>
      </w:r>
    </w:p>
    <w:p w:rsidR="00DD5F84" w:rsidRPr="008C40C7" w:rsidRDefault="00DD5F84" w:rsidP="00DD5F84">
      <w:pPr>
        <w:spacing w:after="0"/>
        <w:jc w:val="center"/>
        <w:rPr>
          <w:rFonts w:cs="Arial"/>
          <w:b/>
          <w:bCs/>
        </w:rPr>
      </w:pPr>
    </w:p>
    <w:p w:rsidR="00DD5F84" w:rsidRPr="001E3253" w:rsidRDefault="00DD5F84" w:rsidP="001E3253">
      <w:pPr>
        <w:spacing w:after="0"/>
        <w:jc w:val="center"/>
        <w:rPr>
          <w:rFonts w:cs="Arial"/>
          <w:b/>
          <w:bCs/>
        </w:rPr>
      </w:pPr>
    </w:p>
    <w:p w:rsidR="00DD5F84" w:rsidRPr="00EE466C" w:rsidRDefault="00DD5F84" w:rsidP="00DD5F84">
      <w:pPr>
        <w:spacing w:after="240"/>
        <w:jc w:val="center"/>
        <w:rPr>
          <w:rFonts w:cs="Arial"/>
          <w:b/>
        </w:rPr>
      </w:pPr>
    </w:p>
    <w:p w:rsidR="00DD5F84" w:rsidRDefault="00410128" w:rsidP="00612383">
      <w:pPr>
        <w:spacing w:after="0"/>
        <w:jc w:val="center"/>
        <w:rPr>
          <w:b/>
          <w:bCs/>
          <w:sz w:val="32"/>
        </w:rPr>
      </w:pPr>
      <w:r>
        <w:rPr>
          <w:rFonts w:cs="Arial"/>
          <w:b/>
          <w:bCs/>
          <w:sz w:val="32"/>
          <w:szCs w:val="32"/>
        </w:rPr>
        <w:t xml:space="preserve">FINAL </w:t>
      </w:r>
      <w:r w:rsidR="00DD5F84" w:rsidRPr="00C354A0">
        <w:rPr>
          <w:rFonts w:cs="Arial"/>
          <w:b/>
          <w:bCs/>
          <w:sz w:val="32"/>
          <w:szCs w:val="32"/>
        </w:rPr>
        <w:t>REPORT</w:t>
      </w:r>
      <w:r w:rsidR="00596B19">
        <w:rPr>
          <w:rFonts w:cs="Arial"/>
          <w:b/>
          <w:bCs/>
          <w:sz w:val="32"/>
          <w:szCs w:val="32"/>
        </w:rPr>
        <w:br/>
        <w:t>VOLUME I OF II</w:t>
      </w:r>
    </w:p>
    <w:p w:rsidR="00DD5F84" w:rsidRPr="008021FA" w:rsidRDefault="00DD5F84" w:rsidP="00DD5F84">
      <w:pPr>
        <w:spacing w:after="0"/>
        <w:jc w:val="center"/>
        <w:rPr>
          <w:b/>
          <w:bCs/>
          <w:sz w:val="32"/>
        </w:rPr>
      </w:pPr>
    </w:p>
    <w:p w:rsidR="00DD5F84" w:rsidRDefault="00641097" w:rsidP="003101EF">
      <w:pPr>
        <w:jc w:val="center"/>
        <w:rPr>
          <w:rFonts w:cs="Arial"/>
          <w:sz w:val="32"/>
          <w:szCs w:val="32"/>
        </w:rPr>
      </w:pPr>
      <w:r>
        <w:rPr>
          <w:rFonts w:cs="Arial"/>
          <w:sz w:val="32"/>
          <w:szCs w:val="32"/>
        </w:rPr>
        <w:t>October 21</w:t>
      </w:r>
      <w:r w:rsidR="00DD5F84">
        <w:rPr>
          <w:rFonts w:cs="Arial"/>
          <w:sz w:val="32"/>
          <w:szCs w:val="32"/>
        </w:rPr>
        <w:t>, 2016</w:t>
      </w:r>
    </w:p>
    <w:p w:rsidR="003101EF" w:rsidRDefault="003101EF" w:rsidP="003101EF">
      <w:pPr>
        <w:jc w:val="center"/>
        <w:rPr>
          <w:rFonts w:cs="Arial"/>
          <w:sz w:val="32"/>
          <w:szCs w:val="32"/>
        </w:rPr>
      </w:pPr>
    </w:p>
    <w:p w:rsidR="003101EF" w:rsidRDefault="003101EF" w:rsidP="00DD5F84">
      <w:pPr>
        <w:jc w:val="center"/>
        <w:rPr>
          <w:rFonts w:cs="Arial"/>
          <w:sz w:val="32"/>
          <w:szCs w:val="32"/>
        </w:rPr>
        <w:sectPr w:rsidR="003101EF" w:rsidSect="00DD5F84">
          <w:footerReference w:type="default" r:id="rId9"/>
          <w:type w:val="continuous"/>
          <w:pgSz w:w="12240" w:h="15840"/>
          <w:pgMar w:top="1440" w:right="1440" w:bottom="1440" w:left="1440" w:header="720" w:footer="576" w:gutter="0"/>
          <w:cols w:space="720"/>
          <w:docGrid w:linePitch="360"/>
        </w:sectPr>
      </w:pPr>
    </w:p>
    <w:p w:rsidR="008C187C" w:rsidRDefault="008C187C">
      <w:pPr>
        <w:spacing w:after="0"/>
        <w:jc w:val="left"/>
        <w:rPr>
          <w:b/>
          <w:sz w:val="28"/>
          <w:szCs w:val="28"/>
        </w:rPr>
        <w:sectPr w:rsidR="008C187C" w:rsidSect="002E1582">
          <w:headerReference w:type="default" r:id="rId10"/>
          <w:pgSz w:w="12240" w:h="15840"/>
          <w:pgMar w:top="1440" w:right="1440" w:bottom="1440" w:left="1440" w:header="720" w:footer="720" w:gutter="0"/>
          <w:pgNumType w:fmt="lowerRoman" w:start="1"/>
          <w:cols w:space="720"/>
          <w:docGrid w:linePitch="360"/>
        </w:sectPr>
      </w:pPr>
    </w:p>
    <w:p w:rsidR="00DD5F84" w:rsidRPr="00DD5F84" w:rsidRDefault="003353D1" w:rsidP="00DD5F84">
      <w:pPr>
        <w:jc w:val="center"/>
        <w:rPr>
          <w:b/>
          <w:sz w:val="28"/>
          <w:szCs w:val="28"/>
        </w:rPr>
      </w:pPr>
      <w:r>
        <w:rPr>
          <w:b/>
          <w:sz w:val="28"/>
          <w:szCs w:val="28"/>
        </w:rPr>
        <w:lastRenderedPageBreak/>
        <w:t xml:space="preserve">TABLE OF </w:t>
      </w:r>
      <w:r w:rsidR="00976A4A">
        <w:rPr>
          <w:b/>
          <w:sz w:val="28"/>
          <w:szCs w:val="28"/>
        </w:rPr>
        <w:t>CONTENT</w:t>
      </w:r>
      <w:r w:rsidR="00743CDE">
        <w:rPr>
          <w:b/>
          <w:sz w:val="28"/>
          <w:szCs w:val="28"/>
        </w:rPr>
        <w:t>S</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I.</w:t>
      </w:r>
      <w:r w:rsidRPr="00482883">
        <w:rPr>
          <w:rFonts w:eastAsia="Calibri" w:cs="Arial"/>
          <w:b/>
          <w:szCs w:val="24"/>
        </w:rPr>
        <w:tab/>
        <w:t>INTRODUCTION</w:t>
      </w:r>
      <w:r w:rsidRPr="00482883">
        <w:rPr>
          <w:rFonts w:eastAsia="Calibri" w:cs="Arial"/>
          <w:b/>
          <w:szCs w:val="24"/>
        </w:rPr>
        <w:tab/>
        <w:t>1</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1</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OBJECTIVES AND SCOPE</w:t>
      </w:r>
      <w:r w:rsidRPr="00482883">
        <w:rPr>
          <w:rFonts w:eastAsia="Calibri" w:cs="Arial"/>
          <w:szCs w:val="24"/>
        </w:rPr>
        <w:tab/>
        <w:t>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AUDIT APPROACH</w:t>
      </w:r>
      <w:r w:rsidRPr="00482883">
        <w:rPr>
          <w:rFonts w:eastAsia="Calibri" w:cs="Arial"/>
          <w:szCs w:val="24"/>
        </w:rPr>
        <w:tab/>
        <w:t>4</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REPORT ORGANIZATION</w:t>
      </w:r>
      <w:r w:rsidRPr="00482883">
        <w:rPr>
          <w:rFonts w:eastAsia="Calibri" w:cs="Arial"/>
          <w:szCs w:val="24"/>
        </w:rPr>
        <w:tab/>
        <w:t>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FUNCTIONAL AREA RATINGS</w:t>
      </w:r>
      <w:r w:rsidRPr="00482883">
        <w:rPr>
          <w:rFonts w:eastAsia="Calibri" w:cs="Arial"/>
          <w:szCs w:val="24"/>
        </w:rPr>
        <w:tab/>
        <w:t>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F.</w:t>
      </w:r>
      <w:r w:rsidRPr="00482883">
        <w:rPr>
          <w:rFonts w:eastAsia="Calibri" w:cs="Arial"/>
          <w:szCs w:val="24"/>
        </w:rPr>
        <w:tab/>
        <w:t>FINDINGS AND RECOMMENDATIONS SUMMARY</w:t>
      </w:r>
      <w:r w:rsidRPr="00482883">
        <w:rPr>
          <w:rFonts w:eastAsia="Calibri" w:cs="Arial"/>
          <w:szCs w:val="24"/>
        </w:rPr>
        <w:tab/>
        <w:t>8</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II.</w:t>
      </w:r>
      <w:r w:rsidRPr="00482883">
        <w:rPr>
          <w:rFonts w:eastAsia="Calibri" w:cs="Arial"/>
          <w:b/>
          <w:szCs w:val="24"/>
        </w:rPr>
        <w:tab/>
        <w:t>EXECUTIVE MANAGEMENT</w:t>
      </w:r>
      <w:r w:rsidRPr="00482883">
        <w:rPr>
          <w:rFonts w:eastAsia="Calibri" w:cs="Arial"/>
          <w:b/>
          <w:szCs w:val="24"/>
        </w:rPr>
        <w:tab/>
        <w:t>48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48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70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77</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III.</w:t>
      </w:r>
      <w:r w:rsidRPr="00482883">
        <w:rPr>
          <w:rFonts w:eastAsia="Calibri" w:cs="Arial"/>
          <w:b/>
          <w:szCs w:val="24"/>
        </w:rPr>
        <w:tab/>
        <w:t>GOVERNANCE</w:t>
      </w:r>
      <w:r w:rsidRPr="00482883">
        <w:rPr>
          <w:rFonts w:eastAsia="Calibri" w:cs="Arial"/>
          <w:b/>
          <w:szCs w:val="24"/>
        </w:rPr>
        <w:tab/>
        <w:t>79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79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96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106</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IV.</w:t>
      </w:r>
      <w:r w:rsidRPr="00482883">
        <w:rPr>
          <w:rFonts w:eastAsia="Calibri" w:cs="Arial"/>
          <w:b/>
          <w:szCs w:val="24"/>
        </w:rPr>
        <w:tab/>
        <w:t>AFFILIATE RELATIONSHIPS</w:t>
      </w:r>
      <w:r w:rsidRPr="00482883">
        <w:rPr>
          <w:rFonts w:eastAsia="Calibri" w:cs="Arial"/>
          <w:b/>
          <w:szCs w:val="24"/>
        </w:rPr>
        <w:tab/>
        <w:t>107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PPL EU AFFILIATE RELATIONSHIPS</w:t>
      </w:r>
      <w:r w:rsidRPr="00482883">
        <w:rPr>
          <w:rFonts w:eastAsia="Calibri" w:cs="Arial"/>
          <w:szCs w:val="24"/>
        </w:rPr>
        <w:tab/>
        <w:t>107</w:t>
      </w:r>
    </w:p>
    <w:p w:rsidR="00482883" w:rsidRPr="00482883" w:rsidRDefault="00482883" w:rsidP="00482883">
      <w:pPr>
        <w:tabs>
          <w:tab w:val="left" w:pos="540"/>
          <w:tab w:val="right" w:leader="dot" w:pos="9360"/>
        </w:tabs>
        <w:spacing w:after="60"/>
        <w:ind w:left="893"/>
        <w:jc w:val="left"/>
        <w:rPr>
          <w:rFonts w:eastAsia="Calibri" w:cs="Arial"/>
          <w:szCs w:val="24"/>
        </w:rPr>
      </w:pPr>
      <w:r w:rsidRPr="00482883">
        <w:rPr>
          <w:rFonts w:eastAsia="Calibri" w:cs="Arial"/>
          <w:smallCaps/>
          <w:szCs w:val="24"/>
        </w:rPr>
        <w:t>Background</w:t>
      </w:r>
      <w:r w:rsidRPr="00482883">
        <w:rPr>
          <w:rFonts w:eastAsia="Calibri" w:cs="Arial"/>
          <w:szCs w:val="24"/>
        </w:rPr>
        <w:tab/>
        <w:t>107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118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120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AFFILIATE GOVERNANCE</w:t>
      </w:r>
      <w:r w:rsidRPr="00482883">
        <w:rPr>
          <w:rFonts w:eastAsia="Calibri" w:cs="Arial"/>
          <w:szCs w:val="24"/>
        </w:rPr>
        <w:tab/>
        <w:t>122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122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125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126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AFFILIATE TRANSACTIONS</w:t>
      </w:r>
      <w:r w:rsidRPr="00482883">
        <w:rPr>
          <w:rFonts w:eastAsia="Calibri" w:cs="Arial"/>
          <w:szCs w:val="24"/>
        </w:rPr>
        <w:tab/>
        <w:t>126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126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131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132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SERVICE LEVEL AGREEMENTS WITH AFFILIATES</w:t>
      </w:r>
      <w:r w:rsidRPr="00482883">
        <w:rPr>
          <w:rFonts w:eastAsia="Calibri" w:cs="Arial"/>
          <w:szCs w:val="24"/>
        </w:rPr>
        <w:tab/>
        <w:t>133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133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135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136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STANDARDS OF INTEGRITY</w:t>
      </w:r>
      <w:r w:rsidRPr="00482883">
        <w:rPr>
          <w:rFonts w:eastAsia="Calibri" w:cs="Arial"/>
          <w:szCs w:val="24"/>
        </w:rPr>
        <w:tab/>
        <w:t>137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137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138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139</w:t>
      </w:r>
    </w:p>
    <w:p w:rsidR="00482883" w:rsidRPr="00482883" w:rsidRDefault="00482883" w:rsidP="00482883">
      <w:pPr>
        <w:keepNext/>
        <w:tabs>
          <w:tab w:val="left" w:pos="540"/>
          <w:tab w:val="left" w:pos="900"/>
          <w:tab w:val="right" w:leader="dot" w:pos="9360"/>
        </w:tabs>
        <w:spacing w:after="60"/>
        <w:ind w:left="547"/>
        <w:jc w:val="left"/>
        <w:rPr>
          <w:rFonts w:eastAsia="Calibri" w:cs="Arial"/>
          <w:szCs w:val="24"/>
        </w:rPr>
      </w:pPr>
      <w:r w:rsidRPr="00482883">
        <w:rPr>
          <w:rFonts w:eastAsia="Calibri" w:cs="Arial"/>
          <w:szCs w:val="24"/>
        </w:rPr>
        <w:lastRenderedPageBreak/>
        <w:t>F.</w:t>
      </w:r>
      <w:r w:rsidRPr="00482883">
        <w:rPr>
          <w:rFonts w:eastAsia="Calibri" w:cs="Arial"/>
          <w:szCs w:val="24"/>
        </w:rPr>
        <w:tab/>
        <w:t>PRICING OF AFFILIATE TRANSACTIONS</w:t>
      </w:r>
      <w:r w:rsidRPr="00482883">
        <w:rPr>
          <w:rFonts w:eastAsia="Calibri" w:cs="Arial"/>
          <w:szCs w:val="24"/>
        </w:rPr>
        <w:tab/>
        <w:t>139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139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149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152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G.</w:t>
      </w:r>
      <w:r w:rsidRPr="00482883">
        <w:rPr>
          <w:rFonts w:eastAsia="Calibri" w:cs="Arial"/>
          <w:szCs w:val="24"/>
        </w:rPr>
        <w:tab/>
        <w:t>VALUE OF AFFILIATE RELATIONSHIPS</w:t>
      </w:r>
      <w:r w:rsidRPr="00482883">
        <w:rPr>
          <w:rFonts w:eastAsia="Calibri" w:cs="Arial"/>
          <w:szCs w:val="24"/>
        </w:rPr>
        <w:tab/>
        <w:t>153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153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154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155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H.</w:t>
      </w:r>
      <w:r w:rsidRPr="00482883">
        <w:rPr>
          <w:rFonts w:eastAsia="Calibri" w:cs="Arial"/>
          <w:szCs w:val="24"/>
        </w:rPr>
        <w:tab/>
        <w:t>RING FENCING</w:t>
      </w:r>
      <w:r w:rsidRPr="00482883">
        <w:rPr>
          <w:rFonts w:eastAsia="Calibri" w:cs="Arial"/>
          <w:szCs w:val="24"/>
        </w:rPr>
        <w:tab/>
        <w:t>155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155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157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158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I.</w:t>
      </w:r>
      <w:r w:rsidRPr="00482883">
        <w:rPr>
          <w:rFonts w:eastAsia="Calibri" w:cs="Arial"/>
          <w:szCs w:val="24"/>
        </w:rPr>
        <w:tab/>
        <w:t>INDIRECT AFFILIATE TRANSACTIONS</w:t>
      </w:r>
      <w:r w:rsidRPr="00482883">
        <w:rPr>
          <w:rFonts w:eastAsia="Calibri" w:cs="Arial"/>
          <w:szCs w:val="24"/>
        </w:rPr>
        <w:tab/>
        <w:t>159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159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161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161</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J.</w:t>
      </w:r>
      <w:r w:rsidRPr="00482883">
        <w:rPr>
          <w:rFonts w:eastAsia="Calibri" w:cs="Arial"/>
          <w:szCs w:val="24"/>
        </w:rPr>
        <w:tab/>
        <w:t>INTERNAL AUDITS</w:t>
      </w:r>
      <w:r w:rsidRPr="00482883">
        <w:rPr>
          <w:rFonts w:eastAsia="Calibri" w:cs="Arial"/>
          <w:szCs w:val="24"/>
        </w:rPr>
        <w:tab/>
        <w:t>162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162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162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162</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V.</w:t>
      </w:r>
      <w:r w:rsidRPr="00482883">
        <w:rPr>
          <w:rFonts w:eastAsia="Calibri" w:cs="Arial"/>
          <w:b/>
          <w:szCs w:val="24"/>
        </w:rPr>
        <w:tab/>
        <w:t>FINANCE AND ACCOUNTING</w:t>
      </w:r>
      <w:r w:rsidRPr="00482883">
        <w:rPr>
          <w:rFonts w:eastAsia="Calibri" w:cs="Arial"/>
          <w:b/>
          <w:szCs w:val="24"/>
        </w:rPr>
        <w:tab/>
        <w:t>163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163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185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189</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VI.</w:t>
      </w:r>
      <w:r w:rsidRPr="00482883">
        <w:rPr>
          <w:rFonts w:eastAsia="Calibri" w:cs="Arial"/>
          <w:b/>
          <w:szCs w:val="24"/>
        </w:rPr>
        <w:tab/>
        <w:t>TRANSMISSION AND DISTRIBUTION</w:t>
      </w:r>
      <w:r w:rsidRPr="00482883">
        <w:rPr>
          <w:rFonts w:eastAsia="Calibri" w:cs="Arial"/>
          <w:b/>
          <w:szCs w:val="24"/>
        </w:rPr>
        <w:tab/>
        <w:t>190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TRANSMISSION AND SUBSTATIONS</w:t>
      </w:r>
      <w:r w:rsidRPr="00482883">
        <w:rPr>
          <w:rFonts w:eastAsia="Calibri" w:cs="Arial"/>
          <w:szCs w:val="24"/>
        </w:rPr>
        <w:tab/>
        <w:t>192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192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217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219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DISTRIBUTION OPERATIONS</w:t>
      </w:r>
      <w:r w:rsidRPr="00482883">
        <w:rPr>
          <w:rFonts w:eastAsia="Calibri" w:cs="Arial"/>
          <w:szCs w:val="24"/>
        </w:rPr>
        <w:tab/>
        <w:t>219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219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244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252</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VII.</w:t>
      </w:r>
      <w:r w:rsidRPr="00482883">
        <w:rPr>
          <w:rFonts w:eastAsia="Calibri" w:cs="Arial"/>
          <w:b/>
          <w:szCs w:val="24"/>
        </w:rPr>
        <w:tab/>
        <w:t>EMERGENCY RESPONSE</w:t>
      </w:r>
      <w:r w:rsidRPr="00482883">
        <w:rPr>
          <w:rFonts w:eastAsia="Calibri" w:cs="Arial"/>
          <w:b/>
          <w:szCs w:val="24"/>
        </w:rPr>
        <w:tab/>
        <w:t>254</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PROTECTIVE SERVICES EMERGENCY MANAGEMENT</w:t>
      </w:r>
      <w:r w:rsidRPr="00482883">
        <w:rPr>
          <w:rFonts w:eastAsia="Calibri" w:cs="Arial"/>
          <w:szCs w:val="24"/>
        </w:rPr>
        <w:tab/>
        <w:t>254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254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261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262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lastRenderedPageBreak/>
        <w:t>B.</w:t>
      </w:r>
      <w:r w:rsidRPr="00482883">
        <w:rPr>
          <w:rFonts w:eastAsia="Calibri" w:cs="Arial"/>
          <w:szCs w:val="24"/>
        </w:rPr>
        <w:tab/>
        <w:t>PPL EU SYSTEM DAMAGE AND STORM RESPONSE</w:t>
      </w:r>
      <w:r w:rsidRPr="00482883">
        <w:rPr>
          <w:rFonts w:eastAsia="Calibri" w:cs="Arial"/>
          <w:szCs w:val="24"/>
        </w:rPr>
        <w:tab/>
        <w:t>262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262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270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272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CYBER SECURITY</w:t>
      </w:r>
      <w:r w:rsidRPr="00482883">
        <w:rPr>
          <w:rFonts w:eastAsia="Calibri" w:cs="Arial"/>
          <w:szCs w:val="24"/>
        </w:rPr>
        <w:tab/>
        <w:t>272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272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277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278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COMPLIANCE WITH REQUIREMENTS OF THE PENNSYLVANIA CODE</w:t>
      </w:r>
      <w:r w:rsidRPr="00482883">
        <w:rPr>
          <w:rFonts w:eastAsia="Calibri" w:cs="Arial"/>
          <w:szCs w:val="24"/>
        </w:rPr>
        <w:tab/>
        <w:t>278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278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280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281</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VIII.</w:t>
      </w:r>
      <w:r w:rsidRPr="00482883">
        <w:rPr>
          <w:rFonts w:eastAsia="Calibri" w:cs="Arial"/>
          <w:b/>
          <w:szCs w:val="24"/>
        </w:rPr>
        <w:tab/>
        <w:t>SUPPORT SERVICES</w:t>
      </w:r>
      <w:r w:rsidRPr="00482883">
        <w:rPr>
          <w:rFonts w:eastAsia="Calibri" w:cs="Arial"/>
          <w:b/>
          <w:szCs w:val="24"/>
        </w:rPr>
        <w:tab/>
        <w:t>282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TECHNICAL DEVELOPMENT AND IMPROVEMENT</w:t>
      </w:r>
      <w:r w:rsidRPr="00482883">
        <w:rPr>
          <w:rFonts w:eastAsia="Calibri" w:cs="Arial"/>
          <w:szCs w:val="24"/>
        </w:rPr>
        <w:tab/>
        <w:t>282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282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287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289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SUPPLY CHAIN</w:t>
      </w:r>
      <w:r w:rsidRPr="00482883">
        <w:rPr>
          <w:rFonts w:eastAsia="Calibri" w:cs="Arial"/>
          <w:szCs w:val="24"/>
        </w:rPr>
        <w:tab/>
        <w:t>289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289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296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299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TRANSPORTATION</w:t>
      </w:r>
      <w:r w:rsidRPr="00482883">
        <w:rPr>
          <w:rFonts w:eastAsia="Calibri" w:cs="Arial"/>
          <w:szCs w:val="24"/>
        </w:rPr>
        <w:tab/>
        <w:t>300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300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304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307</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IX.</w:t>
      </w:r>
      <w:r w:rsidRPr="00482883">
        <w:rPr>
          <w:rFonts w:eastAsia="Calibri" w:cs="Arial"/>
          <w:b/>
          <w:szCs w:val="24"/>
        </w:rPr>
        <w:tab/>
        <w:t>CUSTOMER SERVICES</w:t>
      </w:r>
      <w:r w:rsidRPr="00482883">
        <w:rPr>
          <w:rFonts w:eastAsia="Calibri" w:cs="Arial"/>
          <w:b/>
          <w:szCs w:val="24"/>
        </w:rPr>
        <w:tab/>
        <w:t>308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OVERVIEW</w:t>
      </w:r>
      <w:r w:rsidRPr="00482883">
        <w:rPr>
          <w:rFonts w:eastAsia="Calibri" w:cs="Arial"/>
          <w:szCs w:val="24"/>
        </w:rPr>
        <w:tab/>
        <w:t>308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308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310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312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CUSTOMER EXPERIENCE</w:t>
      </w:r>
      <w:r w:rsidRPr="00482883">
        <w:rPr>
          <w:rFonts w:eastAsia="Calibri" w:cs="Arial"/>
          <w:szCs w:val="24"/>
        </w:rPr>
        <w:tab/>
        <w:t>314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314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322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330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CUSTOMER SERVICES OPERATIONS</w:t>
      </w:r>
      <w:r w:rsidRPr="00482883">
        <w:rPr>
          <w:rFonts w:eastAsia="Calibri" w:cs="Arial"/>
          <w:szCs w:val="24"/>
        </w:rPr>
        <w:tab/>
        <w:t>332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332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335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338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lastRenderedPageBreak/>
        <w:t>D.</w:t>
      </w:r>
      <w:r w:rsidRPr="00482883">
        <w:rPr>
          <w:rFonts w:eastAsia="Calibri" w:cs="Arial"/>
          <w:szCs w:val="24"/>
        </w:rPr>
        <w:tab/>
        <w:t>REGULATORY PROGRAMS AND BUSINESS SERVICES</w:t>
      </w:r>
      <w:r w:rsidRPr="00482883">
        <w:rPr>
          <w:rFonts w:eastAsia="Calibri" w:cs="Arial"/>
          <w:szCs w:val="24"/>
        </w:rPr>
        <w:tab/>
        <w:t>339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339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342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347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ADVANCED METERING AND DATA OPERATIONS</w:t>
      </w:r>
      <w:r w:rsidRPr="00482883">
        <w:rPr>
          <w:rFonts w:eastAsia="Calibri" w:cs="Arial"/>
          <w:szCs w:val="24"/>
        </w:rPr>
        <w:tab/>
        <w:t>348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348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352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353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F.</w:t>
      </w:r>
      <w:r w:rsidRPr="00482883">
        <w:rPr>
          <w:rFonts w:eastAsia="Calibri" w:cs="Arial"/>
          <w:szCs w:val="24"/>
        </w:rPr>
        <w:tab/>
        <w:t>REVENUE OPERATIONS</w:t>
      </w:r>
      <w:r w:rsidRPr="00482883">
        <w:rPr>
          <w:rFonts w:eastAsia="Calibri" w:cs="Arial"/>
          <w:szCs w:val="24"/>
        </w:rPr>
        <w:tab/>
        <w:t>353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353</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361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367</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w:t>
      </w:r>
      <w:r w:rsidRPr="00482883">
        <w:rPr>
          <w:rFonts w:eastAsia="Calibri" w:cs="Arial"/>
          <w:b/>
          <w:szCs w:val="24"/>
        </w:rPr>
        <w:tab/>
        <w:t>CUSTOMER ASSISTANCE PROGRAMS</w:t>
      </w:r>
      <w:r w:rsidRPr="00482883">
        <w:rPr>
          <w:rFonts w:eastAsia="Calibri" w:cs="Arial"/>
          <w:b/>
          <w:szCs w:val="24"/>
        </w:rPr>
        <w:tab/>
        <w:t>370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ONTRACK PROGRAM OVERVIEW</w:t>
      </w:r>
      <w:r w:rsidRPr="00482883">
        <w:rPr>
          <w:rFonts w:eastAsia="Calibri" w:cs="Arial"/>
          <w:szCs w:val="24"/>
        </w:rPr>
        <w:tab/>
        <w:t>370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ONTRACK PROGRAM PROCESSES</w:t>
      </w:r>
      <w:r w:rsidRPr="00482883">
        <w:rPr>
          <w:rFonts w:eastAsia="Calibri" w:cs="Arial"/>
          <w:szCs w:val="24"/>
        </w:rPr>
        <w:tab/>
        <w:t>378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378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384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386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PPL EU ONTRACK ORGANIZATION, STAFFING, AND FUNCTIONS</w:t>
      </w:r>
      <w:r w:rsidRPr="00482883">
        <w:rPr>
          <w:rFonts w:eastAsia="Calibri" w:cs="Arial"/>
          <w:szCs w:val="24"/>
        </w:rPr>
        <w:tab/>
        <w:t>387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387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389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w:t>
      </w:r>
      <w:r w:rsidRPr="00482883">
        <w:rPr>
          <w:rFonts w:eastAsia="Calibri" w:cs="Arial"/>
          <w:smallCaps/>
          <w:szCs w:val="24"/>
        </w:rPr>
        <w:tab/>
        <w:t>390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ONTRACK AGENCY STAFFING AND FUNCTIONS</w:t>
      </w:r>
      <w:r w:rsidRPr="00482883">
        <w:rPr>
          <w:rFonts w:eastAsia="Calibri" w:cs="Arial"/>
          <w:szCs w:val="24"/>
        </w:rPr>
        <w:tab/>
        <w:t>391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391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394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403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ONTRACK AGENCY CONTRACTING AND CONTRACT MANAGEMENT</w:t>
      </w:r>
      <w:r w:rsidRPr="00482883">
        <w:rPr>
          <w:rFonts w:eastAsia="Calibri" w:cs="Arial"/>
          <w:szCs w:val="24"/>
        </w:rPr>
        <w:tab/>
        <w:t>404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404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404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406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F.</w:t>
      </w:r>
      <w:r w:rsidRPr="00482883">
        <w:rPr>
          <w:rFonts w:eastAsia="Calibri" w:cs="Arial"/>
          <w:szCs w:val="24"/>
        </w:rPr>
        <w:tab/>
        <w:t>PERFORMANCE MANAGEMENT</w:t>
      </w:r>
      <w:r w:rsidRPr="00482883">
        <w:rPr>
          <w:rFonts w:eastAsia="Calibri" w:cs="Arial"/>
          <w:szCs w:val="24"/>
        </w:rPr>
        <w:tab/>
        <w:t>407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407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407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418</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XI.</w:t>
      </w:r>
      <w:r w:rsidRPr="00482883">
        <w:rPr>
          <w:rFonts w:eastAsia="Calibri" w:cs="Arial"/>
          <w:b/>
          <w:szCs w:val="24"/>
        </w:rPr>
        <w:tab/>
        <w:t>INFORMATION TECHNOLOGY AND SYSTEMS</w:t>
      </w:r>
      <w:r w:rsidRPr="00482883">
        <w:rPr>
          <w:rFonts w:eastAsia="Calibri" w:cs="Arial"/>
          <w:b/>
          <w:szCs w:val="24"/>
        </w:rPr>
        <w:tab/>
        <w:t>423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423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439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444</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lastRenderedPageBreak/>
        <w:t>XII.</w:t>
      </w:r>
      <w:r w:rsidRPr="00482883">
        <w:rPr>
          <w:rFonts w:eastAsia="Calibri" w:cs="Arial"/>
          <w:b/>
          <w:szCs w:val="24"/>
        </w:rPr>
        <w:tab/>
        <w:t>HUMAN RESOURCES</w:t>
      </w:r>
      <w:r w:rsidRPr="00482883">
        <w:rPr>
          <w:rFonts w:eastAsia="Calibri" w:cs="Arial"/>
          <w:b/>
          <w:szCs w:val="24"/>
        </w:rPr>
        <w:tab/>
        <w:t>447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447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458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468</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XIII.</w:t>
      </w:r>
      <w:r w:rsidRPr="00482883">
        <w:rPr>
          <w:rFonts w:eastAsia="Calibri" w:cs="Arial"/>
          <w:b/>
          <w:szCs w:val="24"/>
        </w:rPr>
        <w:tab/>
        <w:t>EXECUTIVE COMPENSATION</w:t>
      </w:r>
      <w:r w:rsidRPr="00482883">
        <w:rPr>
          <w:rFonts w:eastAsia="Calibri" w:cs="Arial"/>
          <w:b/>
          <w:szCs w:val="24"/>
        </w:rPr>
        <w:tab/>
        <w:t>470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BACKGROUND</w:t>
      </w:r>
      <w:r w:rsidRPr="00482883">
        <w:rPr>
          <w:rFonts w:eastAsia="Calibri" w:cs="Arial"/>
          <w:szCs w:val="24"/>
        </w:rPr>
        <w:tab/>
        <w:t>470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FINDINGS</w:t>
      </w:r>
      <w:r w:rsidRPr="00482883">
        <w:rPr>
          <w:rFonts w:eastAsia="Calibri" w:cs="Arial"/>
          <w:szCs w:val="24"/>
        </w:rPr>
        <w:tab/>
        <w:t>495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RECOMMENDATIONS</w:t>
      </w:r>
      <w:r w:rsidRPr="00482883">
        <w:rPr>
          <w:rFonts w:eastAsia="Calibri" w:cs="Arial"/>
          <w:szCs w:val="24"/>
        </w:rPr>
        <w:tab/>
        <w:t>497</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XIV.</w:t>
      </w:r>
      <w:r w:rsidRPr="00482883">
        <w:rPr>
          <w:rFonts w:eastAsia="Calibri" w:cs="Arial"/>
          <w:b/>
          <w:szCs w:val="24"/>
        </w:rPr>
        <w:tab/>
        <w:t>DIVERSITY AND EQUAL EMPLOYMENT OPPORTUNITY</w:t>
      </w:r>
      <w:r w:rsidRPr="00482883">
        <w:rPr>
          <w:rFonts w:eastAsia="Calibri" w:cs="Arial"/>
          <w:b/>
          <w:szCs w:val="24"/>
        </w:rPr>
        <w:tab/>
        <w:t>499</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VENDOR DIVERSITY</w:t>
      </w:r>
      <w:r w:rsidRPr="00482883">
        <w:rPr>
          <w:rFonts w:eastAsia="Calibri" w:cs="Arial"/>
          <w:szCs w:val="24"/>
        </w:rPr>
        <w:tab/>
        <w:t>500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500</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504</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508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EMPLOYEE DIVERSITY</w:t>
      </w:r>
      <w:r w:rsidRPr="00482883">
        <w:rPr>
          <w:rFonts w:eastAsia="Calibri" w:cs="Arial"/>
          <w:szCs w:val="24"/>
        </w:rPr>
        <w:tab/>
        <w:t>508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508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512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515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AFFIRMATIVE ACTION</w:t>
      </w:r>
      <w:r w:rsidRPr="00482883">
        <w:rPr>
          <w:rFonts w:eastAsia="Calibri" w:cs="Arial"/>
          <w:szCs w:val="24"/>
        </w:rPr>
        <w:tab/>
        <w:t>516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516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519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524</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XV.</w:t>
      </w:r>
      <w:r w:rsidRPr="00482883">
        <w:rPr>
          <w:rFonts w:eastAsia="Calibri" w:cs="Arial"/>
          <w:b/>
          <w:szCs w:val="24"/>
        </w:rPr>
        <w:tab/>
        <w:t>STAFFING PLANNING PROCESS</w:t>
      </w:r>
      <w:r w:rsidRPr="00482883">
        <w:rPr>
          <w:rFonts w:eastAsia="Calibri" w:cs="Arial"/>
          <w:b/>
          <w:szCs w:val="24"/>
        </w:rPr>
        <w:tab/>
        <w:t>525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OVERVIEW</w:t>
      </w:r>
      <w:r w:rsidRPr="00482883">
        <w:rPr>
          <w:rFonts w:eastAsia="Calibri" w:cs="Arial"/>
          <w:szCs w:val="24"/>
        </w:rPr>
        <w:tab/>
        <w:t>525</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TRANSMISSION AND SUBSTATIONS</w:t>
      </w:r>
      <w:r w:rsidRPr="00482883">
        <w:rPr>
          <w:rFonts w:eastAsia="Calibri" w:cs="Arial"/>
          <w:szCs w:val="24"/>
        </w:rPr>
        <w:tab/>
        <w:t>528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528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w:t>
      </w:r>
      <w:r w:rsidRPr="00482883">
        <w:rPr>
          <w:rFonts w:eastAsia="Calibri" w:cs="Arial"/>
          <w:smallCaps/>
          <w:szCs w:val="24"/>
        </w:rPr>
        <w:tab/>
        <w:t>535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536</w:t>
      </w:r>
    </w:p>
    <w:p w:rsidR="00482883" w:rsidRPr="00482883" w:rsidRDefault="00482883" w:rsidP="00482883">
      <w:pPr>
        <w:tabs>
          <w:tab w:val="left" w:pos="540"/>
          <w:tab w:val="left" w:pos="900"/>
          <w:tab w:val="right" w:leader="dot" w:pos="9360"/>
        </w:tabs>
        <w:spacing w:after="60"/>
        <w:ind w:left="907" w:hanging="360"/>
        <w:jc w:val="left"/>
        <w:rPr>
          <w:rFonts w:eastAsia="Calibri" w:cs="Arial"/>
          <w:szCs w:val="24"/>
        </w:rPr>
      </w:pPr>
      <w:r w:rsidRPr="00482883">
        <w:rPr>
          <w:rFonts w:eastAsia="Calibri" w:cs="Arial"/>
          <w:szCs w:val="24"/>
        </w:rPr>
        <w:t>C.</w:t>
      </w:r>
      <w:r w:rsidRPr="00482883">
        <w:rPr>
          <w:rFonts w:eastAsia="Calibri" w:cs="Arial"/>
          <w:szCs w:val="24"/>
        </w:rPr>
        <w:tab/>
        <w:t>DISTRIBUTION OPERATIONS AND TECHNICAL DEVELOPMENT AND IMPROVEMENT</w:t>
      </w:r>
      <w:r w:rsidRPr="00482883">
        <w:rPr>
          <w:rFonts w:eastAsia="Calibri" w:cs="Arial"/>
          <w:szCs w:val="24"/>
        </w:rPr>
        <w:tab/>
        <w:t>537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537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548</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550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CUSTOMER SERVICES</w:t>
      </w:r>
      <w:r w:rsidRPr="00482883">
        <w:rPr>
          <w:rFonts w:eastAsia="Calibri" w:cs="Arial"/>
          <w:szCs w:val="24"/>
        </w:rPr>
        <w:tab/>
        <w:t>551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551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557</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558</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FINANCE, ACCOUNTING, AND AUDIT</w:t>
      </w:r>
      <w:r w:rsidRPr="00482883">
        <w:rPr>
          <w:rFonts w:eastAsia="Calibri" w:cs="Arial"/>
          <w:szCs w:val="24"/>
        </w:rPr>
        <w:tab/>
        <w:t>559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559</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lastRenderedPageBreak/>
        <w:t>Findings</w:t>
      </w:r>
      <w:r w:rsidRPr="00482883">
        <w:rPr>
          <w:rFonts w:eastAsia="Calibri" w:cs="Arial"/>
          <w:smallCaps/>
          <w:szCs w:val="24"/>
        </w:rPr>
        <w:tab/>
        <w:t>565</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566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F.</w:t>
      </w:r>
      <w:r w:rsidRPr="00482883">
        <w:rPr>
          <w:rFonts w:eastAsia="Calibri" w:cs="Arial"/>
          <w:szCs w:val="24"/>
        </w:rPr>
        <w:tab/>
        <w:t>SUPPORT SERVICES</w:t>
      </w:r>
      <w:r w:rsidRPr="00482883">
        <w:rPr>
          <w:rFonts w:eastAsia="Calibri" w:cs="Arial"/>
          <w:szCs w:val="24"/>
        </w:rPr>
        <w:tab/>
        <w:t>566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566</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581</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582</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G.</w:t>
      </w:r>
      <w:r w:rsidRPr="00482883">
        <w:rPr>
          <w:rFonts w:eastAsia="Calibri" w:cs="Arial"/>
          <w:szCs w:val="24"/>
        </w:rPr>
        <w:tab/>
        <w:t>ENTERPRISE-WIDE</w:t>
      </w:r>
      <w:r w:rsidRPr="00482883">
        <w:rPr>
          <w:rFonts w:eastAsia="Calibri" w:cs="Arial"/>
          <w:szCs w:val="24"/>
        </w:rPr>
        <w:tab/>
        <w:t>582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Background</w:t>
      </w:r>
      <w:r w:rsidRPr="00482883">
        <w:rPr>
          <w:rFonts w:eastAsia="Calibri" w:cs="Arial"/>
          <w:smallCaps/>
          <w:szCs w:val="24"/>
        </w:rPr>
        <w:tab/>
        <w:t>582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Findings</w:t>
      </w:r>
      <w:r w:rsidRPr="00482883">
        <w:rPr>
          <w:rFonts w:eastAsia="Calibri" w:cs="Arial"/>
          <w:smallCaps/>
          <w:szCs w:val="24"/>
        </w:rPr>
        <w:tab/>
        <w:t>582</w:t>
      </w:r>
    </w:p>
    <w:p w:rsidR="00482883" w:rsidRPr="00482883" w:rsidRDefault="00482883" w:rsidP="00482883">
      <w:pPr>
        <w:tabs>
          <w:tab w:val="left" w:pos="540"/>
          <w:tab w:val="right" w:leader="dot" w:pos="9360"/>
        </w:tabs>
        <w:spacing w:after="60"/>
        <w:ind w:left="893"/>
        <w:jc w:val="left"/>
        <w:rPr>
          <w:rFonts w:eastAsia="Calibri" w:cs="Arial"/>
          <w:smallCaps/>
          <w:szCs w:val="24"/>
        </w:rPr>
      </w:pPr>
      <w:r w:rsidRPr="00482883">
        <w:rPr>
          <w:rFonts w:eastAsia="Calibri" w:cs="Arial"/>
          <w:smallCaps/>
          <w:szCs w:val="24"/>
        </w:rPr>
        <w:t>Recommendations</w:t>
      </w:r>
      <w:r w:rsidRPr="00482883">
        <w:rPr>
          <w:rFonts w:eastAsia="Calibri" w:cs="Arial"/>
          <w:smallCaps/>
          <w:szCs w:val="24"/>
        </w:rPr>
        <w:tab/>
        <w:t>585</w:t>
      </w: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XVI</w:t>
      </w:r>
      <w:r w:rsidRPr="00482883">
        <w:rPr>
          <w:rFonts w:eastAsia="Calibri" w:cs="Arial"/>
          <w:b/>
          <w:szCs w:val="24"/>
        </w:rPr>
        <w:tab/>
        <w:t>MERGER SYNERGY OPPORTUNITIES</w:t>
      </w:r>
      <w:r w:rsidRPr="00482883">
        <w:rPr>
          <w:rFonts w:eastAsia="Calibri" w:cs="Arial"/>
          <w:b/>
          <w:szCs w:val="24"/>
        </w:rPr>
        <w:tab/>
        <w:t>586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A.</w:t>
      </w:r>
      <w:r w:rsidRPr="00482883">
        <w:rPr>
          <w:rFonts w:eastAsia="Calibri" w:cs="Arial"/>
          <w:szCs w:val="24"/>
        </w:rPr>
        <w:tab/>
        <w:t>MERGER SYNERGIES RESEARCH</w:t>
      </w:r>
      <w:r w:rsidRPr="00482883">
        <w:rPr>
          <w:rFonts w:eastAsia="Calibri" w:cs="Arial"/>
          <w:szCs w:val="24"/>
        </w:rPr>
        <w:tab/>
        <w:t>587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B.</w:t>
      </w:r>
      <w:r w:rsidRPr="00482883">
        <w:rPr>
          <w:rFonts w:eastAsia="Calibri" w:cs="Arial"/>
          <w:szCs w:val="24"/>
        </w:rPr>
        <w:tab/>
        <w:t>CASE STUDIES ON RECENT UTILITY MERGER SYNERGIES</w:t>
      </w:r>
      <w:r w:rsidRPr="00482883">
        <w:rPr>
          <w:rFonts w:eastAsia="Calibri" w:cs="Arial"/>
          <w:szCs w:val="24"/>
        </w:rPr>
        <w:tab/>
        <w:t>590</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C.</w:t>
      </w:r>
      <w:r w:rsidRPr="00482883">
        <w:rPr>
          <w:rFonts w:eastAsia="Calibri" w:cs="Arial"/>
          <w:szCs w:val="24"/>
        </w:rPr>
        <w:tab/>
        <w:t>PPL CORPORATION MERGER WITH E.ON U.S. LLC</w:t>
      </w:r>
      <w:r w:rsidRPr="00482883">
        <w:rPr>
          <w:rFonts w:eastAsia="Calibri" w:cs="Arial"/>
          <w:szCs w:val="24"/>
        </w:rPr>
        <w:tab/>
        <w:t>596</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D.</w:t>
      </w:r>
      <w:r w:rsidRPr="00482883">
        <w:rPr>
          <w:rFonts w:eastAsia="Calibri" w:cs="Arial"/>
          <w:szCs w:val="24"/>
        </w:rPr>
        <w:tab/>
        <w:t>PPL CORPORATION MERGER SYNERGY INITIATIVES</w:t>
      </w:r>
      <w:r w:rsidRPr="00482883">
        <w:rPr>
          <w:rFonts w:eastAsia="Calibri" w:cs="Arial"/>
          <w:szCs w:val="24"/>
        </w:rPr>
        <w:tab/>
        <w:t>597</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E.</w:t>
      </w:r>
      <w:r w:rsidRPr="00482883">
        <w:rPr>
          <w:rFonts w:eastAsia="Calibri" w:cs="Arial"/>
          <w:szCs w:val="24"/>
        </w:rPr>
        <w:tab/>
        <w:t>FINDINGS</w:t>
      </w:r>
      <w:r w:rsidRPr="00482883">
        <w:rPr>
          <w:rFonts w:eastAsia="Calibri" w:cs="Arial"/>
          <w:szCs w:val="24"/>
        </w:rPr>
        <w:tab/>
        <w:t>613</w:t>
      </w:r>
    </w:p>
    <w:p w:rsidR="00482883" w:rsidRPr="00482883" w:rsidRDefault="00482883" w:rsidP="00482883">
      <w:pPr>
        <w:tabs>
          <w:tab w:val="left" w:pos="540"/>
          <w:tab w:val="left" w:pos="900"/>
          <w:tab w:val="right" w:leader="dot" w:pos="9360"/>
        </w:tabs>
        <w:spacing w:after="60"/>
        <w:ind w:left="547"/>
        <w:jc w:val="left"/>
        <w:rPr>
          <w:rFonts w:eastAsia="Calibri" w:cs="Arial"/>
          <w:szCs w:val="24"/>
        </w:rPr>
      </w:pPr>
      <w:r w:rsidRPr="00482883">
        <w:rPr>
          <w:rFonts w:eastAsia="Calibri" w:cs="Arial"/>
          <w:szCs w:val="24"/>
        </w:rPr>
        <w:t>F.</w:t>
      </w:r>
      <w:r w:rsidRPr="00482883">
        <w:rPr>
          <w:rFonts w:eastAsia="Calibri" w:cs="Arial"/>
          <w:szCs w:val="24"/>
        </w:rPr>
        <w:tab/>
        <w:t>RECOMMENDATIONS</w:t>
      </w:r>
      <w:r w:rsidRPr="00482883">
        <w:rPr>
          <w:rFonts w:eastAsia="Calibri" w:cs="Arial"/>
          <w:szCs w:val="24"/>
        </w:rPr>
        <w:tab/>
        <w:t>619</w:t>
      </w:r>
    </w:p>
    <w:p w:rsidR="00482883" w:rsidRPr="00482883" w:rsidRDefault="00482883" w:rsidP="00482883">
      <w:pPr>
        <w:tabs>
          <w:tab w:val="right" w:pos="9360"/>
        </w:tabs>
        <w:spacing w:after="60"/>
        <w:jc w:val="left"/>
        <w:rPr>
          <w:rFonts w:eastAsia="Calibri" w:cs="Arial"/>
          <w:szCs w:val="24"/>
        </w:rPr>
      </w:pPr>
    </w:p>
    <w:p w:rsidR="00482883" w:rsidRPr="00482883" w:rsidRDefault="00482883" w:rsidP="00482883">
      <w:pPr>
        <w:tabs>
          <w:tab w:val="left" w:pos="540"/>
          <w:tab w:val="right" w:leader="dot" w:pos="9360"/>
        </w:tabs>
        <w:spacing w:after="60"/>
        <w:jc w:val="left"/>
        <w:rPr>
          <w:rFonts w:eastAsia="Calibri" w:cs="Arial"/>
          <w:b/>
          <w:szCs w:val="24"/>
        </w:rPr>
      </w:pPr>
      <w:r w:rsidRPr="00482883">
        <w:rPr>
          <w:rFonts w:eastAsia="Calibri" w:cs="Arial"/>
          <w:b/>
          <w:szCs w:val="24"/>
        </w:rPr>
        <w:t>APPENDICES</w:t>
      </w:r>
      <w:r w:rsidRPr="00482883">
        <w:rPr>
          <w:rFonts w:eastAsia="Calibri" w:cs="Arial"/>
          <w:b/>
          <w:szCs w:val="24"/>
        </w:rPr>
        <w:tab/>
        <w:t>621</w:t>
      </w:r>
    </w:p>
    <w:p w:rsidR="00482883" w:rsidRPr="00482883" w:rsidRDefault="00482883" w:rsidP="00482883">
      <w:pPr>
        <w:tabs>
          <w:tab w:val="left" w:pos="2340"/>
          <w:tab w:val="right" w:leader="dot" w:pos="9360"/>
        </w:tabs>
        <w:spacing w:after="60"/>
        <w:ind w:left="2275" w:hanging="1728"/>
        <w:jc w:val="left"/>
        <w:rPr>
          <w:rFonts w:eastAsia="Calibri" w:cs="Arial"/>
          <w:szCs w:val="24"/>
        </w:rPr>
      </w:pPr>
      <w:r w:rsidRPr="00482883">
        <w:rPr>
          <w:rFonts w:eastAsia="Calibri" w:cs="Arial"/>
          <w:szCs w:val="24"/>
        </w:rPr>
        <w:t>APPENDIX A.</w:t>
      </w:r>
      <w:r w:rsidRPr="00482883">
        <w:rPr>
          <w:rFonts w:eastAsia="Calibri" w:cs="Arial"/>
          <w:szCs w:val="24"/>
        </w:rPr>
        <w:tab/>
        <w:t>PPL ELECTRIC UTILITIES CORPORATION OPERATING REVENUES AND EXPENSES</w:t>
      </w:r>
      <w:r w:rsidRPr="00482883">
        <w:rPr>
          <w:rFonts w:eastAsia="Calibri" w:cs="Arial"/>
          <w:szCs w:val="24"/>
        </w:rPr>
        <w:tab/>
        <w:t>621</w:t>
      </w:r>
    </w:p>
    <w:p w:rsidR="00482883" w:rsidRPr="00482883" w:rsidRDefault="00482883" w:rsidP="00482883">
      <w:pPr>
        <w:tabs>
          <w:tab w:val="left" w:pos="2340"/>
          <w:tab w:val="right" w:leader="dot" w:pos="9360"/>
        </w:tabs>
        <w:spacing w:after="60"/>
        <w:ind w:left="2275" w:hanging="1728"/>
        <w:jc w:val="left"/>
        <w:rPr>
          <w:rFonts w:eastAsia="Calibri" w:cs="Arial"/>
          <w:szCs w:val="24"/>
        </w:rPr>
      </w:pPr>
      <w:r w:rsidRPr="00482883">
        <w:rPr>
          <w:rFonts w:eastAsia="Calibri" w:cs="Arial"/>
          <w:szCs w:val="24"/>
        </w:rPr>
        <w:t>APPENDIX B.</w:t>
      </w:r>
      <w:r w:rsidRPr="00482883">
        <w:rPr>
          <w:rFonts w:eastAsia="Calibri" w:cs="Arial"/>
          <w:szCs w:val="24"/>
        </w:rPr>
        <w:tab/>
        <w:t xml:space="preserve">PPL ELECTRIC UTILITIES CORPORATION BALANCE </w:t>
      </w:r>
      <w:r>
        <w:rPr>
          <w:rFonts w:eastAsia="Calibri" w:cs="Arial"/>
          <w:szCs w:val="24"/>
        </w:rPr>
        <w:br/>
      </w:r>
      <w:r w:rsidRPr="00482883">
        <w:rPr>
          <w:rFonts w:eastAsia="Calibri" w:cs="Arial"/>
          <w:szCs w:val="24"/>
        </w:rPr>
        <w:t>SHEET</w:t>
      </w:r>
      <w:r w:rsidRPr="00482883">
        <w:rPr>
          <w:rFonts w:eastAsia="Calibri" w:cs="Arial"/>
          <w:szCs w:val="24"/>
        </w:rPr>
        <w:tab/>
        <w:t>625</w:t>
      </w:r>
    </w:p>
    <w:p w:rsidR="00482883" w:rsidRPr="00482883" w:rsidRDefault="00482883" w:rsidP="00482883">
      <w:pPr>
        <w:tabs>
          <w:tab w:val="left" w:pos="2340"/>
          <w:tab w:val="right" w:leader="dot" w:pos="9360"/>
        </w:tabs>
        <w:spacing w:after="60"/>
        <w:ind w:left="2275" w:hanging="1728"/>
        <w:jc w:val="left"/>
        <w:rPr>
          <w:rFonts w:eastAsia="Calibri" w:cs="Arial"/>
          <w:szCs w:val="24"/>
        </w:rPr>
      </w:pPr>
      <w:r w:rsidRPr="00482883">
        <w:rPr>
          <w:rFonts w:eastAsia="Calibri" w:cs="Arial"/>
          <w:szCs w:val="24"/>
        </w:rPr>
        <w:t>APPENDIX C.</w:t>
      </w:r>
      <w:r w:rsidRPr="00482883">
        <w:rPr>
          <w:rFonts w:eastAsia="Calibri" w:cs="Arial"/>
          <w:szCs w:val="24"/>
        </w:rPr>
        <w:tab/>
        <w:t>PPL ELECTRIC UTILITIES CORPORATION COMPARATIVE DATA AND STATISTICS FOR THE PENNSYLVANIA PANEL 2010–2014</w:t>
      </w:r>
      <w:r w:rsidRPr="00482883">
        <w:rPr>
          <w:rFonts w:eastAsia="Calibri" w:cs="Arial"/>
          <w:szCs w:val="24"/>
        </w:rPr>
        <w:tab/>
        <w:t>629</w:t>
      </w:r>
    </w:p>
    <w:p w:rsidR="00482883" w:rsidRPr="00482883" w:rsidRDefault="00482883" w:rsidP="00482883">
      <w:pPr>
        <w:tabs>
          <w:tab w:val="left" w:pos="2340"/>
          <w:tab w:val="right" w:leader="dot" w:pos="9360"/>
        </w:tabs>
        <w:spacing w:after="60"/>
        <w:ind w:left="2275" w:hanging="1728"/>
        <w:jc w:val="left"/>
        <w:rPr>
          <w:rFonts w:eastAsia="Calibri" w:cs="Arial"/>
          <w:szCs w:val="24"/>
        </w:rPr>
      </w:pPr>
      <w:r w:rsidRPr="00482883">
        <w:rPr>
          <w:rFonts w:eastAsia="Calibri" w:cs="Arial"/>
          <w:szCs w:val="24"/>
        </w:rPr>
        <w:t>APPENDIX D.</w:t>
      </w:r>
      <w:r w:rsidRPr="00482883">
        <w:rPr>
          <w:rFonts w:eastAsia="Calibri" w:cs="Arial"/>
          <w:szCs w:val="24"/>
        </w:rPr>
        <w:tab/>
        <w:t xml:space="preserve">PPL ELECTRIC UTILITIES CORPORATION COMPARATIVE CUSTOMER SERVICE PERFORMANCE METRICS FOR </w:t>
      </w:r>
      <w:r w:rsidR="00872971">
        <w:rPr>
          <w:rFonts w:eastAsia="Calibri" w:cs="Arial"/>
          <w:szCs w:val="24"/>
        </w:rPr>
        <w:br/>
      </w:r>
      <w:r w:rsidRPr="00482883">
        <w:rPr>
          <w:rFonts w:eastAsia="Calibri" w:cs="Arial"/>
          <w:szCs w:val="24"/>
        </w:rPr>
        <w:t>THE PENNSYLVANIA PANEL 2010–2014</w:t>
      </w:r>
      <w:r w:rsidRPr="00482883">
        <w:rPr>
          <w:rFonts w:eastAsia="Calibri" w:cs="Arial"/>
          <w:szCs w:val="24"/>
        </w:rPr>
        <w:tab/>
        <w:t>643</w:t>
      </w:r>
    </w:p>
    <w:p w:rsidR="00B131F4" w:rsidRDefault="00B131F4">
      <w:pPr>
        <w:spacing w:after="0"/>
        <w:jc w:val="left"/>
        <w:rPr>
          <w:rFonts w:ascii="Arial Bold" w:hAnsi="Arial Bold"/>
        </w:rPr>
      </w:pPr>
    </w:p>
    <w:p w:rsidR="00133BC1" w:rsidRDefault="00133BC1">
      <w:pPr>
        <w:spacing w:after="0"/>
        <w:jc w:val="left"/>
        <w:rPr>
          <w:rFonts w:ascii="Arial Bold" w:hAnsi="Arial Bold"/>
          <w:b/>
          <w:caps/>
        </w:rPr>
      </w:pPr>
      <w:r>
        <w:rPr>
          <w:rFonts w:ascii="Arial Bold" w:hAnsi="Arial Bold"/>
          <w:b/>
          <w:caps/>
        </w:rPr>
        <w:br w:type="page"/>
      </w:r>
    </w:p>
    <w:p w:rsidR="0047051E" w:rsidRPr="00133BC1" w:rsidRDefault="00133BC1" w:rsidP="00133BC1">
      <w:pPr>
        <w:jc w:val="center"/>
        <w:rPr>
          <w:b/>
          <w:sz w:val="28"/>
          <w:szCs w:val="28"/>
        </w:rPr>
      </w:pPr>
      <w:r w:rsidRPr="00133BC1">
        <w:rPr>
          <w:b/>
          <w:sz w:val="28"/>
          <w:szCs w:val="28"/>
        </w:rPr>
        <w:lastRenderedPageBreak/>
        <w:t>TABLE OF EXHIBITS</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w:t>
      </w:r>
      <w:r w:rsidR="00872971">
        <w:rPr>
          <w:rFonts w:eastAsia="Calibri" w:cs="Arial"/>
          <w:szCs w:val="24"/>
        </w:rPr>
        <w:t>-</w:t>
      </w:r>
      <w:r w:rsidRPr="009A2FB5">
        <w:rPr>
          <w:rFonts w:eastAsia="Calibri" w:cs="Arial"/>
          <w:szCs w:val="24"/>
        </w:rPr>
        <w:t xml:space="preserve">1 </w:t>
      </w:r>
      <w:r w:rsidRPr="009A2FB5">
        <w:rPr>
          <w:rFonts w:eastAsia="Calibri" w:cs="Arial"/>
          <w:szCs w:val="24"/>
        </w:rPr>
        <w:tab/>
        <w:t>V&amp;A Four Step Approach and Phase I and II Work Plans</w:t>
      </w:r>
      <w:r w:rsidRPr="009A2FB5">
        <w:rPr>
          <w:rFonts w:eastAsia="Calibri" w:cs="Arial"/>
          <w:szCs w:val="24"/>
        </w:rPr>
        <w:tab/>
        <w:t>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w:t>
      </w:r>
      <w:r w:rsidR="00872971">
        <w:rPr>
          <w:rFonts w:eastAsia="Calibri" w:cs="Arial"/>
          <w:szCs w:val="24"/>
        </w:rPr>
        <w:t>-</w:t>
      </w:r>
      <w:r w:rsidRPr="009A2FB5">
        <w:rPr>
          <w:rFonts w:eastAsia="Calibri" w:cs="Arial"/>
          <w:szCs w:val="24"/>
        </w:rPr>
        <w:t xml:space="preserve">2 </w:t>
      </w:r>
      <w:r w:rsidRPr="009A2FB5">
        <w:rPr>
          <w:rFonts w:eastAsia="Calibri" w:cs="Arial"/>
          <w:szCs w:val="24"/>
        </w:rPr>
        <w:tab/>
        <w:t>Evaluative Ratings</w:t>
      </w:r>
      <w:r w:rsidRPr="009A2FB5">
        <w:rPr>
          <w:rFonts w:eastAsia="Calibri" w:cs="Arial"/>
          <w:szCs w:val="24"/>
        </w:rPr>
        <w:tab/>
        <w:t>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w:t>
      </w:r>
      <w:r w:rsidR="00872971">
        <w:rPr>
          <w:rFonts w:eastAsia="Calibri" w:cs="Arial"/>
          <w:szCs w:val="24"/>
        </w:rPr>
        <w:t>-</w:t>
      </w:r>
      <w:r w:rsidRPr="009A2FB5">
        <w:rPr>
          <w:rFonts w:eastAsia="Calibri" w:cs="Arial"/>
          <w:szCs w:val="24"/>
        </w:rPr>
        <w:t xml:space="preserve">3 </w:t>
      </w:r>
      <w:r w:rsidRPr="009A2FB5">
        <w:rPr>
          <w:rFonts w:eastAsia="Calibri" w:cs="Arial"/>
          <w:szCs w:val="24"/>
        </w:rPr>
        <w:tab/>
        <w:t>Findings and Recommendations Summary</w:t>
      </w:r>
      <w:r w:rsidRPr="009A2FB5">
        <w:rPr>
          <w:rFonts w:eastAsia="Calibri" w:cs="Arial"/>
          <w:szCs w:val="24"/>
        </w:rPr>
        <w:tab/>
        <w:t>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w:t>
      </w:r>
      <w:r w:rsidR="00872971">
        <w:rPr>
          <w:rFonts w:eastAsia="Calibri" w:cs="Arial"/>
          <w:szCs w:val="24"/>
        </w:rPr>
        <w:t>-</w:t>
      </w:r>
      <w:r w:rsidRPr="009A2FB5">
        <w:rPr>
          <w:rFonts w:eastAsia="Calibri" w:cs="Arial"/>
          <w:szCs w:val="24"/>
        </w:rPr>
        <w:t xml:space="preserve">4 </w:t>
      </w:r>
      <w:r w:rsidRPr="009A2FB5">
        <w:rPr>
          <w:rFonts w:eastAsia="Calibri" w:cs="Arial"/>
          <w:szCs w:val="24"/>
        </w:rPr>
        <w:tab/>
        <w:t>Annual Cost Savings Estimates</w:t>
      </w:r>
      <w:r w:rsidRPr="009A2FB5">
        <w:rPr>
          <w:rFonts w:eastAsia="Calibri" w:cs="Arial"/>
          <w:szCs w:val="24"/>
        </w:rPr>
        <w:tab/>
        <w:t>47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Electric Utilities Corporation Organization Chart</w:t>
      </w:r>
      <w:r w:rsidRPr="009A2FB5">
        <w:rPr>
          <w:rFonts w:eastAsia="Calibri" w:cs="Arial"/>
          <w:szCs w:val="24"/>
        </w:rPr>
        <w:tab/>
        <w:t>51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Employee Headcount</w:t>
      </w:r>
      <w:r w:rsidRPr="009A2FB5">
        <w:rPr>
          <w:rFonts w:eastAsia="Calibri" w:cs="Arial"/>
          <w:szCs w:val="24"/>
        </w:rPr>
        <w:tab/>
        <w:t>53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EU Transmission Capital Spending 2011–2015</w:t>
      </w:r>
      <w:r w:rsidRPr="009A2FB5">
        <w:rPr>
          <w:rFonts w:eastAsia="Calibri" w:cs="Arial"/>
          <w:szCs w:val="24"/>
        </w:rPr>
        <w:tab/>
        <w:t>55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4 </w:t>
      </w:r>
      <w:r w:rsidRPr="009A2FB5">
        <w:rPr>
          <w:rFonts w:eastAsia="Calibri" w:cs="Arial"/>
          <w:szCs w:val="24"/>
        </w:rPr>
        <w:tab/>
        <w:t xml:space="preserve">PPL EU Projected Transmission and Substations Capital </w:t>
      </w:r>
      <w:r w:rsidR="00FB46BF">
        <w:rPr>
          <w:rFonts w:eastAsia="Calibri" w:cs="Arial"/>
          <w:szCs w:val="24"/>
        </w:rPr>
        <w:br/>
      </w:r>
      <w:r w:rsidRPr="009A2FB5">
        <w:rPr>
          <w:rFonts w:eastAsia="Calibri" w:cs="Arial"/>
          <w:szCs w:val="24"/>
        </w:rPr>
        <w:t>Investment (2016-2020)</w:t>
      </w:r>
      <w:r w:rsidRPr="009A2FB5">
        <w:rPr>
          <w:rFonts w:eastAsia="Calibri" w:cs="Arial"/>
          <w:szCs w:val="24"/>
        </w:rPr>
        <w:tab/>
        <w:t>56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5 </w:t>
      </w:r>
      <w:r w:rsidRPr="009A2FB5">
        <w:rPr>
          <w:rFonts w:eastAsia="Calibri" w:cs="Arial"/>
          <w:szCs w:val="24"/>
        </w:rPr>
        <w:tab/>
        <w:t>PPL EU Distribution Capital Spending 2011–2015</w:t>
      </w:r>
      <w:r w:rsidRPr="009A2FB5">
        <w:rPr>
          <w:rFonts w:eastAsia="Calibri" w:cs="Arial"/>
          <w:szCs w:val="24"/>
        </w:rPr>
        <w:tab/>
        <w:t>56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6 </w:t>
      </w:r>
      <w:r w:rsidRPr="009A2FB5">
        <w:rPr>
          <w:rFonts w:eastAsia="Calibri" w:cs="Arial"/>
          <w:szCs w:val="24"/>
        </w:rPr>
        <w:tab/>
        <w:t>PPL EU Projected Distribution Capital Investment (2016–2020)</w:t>
      </w:r>
      <w:r w:rsidRPr="009A2FB5">
        <w:rPr>
          <w:rFonts w:eastAsia="Calibri" w:cs="Arial"/>
          <w:szCs w:val="24"/>
        </w:rPr>
        <w:tab/>
        <w:t>56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7 </w:t>
      </w:r>
      <w:r w:rsidRPr="009A2FB5">
        <w:rPr>
          <w:rFonts w:eastAsia="Calibri" w:cs="Arial"/>
          <w:szCs w:val="24"/>
        </w:rPr>
        <w:tab/>
        <w:t>PPL EU Financial Results (2011–2015) ($ millions, except gigawatt hours sold)</w:t>
      </w:r>
      <w:r w:rsidRPr="009A2FB5">
        <w:rPr>
          <w:rFonts w:eastAsia="Calibri" w:cs="Arial"/>
          <w:szCs w:val="24"/>
        </w:rPr>
        <w:tab/>
        <w:t>61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Corporation Principal Subsidiaries</w:t>
      </w:r>
      <w:r w:rsidRPr="009A2FB5">
        <w:rPr>
          <w:rFonts w:eastAsia="Calibri" w:cs="Arial"/>
          <w:szCs w:val="24"/>
        </w:rPr>
        <w:tab/>
        <w:t>62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9 </w:t>
      </w:r>
      <w:r w:rsidRPr="009A2FB5">
        <w:rPr>
          <w:rFonts w:eastAsia="Calibri" w:cs="Arial"/>
          <w:szCs w:val="24"/>
        </w:rPr>
        <w:tab/>
        <w:t>PPL Corporation Financial Results</w:t>
      </w:r>
      <w:r w:rsidRPr="009A2FB5">
        <w:rPr>
          <w:rFonts w:eastAsia="Calibri" w:cs="Arial"/>
          <w:szCs w:val="24"/>
        </w:rPr>
        <w:tab/>
        <w:t>64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10 </w:t>
      </w:r>
      <w:r w:rsidRPr="009A2FB5">
        <w:rPr>
          <w:rFonts w:eastAsia="Calibri" w:cs="Arial"/>
          <w:szCs w:val="24"/>
        </w:rPr>
        <w:tab/>
        <w:t>Comparison of PPL Corporation’s Regulated Segments for 2015</w:t>
      </w:r>
      <w:r w:rsidRPr="009A2FB5">
        <w:rPr>
          <w:rFonts w:eastAsia="Calibri" w:cs="Arial"/>
          <w:szCs w:val="24"/>
        </w:rPr>
        <w:tab/>
        <w:t>64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11 </w:t>
      </w:r>
      <w:r w:rsidRPr="009A2FB5">
        <w:rPr>
          <w:rFonts w:eastAsia="Calibri" w:cs="Arial"/>
          <w:szCs w:val="24"/>
        </w:rPr>
        <w:tab/>
        <w:t>PPL Services Corporation Organization Chart</w:t>
      </w:r>
      <w:r w:rsidRPr="009A2FB5">
        <w:rPr>
          <w:rFonts w:eastAsia="Calibri" w:cs="Arial"/>
          <w:szCs w:val="24"/>
        </w:rPr>
        <w:tab/>
        <w:t>65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12 </w:t>
      </w:r>
      <w:r w:rsidRPr="009A2FB5">
        <w:rPr>
          <w:rFonts w:eastAsia="Calibri" w:cs="Arial"/>
          <w:szCs w:val="24"/>
        </w:rPr>
        <w:tab/>
        <w:t>PPL Energy Supply, LLC Generation Assets in Talen Transaction</w:t>
      </w:r>
      <w:r w:rsidRPr="009A2FB5">
        <w:rPr>
          <w:rFonts w:eastAsia="Calibri" w:cs="Arial"/>
          <w:szCs w:val="24"/>
        </w:rPr>
        <w:tab/>
        <w:t>69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13 </w:t>
      </w:r>
      <w:r w:rsidRPr="009A2FB5">
        <w:rPr>
          <w:rFonts w:eastAsia="Calibri" w:cs="Arial"/>
          <w:szCs w:val="24"/>
        </w:rPr>
        <w:tab/>
        <w:t>PPL EU Operating Expenses (2011</w:t>
      </w:r>
      <w:r w:rsidR="00FB46BF">
        <w:rPr>
          <w:rFonts w:eastAsia="Calibri" w:cs="Arial"/>
          <w:szCs w:val="24"/>
        </w:rPr>
        <w:t>–</w:t>
      </w:r>
      <w:r w:rsidRPr="009A2FB5">
        <w:rPr>
          <w:rFonts w:eastAsia="Calibri" w:cs="Arial"/>
          <w:szCs w:val="24"/>
        </w:rPr>
        <w:t>2015)</w:t>
      </w:r>
      <w:r w:rsidRPr="009A2FB5">
        <w:rPr>
          <w:rFonts w:eastAsia="Calibri" w:cs="Arial"/>
          <w:szCs w:val="24"/>
        </w:rPr>
        <w:tab/>
        <w:t>75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14 </w:t>
      </w:r>
      <w:r w:rsidRPr="009A2FB5">
        <w:rPr>
          <w:rFonts w:eastAsia="Calibri" w:cs="Arial"/>
          <w:szCs w:val="24"/>
        </w:rPr>
        <w:tab/>
        <w:t>OSHA Related Accident Trends 2011–2014</w:t>
      </w:r>
      <w:r w:rsidRPr="009A2FB5">
        <w:rPr>
          <w:rFonts w:eastAsia="Calibri" w:cs="Arial"/>
          <w:szCs w:val="24"/>
        </w:rPr>
        <w:tab/>
        <w:t>76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w:t>
      </w:r>
      <w:r w:rsidR="00872971">
        <w:rPr>
          <w:rFonts w:eastAsia="Calibri" w:cs="Arial"/>
          <w:szCs w:val="24"/>
        </w:rPr>
        <w:t>-</w:t>
      </w:r>
      <w:r w:rsidRPr="009A2FB5">
        <w:rPr>
          <w:rFonts w:eastAsia="Calibri" w:cs="Arial"/>
          <w:szCs w:val="24"/>
        </w:rPr>
        <w:t xml:space="preserve">15 </w:t>
      </w:r>
      <w:r w:rsidRPr="009A2FB5">
        <w:rPr>
          <w:rFonts w:eastAsia="Calibri" w:cs="Arial"/>
          <w:szCs w:val="24"/>
        </w:rPr>
        <w:tab/>
        <w:t>DART Safety Targets and Performance for 2015 and 2016</w:t>
      </w:r>
      <w:r w:rsidRPr="009A2FB5">
        <w:rPr>
          <w:rFonts w:eastAsia="Calibri" w:cs="Arial"/>
          <w:szCs w:val="24"/>
        </w:rPr>
        <w:tab/>
        <w:t>77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III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Corporation Board Member Experience</w:t>
      </w:r>
      <w:r w:rsidRPr="009A2FB5">
        <w:rPr>
          <w:rFonts w:eastAsia="Calibri" w:cs="Arial"/>
          <w:szCs w:val="24"/>
        </w:rPr>
        <w:tab/>
        <w:t>97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III</w:t>
      </w:r>
      <w:r w:rsidR="00872971">
        <w:rPr>
          <w:rFonts w:eastAsia="Calibri" w:cs="Arial"/>
          <w:szCs w:val="24"/>
        </w:rPr>
        <w:t>-</w:t>
      </w:r>
      <w:r w:rsidRPr="009A2FB5">
        <w:rPr>
          <w:rFonts w:eastAsia="Calibri" w:cs="Arial"/>
          <w:szCs w:val="24"/>
        </w:rPr>
        <w:t xml:space="preserve">2 </w:t>
      </w:r>
      <w:r w:rsidRPr="009A2FB5">
        <w:rPr>
          <w:rFonts w:eastAsia="Calibri" w:cs="Arial"/>
          <w:szCs w:val="24"/>
        </w:rPr>
        <w:tab/>
        <w:t xml:space="preserve">Members of the Board of Directors or Managers (B) and </w:t>
      </w:r>
      <w:r w:rsidR="00872971">
        <w:rPr>
          <w:rFonts w:eastAsia="Calibri" w:cs="Arial"/>
          <w:szCs w:val="24"/>
        </w:rPr>
        <w:br/>
      </w:r>
      <w:r w:rsidRPr="009A2FB5">
        <w:rPr>
          <w:rFonts w:eastAsia="Calibri" w:cs="Arial"/>
          <w:szCs w:val="24"/>
        </w:rPr>
        <w:t>Officers (O) for PPL EU and Each of PPL EU’s Affiliates</w:t>
      </w:r>
      <w:r w:rsidRPr="009A2FB5">
        <w:rPr>
          <w:rFonts w:eastAsia="Calibri" w:cs="Arial"/>
          <w:szCs w:val="24"/>
        </w:rPr>
        <w:tab/>
        <w:t>99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Corporation Legal Entity Structure</w:t>
      </w:r>
      <w:r w:rsidRPr="009A2FB5">
        <w:rPr>
          <w:rFonts w:eastAsia="Calibri" w:cs="Arial"/>
          <w:szCs w:val="24"/>
        </w:rPr>
        <w:tab/>
        <w:t>110</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2 </w:t>
      </w:r>
      <w:r w:rsidRPr="009A2FB5">
        <w:rPr>
          <w:rFonts w:eastAsia="Calibri" w:cs="Arial"/>
          <w:szCs w:val="24"/>
        </w:rPr>
        <w:tab/>
        <w:t xml:space="preserve">Members of the Board of Directors or Managers (B) and </w:t>
      </w:r>
      <w:r w:rsidR="00872971">
        <w:rPr>
          <w:rFonts w:eastAsia="Calibri" w:cs="Arial"/>
          <w:szCs w:val="24"/>
        </w:rPr>
        <w:br/>
      </w:r>
      <w:r w:rsidRPr="009A2FB5">
        <w:rPr>
          <w:rFonts w:eastAsia="Calibri" w:cs="Arial"/>
          <w:szCs w:val="24"/>
        </w:rPr>
        <w:t>Officers (O) for PPL EU and Each of PPL EU’s Affiliates</w:t>
      </w:r>
      <w:r w:rsidRPr="009A2FB5">
        <w:rPr>
          <w:rFonts w:eastAsia="Calibri" w:cs="Arial"/>
          <w:szCs w:val="24"/>
        </w:rPr>
        <w:tab/>
        <w:t>123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3 </w:t>
      </w:r>
      <w:r w:rsidRPr="009A2FB5">
        <w:rPr>
          <w:rFonts w:eastAsia="Calibri" w:cs="Arial"/>
          <w:szCs w:val="24"/>
        </w:rPr>
        <w:tab/>
        <w:t>2012 PPL SC Costs Allocated to PPL EU</w:t>
      </w:r>
      <w:r w:rsidRPr="009A2FB5">
        <w:rPr>
          <w:rFonts w:eastAsia="Calibri" w:cs="Arial"/>
          <w:szCs w:val="24"/>
        </w:rPr>
        <w:tab/>
        <w:t>126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4 </w:t>
      </w:r>
      <w:r w:rsidRPr="009A2FB5">
        <w:rPr>
          <w:rFonts w:eastAsia="Calibri" w:cs="Arial"/>
          <w:szCs w:val="24"/>
        </w:rPr>
        <w:tab/>
        <w:t>2013 PPL SC Costs Allocated to PPL EU</w:t>
      </w:r>
      <w:r w:rsidRPr="009A2FB5">
        <w:rPr>
          <w:rFonts w:eastAsia="Calibri" w:cs="Arial"/>
          <w:szCs w:val="24"/>
        </w:rPr>
        <w:tab/>
        <w:t>127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5 </w:t>
      </w:r>
      <w:r w:rsidRPr="009A2FB5">
        <w:rPr>
          <w:rFonts w:eastAsia="Calibri" w:cs="Arial"/>
          <w:szCs w:val="24"/>
        </w:rPr>
        <w:tab/>
        <w:t>2014 PPL SC Costs Allocated to PPL EU</w:t>
      </w:r>
      <w:r w:rsidRPr="009A2FB5">
        <w:rPr>
          <w:rFonts w:eastAsia="Calibri" w:cs="Arial"/>
          <w:szCs w:val="24"/>
        </w:rPr>
        <w:tab/>
        <w:t>127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6 </w:t>
      </w:r>
      <w:r w:rsidRPr="009A2FB5">
        <w:rPr>
          <w:rFonts w:eastAsia="Calibri" w:cs="Arial"/>
          <w:szCs w:val="24"/>
        </w:rPr>
        <w:tab/>
        <w:t>2015 PPL SC Costs Allocated to PPL EU</w:t>
      </w:r>
      <w:r w:rsidRPr="009A2FB5">
        <w:rPr>
          <w:rFonts w:eastAsia="Calibri" w:cs="Arial"/>
          <w:szCs w:val="24"/>
        </w:rPr>
        <w:tab/>
        <w:t>128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7 </w:t>
      </w:r>
      <w:r w:rsidRPr="009A2FB5">
        <w:rPr>
          <w:rFonts w:eastAsia="Calibri" w:cs="Arial"/>
          <w:szCs w:val="24"/>
        </w:rPr>
        <w:tab/>
        <w:t>PPL EU 2015 Payments to PPL EUS</w:t>
      </w:r>
      <w:r w:rsidRPr="009A2FB5">
        <w:rPr>
          <w:rFonts w:eastAsia="Calibri" w:cs="Arial"/>
          <w:szCs w:val="24"/>
        </w:rPr>
        <w:tab/>
        <w:t>128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EU Payments to PPLSolutions by Service</w:t>
      </w:r>
      <w:r w:rsidRPr="009A2FB5">
        <w:rPr>
          <w:rFonts w:eastAsia="Calibri" w:cs="Arial"/>
          <w:szCs w:val="24"/>
        </w:rPr>
        <w:tab/>
        <w:t>129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9 </w:t>
      </w:r>
      <w:r w:rsidRPr="009A2FB5">
        <w:rPr>
          <w:rFonts w:eastAsia="Calibri" w:cs="Arial"/>
          <w:szCs w:val="24"/>
        </w:rPr>
        <w:tab/>
        <w:t>PPL EU Transactions with CEP Commerce</w:t>
      </w:r>
      <w:r w:rsidRPr="009A2FB5">
        <w:rPr>
          <w:rFonts w:eastAsia="Calibri" w:cs="Arial"/>
          <w:szCs w:val="24"/>
        </w:rPr>
        <w:tab/>
        <w:t>129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10 </w:t>
      </w:r>
      <w:r w:rsidRPr="009A2FB5">
        <w:rPr>
          <w:rFonts w:eastAsia="Calibri" w:cs="Arial"/>
          <w:szCs w:val="24"/>
        </w:rPr>
        <w:tab/>
        <w:t>PPL EU Charges to Affiliates for Rent</w:t>
      </w:r>
      <w:r w:rsidRPr="009A2FB5">
        <w:rPr>
          <w:rFonts w:eastAsia="Calibri" w:cs="Arial"/>
          <w:szCs w:val="24"/>
        </w:rPr>
        <w:tab/>
        <w:t>130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11 </w:t>
      </w:r>
      <w:r w:rsidRPr="009A2FB5">
        <w:rPr>
          <w:rFonts w:eastAsia="Calibri" w:cs="Arial"/>
          <w:szCs w:val="24"/>
        </w:rPr>
        <w:tab/>
        <w:t>PPL EU Charges to Affiliates for Facilities Services</w:t>
      </w:r>
      <w:r w:rsidRPr="009A2FB5">
        <w:rPr>
          <w:rFonts w:eastAsia="Calibri" w:cs="Arial"/>
          <w:szCs w:val="24"/>
        </w:rPr>
        <w:tab/>
        <w:t>130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12 </w:t>
      </w:r>
      <w:r w:rsidRPr="009A2FB5">
        <w:rPr>
          <w:rFonts w:eastAsia="Calibri" w:cs="Arial"/>
          <w:szCs w:val="24"/>
        </w:rPr>
        <w:tab/>
        <w:t>PPL EU Payments to Affiliate Service Companies</w:t>
      </w:r>
      <w:r w:rsidRPr="009A2FB5">
        <w:rPr>
          <w:rFonts w:eastAsia="Calibri" w:cs="Arial"/>
          <w:szCs w:val="24"/>
        </w:rPr>
        <w:tab/>
        <w:t>131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IV</w:t>
      </w:r>
      <w:r w:rsidR="00872971">
        <w:rPr>
          <w:rFonts w:eastAsia="Calibri" w:cs="Arial"/>
          <w:szCs w:val="24"/>
        </w:rPr>
        <w:t>-</w:t>
      </w:r>
      <w:r w:rsidRPr="009A2FB5">
        <w:rPr>
          <w:rFonts w:eastAsia="Calibri" w:cs="Arial"/>
          <w:szCs w:val="24"/>
        </w:rPr>
        <w:t xml:space="preserve">13 </w:t>
      </w:r>
      <w:r w:rsidRPr="009A2FB5">
        <w:rPr>
          <w:rFonts w:eastAsia="Calibri" w:cs="Arial"/>
          <w:szCs w:val="24"/>
        </w:rPr>
        <w:tab/>
        <w:t>PPL SC Direct and Indirect Charges to PPL EU</w:t>
      </w:r>
      <w:r w:rsidRPr="009A2FB5">
        <w:rPr>
          <w:rFonts w:eastAsia="Calibri" w:cs="Arial"/>
          <w:szCs w:val="24"/>
        </w:rPr>
        <w:tab/>
        <w:t>131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lastRenderedPageBreak/>
        <w:t>Exhibit V</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SC Financial and Corporate Audit Organization Chart</w:t>
      </w:r>
      <w:r w:rsidRPr="009A2FB5">
        <w:rPr>
          <w:rFonts w:eastAsia="Calibri" w:cs="Arial"/>
          <w:szCs w:val="24"/>
        </w:rPr>
        <w:tab/>
        <w:t>164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Long-Term Debt as of December 31, 2014</w:t>
      </w:r>
      <w:r w:rsidRPr="009A2FB5">
        <w:rPr>
          <w:rFonts w:eastAsia="Calibri" w:cs="Arial"/>
          <w:szCs w:val="24"/>
        </w:rPr>
        <w:tab/>
        <w:t>169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Credit Ratings – October 15, 2015</w:t>
      </w:r>
      <w:r w:rsidRPr="009A2FB5">
        <w:rPr>
          <w:rFonts w:eastAsia="Calibri" w:cs="Arial"/>
          <w:szCs w:val="24"/>
        </w:rPr>
        <w:tab/>
        <w:t>170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4 </w:t>
      </w:r>
      <w:r w:rsidRPr="009A2FB5">
        <w:rPr>
          <w:rFonts w:eastAsia="Calibri" w:cs="Arial"/>
          <w:szCs w:val="24"/>
        </w:rPr>
        <w:tab/>
        <w:t>Credit Ratings and Applicable Interest Rates</w:t>
      </w:r>
      <w:r w:rsidRPr="009A2FB5">
        <w:rPr>
          <w:rFonts w:eastAsia="Calibri" w:cs="Arial"/>
          <w:szCs w:val="24"/>
        </w:rPr>
        <w:tab/>
        <w:t>172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5 </w:t>
      </w:r>
      <w:r w:rsidRPr="009A2FB5">
        <w:rPr>
          <w:rFonts w:eastAsia="Calibri" w:cs="Arial"/>
          <w:szCs w:val="24"/>
        </w:rPr>
        <w:tab/>
        <w:t>$300,000,000 Revolving Credit Agreement Commitments</w:t>
      </w:r>
      <w:r w:rsidRPr="009A2FB5">
        <w:rPr>
          <w:rFonts w:eastAsia="Calibri" w:cs="Arial"/>
          <w:szCs w:val="24"/>
        </w:rPr>
        <w:tab/>
        <w:t>173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PPL EU Dividends and PPL Capital Contributions </w:t>
      </w:r>
      <w:proofErr w:type="gramStart"/>
      <w:r w:rsidR="00FB46BF">
        <w:rPr>
          <w:rFonts w:eastAsia="Calibri" w:cs="Arial"/>
          <w:szCs w:val="24"/>
        </w:rPr>
        <w:t>F</w:t>
      </w:r>
      <w:r w:rsidRPr="009A2FB5">
        <w:rPr>
          <w:rFonts w:eastAsia="Calibri" w:cs="Arial"/>
          <w:szCs w:val="24"/>
        </w:rPr>
        <w:t>or</w:t>
      </w:r>
      <w:proofErr w:type="gramEnd"/>
      <w:r w:rsidRPr="009A2FB5">
        <w:rPr>
          <w:rFonts w:eastAsia="Calibri" w:cs="Arial"/>
          <w:szCs w:val="24"/>
        </w:rPr>
        <w:t xml:space="preserve"> the </w:t>
      </w:r>
      <w:r w:rsidR="00FB46BF">
        <w:rPr>
          <w:rFonts w:eastAsia="Calibri" w:cs="Arial"/>
          <w:szCs w:val="24"/>
        </w:rPr>
        <w:t>P</w:t>
      </w:r>
      <w:r w:rsidRPr="009A2FB5">
        <w:rPr>
          <w:rFonts w:eastAsia="Calibri" w:cs="Arial"/>
          <w:szCs w:val="24"/>
        </w:rPr>
        <w:t xml:space="preserve">ast </w:t>
      </w:r>
      <w:r w:rsidR="00872971">
        <w:rPr>
          <w:rFonts w:eastAsia="Calibri" w:cs="Arial"/>
          <w:szCs w:val="24"/>
        </w:rPr>
        <w:br/>
      </w:r>
      <w:r w:rsidR="00FB46BF">
        <w:rPr>
          <w:rFonts w:eastAsia="Calibri" w:cs="Arial"/>
          <w:szCs w:val="24"/>
        </w:rPr>
        <w:t>F</w:t>
      </w:r>
      <w:r w:rsidRPr="009A2FB5">
        <w:rPr>
          <w:rFonts w:eastAsia="Calibri" w:cs="Arial"/>
          <w:szCs w:val="24"/>
        </w:rPr>
        <w:t xml:space="preserve">ive </w:t>
      </w:r>
      <w:r w:rsidR="00FB46BF">
        <w:rPr>
          <w:rFonts w:eastAsia="Calibri" w:cs="Arial"/>
          <w:szCs w:val="24"/>
        </w:rPr>
        <w:t>Y</w:t>
      </w:r>
      <w:r w:rsidRPr="009A2FB5">
        <w:rPr>
          <w:rFonts w:eastAsia="Calibri" w:cs="Arial"/>
          <w:szCs w:val="24"/>
        </w:rPr>
        <w:t>ears (2010–2014)</w:t>
      </w:r>
      <w:r w:rsidRPr="009A2FB5">
        <w:rPr>
          <w:rFonts w:eastAsia="Calibri" w:cs="Arial"/>
          <w:szCs w:val="24"/>
        </w:rPr>
        <w:tab/>
        <w:t>176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7 </w:t>
      </w:r>
      <w:r w:rsidRPr="009A2FB5">
        <w:rPr>
          <w:rFonts w:eastAsia="Calibri" w:cs="Arial"/>
          <w:szCs w:val="24"/>
        </w:rPr>
        <w:tab/>
        <w:t>PPL EUS Finance and Regulatory Affairs Organization Chart</w:t>
      </w:r>
      <w:r w:rsidRPr="009A2FB5">
        <w:rPr>
          <w:rFonts w:eastAsia="Calibri" w:cs="Arial"/>
          <w:szCs w:val="24"/>
        </w:rPr>
        <w:tab/>
        <w:t>179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Electric Customer Rate Riders</w:t>
      </w:r>
      <w:r w:rsidRPr="009A2FB5">
        <w:rPr>
          <w:rFonts w:eastAsia="Calibri" w:cs="Arial"/>
          <w:szCs w:val="24"/>
        </w:rPr>
        <w:tab/>
        <w:t>180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9 </w:t>
      </w:r>
      <w:r w:rsidRPr="009A2FB5">
        <w:rPr>
          <w:rFonts w:eastAsia="Calibri" w:cs="Arial"/>
          <w:szCs w:val="24"/>
        </w:rPr>
        <w:tab/>
        <w:t>Accounting Policies and Procedures</w:t>
      </w:r>
      <w:r w:rsidRPr="009A2FB5">
        <w:rPr>
          <w:rFonts w:eastAsia="Calibri" w:cs="Arial"/>
          <w:szCs w:val="24"/>
        </w:rPr>
        <w:tab/>
        <w:t>184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10 </w:t>
      </w:r>
      <w:r w:rsidRPr="009A2FB5">
        <w:rPr>
          <w:rFonts w:eastAsia="Calibri" w:cs="Arial"/>
          <w:szCs w:val="24"/>
        </w:rPr>
        <w:tab/>
        <w:t>PPL EU Net Payment to PPL Corporation</w:t>
      </w:r>
      <w:r w:rsidRPr="009A2FB5">
        <w:rPr>
          <w:rFonts w:eastAsia="Calibri" w:cs="Arial"/>
          <w:szCs w:val="24"/>
        </w:rPr>
        <w:tab/>
        <w:t>187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w:t>
      </w:r>
      <w:r w:rsidR="00872971">
        <w:rPr>
          <w:rFonts w:eastAsia="Calibri" w:cs="Arial"/>
          <w:szCs w:val="24"/>
        </w:rPr>
        <w:t>-</w:t>
      </w:r>
      <w:r w:rsidRPr="009A2FB5">
        <w:rPr>
          <w:rFonts w:eastAsia="Calibri" w:cs="Arial"/>
          <w:szCs w:val="24"/>
        </w:rPr>
        <w:t xml:space="preserve">11 </w:t>
      </w:r>
      <w:r w:rsidRPr="009A2FB5">
        <w:rPr>
          <w:rFonts w:eastAsia="Calibri" w:cs="Arial"/>
          <w:szCs w:val="24"/>
        </w:rPr>
        <w:tab/>
        <w:t xml:space="preserve">Distribution Aged Completed Construction Not Classified Asset </w:t>
      </w:r>
      <w:r w:rsidR="00872971">
        <w:rPr>
          <w:rFonts w:eastAsia="Calibri" w:cs="Arial"/>
          <w:szCs w:val="24"/>
        </w:rPr>
        <w:br/>
      </w:r>
      <w:r w:rsidRPr="009A2FB5">
        <w:rPr>
          <w:rFonts w:eastAsia="Calibri" w:cs="Arial"/>
          <w:szCs w:val="24"/>
        </w:rPr>
        <w:t>Values as of July 31, 2015</w:t>
      </w:r>
      <w:r w:rsidRPr="009A2FB5">
        <w:rPr>
          <w:rFonts w:eastAsia="Calibri" w:cs="Arial"/>
          <w:szCs w:val="24"/>
        </w:rPr>
        <w:tab/>
        <w:t>188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Electric Utilities Service Territory</w:t>
      </w:r>
      <w:r w:rsidRPr="009A2FB5">
        <w:rPr>
          <w:rFonts w:eastAsia="Calibri" w:cs="Arial"/>
          <w:szCs w:val="24"/>
        </w:rPr>
        <w:tab/>
        <w:t>190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Annual Energy and Demand 2010–2014</w:t>
      </w:r>
      <w:r w:rsidRPr="009A2FB5">
        <w:rPr>
          <w:rFonts w:eastAsia="Calibri" w:cs="Arial"/>
          <w:szCs w:val="24"/>
        </w:rPr>
        <w:tab/>
        <w:t>191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Electric Utilities Organization Structure</w:t>
      </w:r>
      <w:r w:rsidRPr="009A2FB5">
        <w:rPr>
          <w:rFonts w:eastAsia="Calibri" w:cs="Arial"/>
          <w:szCs w:val="24"/>
        </w:rPr>
        <w:tab/>
        <w:t>192</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4 </w:t>
      </w:r>
      <w:r w:rsidRPr="009A2FB5">
        <w:rPr>
          <w:rFonts w:eastAsia="Calibri" w:cs="Arial"/>
          <w:szCs w:val="24"/>
        </w:rPr>
        <w:tab/>
        <w:t xml:space="preserve">PPL EU Transmission and Substations O&amp;M Spending </w:t>
      </w:r>
      <w:r w:rsidR="00872971">
        <w:rPr>
          <w:rFonts w:eastAsia="Calibri" w:cs="Arial"/>
          <w:szCs w:val="24"/>
        </w:rPr>
        <w:br/>
      </w:r>
      <w:r w:rsidRPr="009A2FB5">
        <w:rPr>
          <w:rFonts w:eastAsia="Calibri" w:cs="Arial"/>
          <w:szCs w:val="24"/>
        </w:rPr>
        <w:t>2011–2015</w:t>
      </w:r>
      <w:r w:rsidRPr="009A2FB5">
        <w:rPr>
          <w:rFonts w:eastAsia="Calibri" w:cs="Arial"/>
          <w:szCs w:val="24"/>
        </w:rPr>
        <w:tab/>
        <w:t>193</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5 </w:t>
      </w:r>
      <w:r w:rsidRPr="009A2FB5">
        <w:rPr>
          <w:rFonts w:eastAsia="Calibri" w:cs="Arial"/>
          <w:szCs w:val="24"/>
        </w:rPr>
        <w:tab/>
        <w:t xml:space="preserve">PPL EU Transmission and Substations Capital Spending </w:t>
      </w:r>
      <w:r w:rsidR="00872971">
        <w:rPr>
          <w:rFonts w:eastAsia="Calibri" w:cs="Arial"/>
          <w:szCs w:val="24"/>
        </w:rPr>
        <w:br/>
      </w:r>
      <w:r w:rsidRPr="009A2FB5">
        <w:rPr>
          <w:rFonts w:eastAsia="Calibri" w:cs="Arial"/>
          <w:szCs w:val="24"/>
        </w:rPr>
        <w:t>2011–2015</w:t>
      </w:r>
      <w:r w:rsidRPr="009A2FB5">
        <w:rPr>
          <w:rFonts w:eastAsia="Calibri" w:cs="Arial"/>
          <w:szCs w:val="24"/>
        </w:rPr>
        <w:tab/>
        <w:t>193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6 </w:t>
      </w:r>
      <w:r w:rsidRPr="009A2FB5">
        <w:rPr>
          <w:rFonts w:eastAsia="Calibri" w:cs="Arial"/>
          <w:szCs w:val="24"/>
        </w:rPr>
        <w:tab/>
        <w:t>Transmission and Substations Organization Structure</w:t>
      </w:r>
      <w:r w:rsidRPr="009A2FB5">
        <w:rPr>
          <w:rFonts w:eastAsia="Calibri" w:cs="Arial"/>
          <w:szCs w:val="24"/>
        </w:rPr>
        <w:tab/>
        <w:t>194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7 </w:t>
      </w:r>
      <w:r w:rsidRPr="009A2FB5">
        <w:rPr>
          <w:rFonts w:eastAsia="Calibri" w:cs="Arial"/>
          <w:szCs w:val="24"/>
        </w:rPr>
        <w:tab/>
        <w:t>Asset Management Organization Structure</w:t>
      </w:r>
      <w:r w:rsidRPr="009A2FB5">
        <w:rPr>
          <w:rFonts w:eastAsia="Calibri" w:cs="Arial"/>
          <w:szCs w:val="24"/>
        </w:rPr>
        <w:tab/>
        <w:t>194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8 </w:t>
      </w:r>
      <w:r w:rsidRPr="009A2FB5">
        <w:rPr>
          <w:rFonts w:eastAsia="Calibri" w:cs="Arial"/>
          <w:szCs w:val="24"/>
        </w:rPr>
        <w:tab/>
        <w:t>Engineering Organization Structure</w:t>
      </w:r>
      <w:r w:rsidRPr="009A2FB5">
        <w:rPr>
          <w:rFonts w:eastAsia="Calibri" w:cs="Arial"/>
          <w:szCs w:val="24"/>
        </w:rPr>
        <w:tab/>
        <w:t>198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9 </w:t>
      </w:r>
      <w:r w:rsidRPr="009A2FB5">
        <w:rPr>
          <w:rFonts w:eastAsia="Calibri" w:cs="Arial"/>
          <w:szCs w:val="24"/>
        </w:rPr>
        <w:tab/>
        <w:t>Project Management Organization Structure</w:t>
      </w:r>
      <w:r w:rsidRPr="009A2FB5">
        <w:rPr>
          <w:rFonts w:eastAsia="Calibri" w:cs="Arial"/>
          <w:szCs w:val="24"/>
        </w:rPr>
        <w:tab/>
        <w:t>199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10 </w:t>
      </w:r>
      <w:r w:rsidRPr="009A2FB5">
        <w:rPr>
          <w:rFonts w:eastAsia="Calibri" w:cs="Arial"/>
          <w:szCs w:val="24"/>
        </w:rPr>
        <w:tab/>
        <w:t>Transmission Expansion Organization Structure</w:t>
      </w:r>
      <w:r w:rsidRPr="009A2FB5">
        <w:rPr>
          <w:rFonts w:eastAsia="Calibri" w:cs="Arial"/>
          <w:szCs w:val="24"/>
        </w:rPr>
        <w:tab/>
        <w:t>200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11 </w:t>
      </w:r>
      <w:r w:rsidRPr="009A2FB5">
        <w:rPr>
          <w:rFonts w:eastAsia="Calibri" w:cs="Arial"/>
          <w:szCs w:val="24"/>
        </w:rPr>
        <w:tab/>
        <w:t>Transmission Operations Organization Structure</w:t>
      </w:r>
      <w:r w:rsidRPr="009A2FB5">
        <w:rPr>
          <w:rFonts w:eastAsia="Calibri" w:cs="Arial"/>
          <w:szCs w:val="24"/>
        </w:rPr>
        <w:tab/>
        <w:t>201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12 </w:t>
      </w:r>
      <w:r w:rsidRPr="009A2FB5">
        <w:rPr>
          <w:rFonts w:eastAsia="Calibri" w:cs="Arial"/>
          <w:szCs w:val="24"/>
        </w:rPr>
        <w:tab/>
        <w:t>T&amp;S Reliability Compliance Organization Structure</w:t>
      </w:r>
      <w:r w:rsidRPr="009A2FB5">
        <w:rPr>
          <w:rFonts w:eastAsia="Calibri" w:cs="Arial"/>
          <w:szCs w:val="24"/>
        </w:rPr>
        <w:tab/>
        <w:t>202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13 </w:t>
      </w:r>
      <w:r w:rsidRPr="009A2FB5">
        <w:rPr>
          <w:rFonts w:eastAsia="Calibri" w:cs="Arial"/>
          <w:szCs w:val="24"/>
        </w:rPr>
        <w:tab/>
        <w:t>PPL EU Transmission Reliability 2013</w:t>
      </w:r>
      <w:r w:rsidR="00FB46BF">
        <w:rPr>
          <w:rFonts w:eastAsia="Calibri" w:cs="Arial"/>
          <w:szCs w:val="24"/>
        </w:rPr>
        <w:t>–</w:t>
      </w:r>
      <w:r w:rsidRPr="009A2FB5">
        <w:rPr>
          <w:rFonts w:eastAsia="Calibri" w:cs="Arial"/>
          <w:szCs w:val="24"/>
        </w:rPr>
        <w:t>2015</w:t>
      </w:r>
      <w:r w:rsidRPr="009A2FB5">
        <w:rPr>
          <w:rFonts w:eastAsia="Calibri" w:cs="Arial"/>
          <w:szCs w:val="24"/>
        </w:rPr>
        <w:tab/>
        <w:t>218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14 </w:t>
      </w:r>
      <w:r w:rsidRPr="009A2FB5">
        <w:rPr>
          <w:rFonts w:eastAsia="Calibri" w:cs="Arial"/>
          <w:szCs w:val="24"/>
        </w:rPr>
        <w:tab/>
        <w:t>PPL EU Distribution O&amp;M Spending 2011–2015</w:t>
      </w:r>
      <w:r w:rsidRPr="009A2FB5">
        <w:rPr>
          <w:rFonts w:eastAsia="Calibri" w:cs="Arial"/>
          <w:szCs w:val="24"/>
        </w:rPr>
        <w:tab/>
        <w:t>220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15 </w:t>
      </w:r>
      <w:r w:rsidRPr="009A2FB5">
        <w:rPr>
          <w:rFonts w:eastAsia="Calibri" w:cs="Arial"/>
          <w:szCs w:val="24"/>
        </w:rPr>
        <w:tab/>
        <w:t>PPL EU Distribution Capital Spending 2011–2015</w:t>
      </w:r>
      <w:r w:rsidRPr="009A2FB5">
        <w:rPr>
          <w:rFonts w:eastAsia="Calibri" w:cs="Arial"/>
          <w:szCs w:val="24"/>
        </w:rPr>
        <w:tab/>
        <w:t>220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16 </w:t>
      </w:r>
      <w:r w:rsidRPr="009A2FB5">
        <w:rPr>
          <w:rFonts w:eastAsia="Calibri" w:cs="Arial"/>
          <w:szCs w:val="24"/>
        </w:rPr>
        <w:tab/>
        <w:t>Distribution Operations Organization Structure</w:t>
      </w:r>
      <w:r w:rsidRPr="009A2FB5">
        <w:rPr>
          <w:rFonts w:eastAsia="Calibri" w:cs="Arial"/>
          <w:szCs w:val="24"/>
        </w:rPr>
        <w:tab/>
        <w:t>221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17 </w:t>
      </w:r>
      <w:r w:rsidRPr="009A2FB5">
        <w:rPr>
          <w:rFonts w:eastAsia="Calibri" w:cs="Arial"/>
          <w:szCs w:val="24"/>
        </w:rPr>
        <w:tab/>
        <w:t>Distribution Asset Management Organization Structure</w:t>
      </w:r>
      <w:r w:rsidRPr="009A2FB5">
        <w:rPr>
          <w:rFonts w:eastAsia="Calibri" w:cs="Arial"/>
          <w:szCs w:val="24"/>
        </w:rPr>
        <w:tab/>
        <w:t>222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18 </w:t>
      </w:r>
      <w:r w:rsidRPr="009A2FB5">
        <w:rPr>
          <w:rFonts w:eastAsia="Calibri" w:cs="Arial"/>
          <w:szCs w:val="24"/>
        </w:rPr>
        <w:tab/>
        <w:t>Distribution Engineering Organization Structure</w:t>
      </w:r>
      <w:r w:rsidRPr="009A2FB5">
        <w:rPr>
          <w:rFonts w:eastAsia="Calibri" w:cs="Arial"/>
          <w:szCs w:val="24"/>
        </w:rPr>
        <w:tab/>
        <w:t>223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19 </w:t>
      </w:r>
      <w:r w:rsidRPr="009A2FB5">
        <w:rPr>
          <w:rFonts w:eastAsia="Calibri" w:cs="Arial"/>
          <w:szCs w:val="24"/>
        </w:rPr>
        <w:tab/>
        <w:t>Project &amp; Construction Management Organization Structure</w:t>
      </w:r>
      <w:r w:rsidRPr="009A2FB5">
        <w:rPr>
          <w:rFonts w:eastAsia="Calibri" w:cs="Arial"/>
          <w:szCs w:val="24"/>
        </w:rPr>
        <w:tab/>
        <w:t>226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20 </w:t>
      </w:r>
      <w:r w:rsidRPr="009A2FB5">
        <w:rPr>
          <w:rFonts w:eastAsia="Calibri" w:cs="Arial"/>
          <w:szCs w:val="24"/>
        </w:rPr>
        <w:tab/>
        <w:t>PPL Underground Dig-in Experience 2011–2015</w:t>
      </w:r>
      <w:r w:rsidRPr="009A2FB5">
        <w:rPr>
          <w:rFonts w:eastAsia="Calibri" w:cs="Arial"/>
          <w:szCs w:val="24"/>
        </w:rPr>
        <w:tab/>
        <w:t>227</w:t>
      </w:r>
    </w:p>
    <w:p w:rsidR="009A2FB5" w:rsidRPr="009A2FB5" w:rsidRDefault="009A2FB5" w:rsidP="00FB46BF">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21 </w:t>
      </w:r>
      <w:r w:rsidRPr="009A2FB5">
        <w:rPr>
          <w:rFonts w:eastAsia="Calibri" w:cs="Arial"/>
          <w:szCs w:val="24"/>
        </w:rPr>
        <w:tab/>
        <w:t xml:space="preserve">Lehigh/Northeast Super Region Operations Organization </w:t>
      </w:r>
      <w:r w:rsidR="00FB46BF">
        <w:rPr>
          <w:rFonts w:eastAsia="Calibri" w:cs="Arial"/>
          <w:szCs w:val="24"/>
        </w:rPr>
        <w:br/>
      </w:r>
      <w:r w:rsidRPr="009A2FB5">
        <w:rPr>
          <w:rFonts w:eastAsia="Calibri" w:cs="Arial"/>
          <w:szCs w:val="24"/>
        </w:rPr>
        <w:t>Structure</w:t>
      </w:r>
      <w:r w:rsidRPr="009A2FB5">
        <w:rPr>
          <w:rFonts w:eastAsia="Calibri" w:cs="Arial"/>
          <w:szCs w:val="24"/>
        </w:rPr>
        <w:tab/>
        <w:t>228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22 </w:t>
      </w:r>
      <w:r w:rsidRPr="009A2FB5">
        <w:rPr>
          <w:rFonts w:eastAsia="Calibri" w:cs="Arial"/>
          <w:szCs w:val="24"/>
        </w:rPr>
        <w:tab/>
        <w:t>Operations Organization Structure</w:t>
      </w:r>
      <w:r w:rsidRPr="009A2FB5">
        <w:rPr>
          <w:rFonts w:eastAsia="Calibri" w:cs="Arial"/>
          <w:szCs w:val="24"/>
        </w:rPr>
        <w:tab/>
        <w:t>232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23 </w:t>
      </w:r>
      <w:r w:rsidRPr="009A2FB5">
        <w:rPr>
          <w:rFonts w:eastAsia="Calibri" w:cs="Arial"/>
          <w:szCs w:val="24"/>
        </w:rPr>
        <w:tab/>
        <w:t>PPL EU CAIDI Results 2010–2015</w:t>
      </w:r>
      <w:r w:rsidRPr="009A2FB5">
        <w:rPr>
          <w:rFonts w:eastAsia="Calibri" w:cs="Arial"/>
          <w:szCs w:val="24"/>
        </w:rPr>
        <w:tab/>
        <w:t>245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lastRenderedPageBreak/>
        <w:t>Exhibit VI</w:t>
      </w:r>
      <w:r w:rsidR="00872971">
        <w:rPr>
          <w:rFonts w:eastAsia="Calibri" w:cs="Arial"/>
          <w:szCs w:val="24"/>
        </w:rPr>
        <w:t>-</w:t>
      </w:r>
      <w:r w:rsidRPr="009A2FB5">
        <w:rPr>
          <w:rFonts w:eastAsia="Calibri" w:cs="Arial"/>
          <w:szCs w:val="24"/>
        </w:rPr>
        <w:t xml:space="preserve">24 </w:t>
      </w:r>
      <w:r w:rsidRPr="009A2FB5">
        <w:rPr>
          <w:rFonts w:eastAsia="Calibri" w:cs="Arial"/>
          <w:szCs w:val="24"/>
        </w:rPr>
        <w:tab/>
        <w:t>PPL EU SAIDI Results 2010–2015</w:t>
      </w:r>
      <w:r w:rsidRPr="009A2FB5">
        <w:rPr>
          <w:rFonts w:eastAsia="Calibri" w:cs="Arial"/>
          <w:szCs w:val="24"/>
        </w:rPr>
        <w:tab/>
        <w:t>246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25 </w:t>
      </w:r>
      <w:r w:rsidRPr="009A2FB5">
        <w:rPr>
          <w:rFonts w:eastAsia="Calibri" w:cs="Arial"/>
          <w:szCs w:val="24"/>
        </w:rPr>
        <w:tab/>
        <w:t>PPL EU SAIFI Results 2010–2015</w:t>
      </w:r>
      <w:r w:rsidRPr="009A2FB5">
        <w:rPr>
          <w:rFonts w:eastAsia="Calibri" w:cs="Arial"/>
          <w:szCs w:val="24"/>
        </w:rPr>
        <w:tab/>
        <w:t>247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26 </w:t>
      </w:r>
      <w:r w:rsidRPr="009A2FB5">
        <w:rPr>
          <w:rFonts w:eastAsia="Calibri" w:cs="Arial"/>
          <w:szCs w:val="24"/>
        </w:rPr>
        <w:tab/>
        <w:t>PPL EU Outage Cause Summary 2010–2015</w:t>
      </w:r>
      <w:r w:rsidRPr="009A2FB5">
        <w:rPr>
          <w:rFonts w:eastAsia="Calibri" w:cs="Arial"/>
          <w:szCs w:val="24"/>
        </w:rPr>
        <w:tab/>
        <w:t>248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27 </w:t>
      </w:r>
      <w:r w:rsidRPr="009A2FB5">
        <w:rPr>
          <w:rFonts w:eastAsia="Calibri" w:cs="Arial"/>
          <w:szCs w:val="24"/>
        </w:rPr>
        <w:tab/>
        <w:t>PPL EU CEMI Performance 2010–2015</w:t>
      </w:r>
      <w:r w:rsidRPr="009A2FB5">
        <w:rPr>
          <w:rFonts w:eastAsia="Calibri" w:cs="Arial"/>
          <w:szCs w:val="24"/>
        </w:rPr>
        <w:tab/>
        <w:t>249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w:t>
      </w:r>
      <w:r w:rsidR="00872971">
        <w:rPr>
          <w:rFonts w:eastAsia="Calibri" w:cs="Arial"/>
          <w:szCs w:val="24"/>
        </w:rPr>
        <w:t>-</w:t>
      </w:r>
      <w:r w:rsidRPr="009A2FB5">
        <w:rPr>
          <w:rFonts w:eastAsia="Calibri" w:cs="Arial"/>
          <w:szCs w:val="24"/>
        </w:rPr>
        <w:t xml:space="preserve">28 </w:t>
      </w:r>
      <w:r w:rsidRPr="009A2FB5">
        <w:rPr>
          <w:rFonts w:eastAsia="Calibri" w:cs="Arial"/>
          <w:szCs w:val="24"/>
        </w:rPr>
        <w:tab/>
        <w:t>PPL EU Tree-related Outages 2011–2015</w:t>
      </w:r>
      <w:r w:rsidRPr="009A2FB5">
        <w:rPr>
          <w:rFonts w:eastAsia="Calibri" w:cs="Arial"/>
          <w:szCs w:val="24"/>
        </w:rPr>
        <w:tab/>
        <w:t>251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SC HR Protective Services Organization Structure</w:t>
      </w:r>
      <w:r w:rsidRPr="009A2FB5">
        <w:rPr>
          <w:rFonts w:eastAsia="Calibri" w:cs="Arial"/>
          <w:szCs w:val="24"/>
        </w:rPr>
        <w:tab/>
        <w:t>255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Emergency Preparedness Organization Structure</w:t>
      </w:r>
      <w:r w:rsidRPr="009A2FB5">
        <w:rPr>
          <w:rFonts w:eastAsia="Calibri" w:cs="Arial"/>
          <w:szCs w:val="24"/>
        </w:rPr>
        <w:tab/>
        <w:t>263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EU Reportable Storm Event Summary 2010</w:t>
      </w:r>
      <w:r w:rsidR="00FB46BF">
        <w:rPr>
          <w:rFonts w:eastAsia="Calibri" w:cs="Arial"/>
          <w:szCs w:val="24"/>
        </w:rPr>
        <w:t>–</w:t>
      </w:r>
      <w:r w:rsidRPr="009A2FB5">
        <w:rPr>
          <w:rFonts w:eastAsia="Calibri" w:cs="Arial"/>
          <w:szCs w:val="24"/>
        </w:rPr>
        <w:t>2015</w:t>
      </w:r>
      <w:r w:rsidRPr="009A2FB5">
        <w:rPr>
          <w:rFonts w:eastAsia="Calibri" w:cs="Arial"/>
          <w:szCs w:val="24"/>
        </w:rPr>
        <w:tab/>
        <w:t>269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w:t>
      </w:r>
      <w:r w:rsidR="00872971">
        <w:rPr>
          <w:rFonts w:eastAsia="Calibri" w:cs="Arial"/>
          <w:szCs w:val="24"/>
        </w:rPr>
        <w:t>-</w:t>
      </w:r>
      <w:r w:rsidRPr="009A2FB5">
        <w:rPr>
          <w:rFonts w:eastAsia="Calibri" w:cs="Arial"/>
          <w:szCs w:val="24"/>
        </w:rPr>
        <w:t xml:space="preserve">4 </w:t>
      </w:r>
      <w:r w:rsidRPr="009A2FB5">
        <w:rPr>
          <w:rFonts w:eastAsia="Calibri" w:cs="Arial"/>
          <w:szCs w:val="24"/>
        </w:rPr>
        <w:tab/>
        <w:t>PPL EU Major Storm Events 2010–2015</w:t>
      </w:r>
      <w:r w:rsidRPr="009A2FB5">
        <w:rPr>
          <w:rFonts w:eastAsia="Calibri" w:cs="Arial"/>
          <w:szCs w:val="24"/>
        </w:rPr>
        <w:tab/>
        <w:t>269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w:t>
      </w:r>
      <w:r w:rsidR="00872971">
        <w:rPr>
          <w:rFonts w:eastAsia="Calibri" w:cs="Arial"/>
          <w:szCs w:val="24"/>
        </w:rPr>
        <w:t>-</w:t>
      </w:r>
      <w:r w:rsidRPr="009A2FB5">
        <w:rPr>
          <w:rFonts w:eastAsia="Calibri" w:cs="Arial"/>
          <w:szCs w:val="24"/>
        </w:rPr>
        <w:t xml:space="preserve">5 </w:t>
      </w:r>
      <w:r w:rsidRPr="009A2FB5">
        <w:rPr>
          <w:rFonts w:eastAsia="Calibri" w:cs="Arial"/>
          <w:szCs w:val="24"/>
        </w:rPr>
        <w:tab/>
        <w:t>PPL SC Information Assurance Group Organization Structure</w:t>
      </w:r>
      <w:r w:rsidRPr="009A2FB5">
        <w:rPr>
          <w:rFonts w:eastAsia="Calibri" w:cs="Arial"/>
          <w:szCs w:val="24"/>
        </w:rPr>
        <w:tab/>
        <w:t>273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 </w:t>
      </w:r>
      <w:r w:rsidRPr="009A2FB5">
        <w:rPr>
          <w:rFonts w:eastAsia="Calibri" w:cs="Arial"/>
          <w:szCs w:val="24"/>
        </w:rPr>
        <w:tab/>
        <w:t>Technical Development and Improvement Organization Structure</w:t>
      </w:r>
      <w:r w:rsidRPr="009A2FB5">
        <w:rPr>
          <w:rFonts w:eastAsia="Calibri" w:cs="Arial"/>
          <w:szCs w:val="24"/>
        </w:rPr>
        <w:tab/>
        <w:t>282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DART Performance 2011–2015)</w:t>
      </w:r>
      <w:r w:rsidRPr="009A2FB5">
        <w:rPr>
          <w:rFonts w:eastAsia="Calibri" w:cs="Arial"/>
          <w:szCs w:val="24"/>
        </w:rPr>
        <w:tab/>
        <w:t>287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EU Contractor DART Performance 2011–2015</w:t>
      </w:r>
      <w:r w:rsidRPr="009A2FB5">
        <w:rPr>
          <w:rFonts w:eastAsia="Calibri" w:cs="Arial"/>
          <w:szCs w:val="24"/>
        </w:rPr>
        <w:tab/>
        <w:t>288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4 </w:t>
      </w:r>
      <w:r w:rsidRPr="009A2FB5">
        <w:rPr>
          <w:rFonts w:eastAsia="Calibri" w:cs="Arial"/>
          <w:szCs w:val="24"/>
        </w:rPr>
        <w:tab/>
        <w:t>PPL EU Motor Vehicle Accident Rate 2011–2015</w:t>
      </w:r>
      <w:r w:rsidRPr="009A2FB5">
        <w:rPr>
          <w:rFonts w:eastAsia="Calibri" w:cs="Arial"/>
          <w:szCs w:val="24"/>
        </w:rPr>
        <w:tab/>
        <w:t>288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5 </w:t>
      </w:r>
      <w:r w:rsidRPr="009A2FB5">
        <w:rPr>
          <w:rFonts w:eastAsia="Calibri" w:cs="Arial"/>
          <w:szCs w:val="24"/>
        </w:rPr>
        <w:tab/>
        <w:t>Supply Chain Organization Structure</w:t>
      </w:r>
      <w:r w:rsidRPr="009A2FB5">
        <w:rPr>
          <w:rFonts w:eastAsia="Calibri" w:cs="Arial"/>
          <w:szCs w:val="24"/>
        </w:rPr>
        <w:tab/>
        <w:t>290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6 </w:t>
      </w:r>
      <w:r w:rsidRPr="009A2FB5">
        <w:rPr>
          <w:rFonts w:eastAsia="Calibri" w:cs="Arial"/>
          <w:szCs w:val="24"/>
        </w:rPr>
        <w:tab/>
        <w:t>PPL EU Inventory Composition – November 2015</w:t>
      </w:r>
      <w:r w:rsidRPr="009A2FB5">
        <w:rPr>
          <w:rFonts w:eastAsia="Calibri" w:cs="Arial"/>
          <w:szCs w:val="24"/>
        </w:rPr>
        <w:tab/>
        <w:t>295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7 </w:t>
      </w:r>
      <w:r w:rsidRPr="009A2FB5">
        <w:rPr>
          <w:rFonts w:eastAsia="Calibri" w:cs="Arial"/>
          <w:szCs w:val="24"/>
        </w:rPr>
        <w:tab/>
        <w:t xml:space="preserve">PPL EU Year End Inventory Levels and Annual Turns Ratios </w:t>
      </w:r>
      <w:r w:rsidRPr="009A2FB5">
        <w:rPr>
          <w:rFonts w:eastAsia="Calibri" w:cs="Arial"/>
          <w:szCs w:val="24"/>
        </w:rPr>
        <w:br/>
        <w:t>2011–2015</w:t>
      </w:r>
      <w:r w:rsidRPr="009A2FB5">
        <w:rPr>
          <w:rFonts w:eastAsia="Calibri" w:cs="Arial"/>
          <w:szCs w:val="24"/>
        </w:rPr>
        <w:tab/>
        <w:t>297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EU Annual Issues and Returns 2011–2015</w:t>
      </w:r>
      <w:r w:rsidRPr="009A2FB5">
        <w:rPr>
          <w:rFonts w:eastAsia="Calibri" w:cs="Arial"/>
          <w:szCs w:val="24"/>
        </w:rPr>
        <w:tab/>
        <w:t>298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9 </w:t>
      </w:r>
      <w:r w:rsidRPr="009A2FB5">
        <w:rPr>
          <w:rFonts w:eastAsia="Calibri" w:cs="Arial"/>
          <w:szCs w:val="24"/>
        </w:rPr>
        <w:tab/>
        <w:t>PPL EU Annual Cycle Count Accuracy 2011–2014</w:t>
      </w:r>
      <w:r w:rsidRPr="009A2FB5">
        <w:rPr>
          <w:rFonts w:eastAsia="Calibri" w:cs="Arial"/>
          <w:szCs w:val="24"/>
        </w:rPr>
        <w:tab/>
        <w:t>298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10 </w:t>
      </w:r>
      <w:r w:rsidRPr="009A2FB5">
        <w:rPr>
          <w:rFonts w:eastAsia="Calibri" w:cs="Arial"/>
          <w:szCs w:val="24"/>
        </w:rPr>
        <w:tab/>
        <w:t>Transportation Services Organization Structure</w:t>
      </w:r>
      <w:r w:rsidRPr="009A2FB5">
        <w:rPr>
          <w:rFonts w:eastAsia="Calibri" w:cs="Arial"/>
          <w:szCs w:val="24"/>
        </w:rPr>
        <w:tab/>
        <w:t>300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11 </w:t>
      </w:r>
      <w:r w:rsidRPr="009A2FB5">
        <w:rPr>
          <w:rFonts w:eastAsia="Calibri" w:cs="Arial"/>
          <w:szCs w:val="24"/>
        </w:rPr>
        <w:tab/>
        <w:t>PPL EU Annual Fleet O&amp;M Spending 2011–2015</w:t>
      </w:r>
      <w:r w:rsidRPr="009A2FB5">
        <w:rPr>
          <w:rFonts w:eastAsia="Calibri" w:cs="Arial"/>
          <w:szCs w:val="24"/>
        </w:rPr>
        <w:tab/>
        <w:t>302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12 </w:t>
      </w:r>
      <w:r w:rsidRPr="009A2FB5">
        <w:rPr>
          <w:rFonts w:eastAsia="Calibri" w:cs="Arial"/>
          <w:szCs w:val="24"/>
        </w:rPr>
        <w:tab/>
        <w:t>PPL EU Vehicle Replacement Age Triggers</w:t>
      </w:r>
      <w:r w:rsidRPr="009A2FB5">
        <w:rPr>
          <w:rFonts w:eastAsia="Calibri" w:cs="Arial"/>
          <w:szCs w:val="24"/>
        </w:rPr>
        <w:tab/>
        <w:t>303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13 </w:t>
      </w:r>
      <w:r w:rsidRPr="009A2FB5">
        <w:rPr>
          <w:rFonts w:eastAsia="Calibri" w:cs="Arial"/>
          <w:szCs w:val="24"/>
        </w:rPr>
        <w:tab/>
        <w:t>PPL EU Vehicle Capital Spending 2010–2015 ($ millions)</w:t>
      </w:r>
      <w:r w:rsidRPr="009A2FB5">
        <w:rPr>
          <w:rFonts w:eastAsia="Calibri" w:cs="Arial"/>
          <w:szCs w:val="24"/>
        </w:rPr>
        <w:tab/>
        <w:t>304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14 </w:t>
      </w:r>
      <w:r w:rsidRPr="009A2FB5">
        <w:rPr>
          <w:rFonts w:eastAsia="Calibri" w:cs="Arial"/>
          <w:szCs w:val="24"/>
        </w:rPr>
        <w:tab/>
        <w:t>PPL EU Fleet Availability 2011–2015</w:t>
      </w:r>
      <w:r w:rsidRPr="009A2FB5">
        <w:rPr>
          <w:rFonts w:eastAsia="Calibri" w:cs="Arial"/>
          <w:szCs w:val="24"/>
        </w:rPr>
        <w:tab/>
        <w:t>306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VIII</w:t>
      </w:r>
      <w:r w:rsidR="00872971">
        <w:rPr>
          <w:rFonts w:eastAsia="Calibri" w:cs="Arial"/>
          <w:szCs w:val="24"/>
        </w:rPr>
        <w:t>-</w:t>
      </w:r>
      <w:r w:rsidRPr="009A2FB5">
        <w:rPr>
          <w:rFonts w:eastAsia="Calibri" w:cs="Arial"/>
          <w:szCs w:val="24"/>
        </w:rPr>
        <w:t xml:space="preserve">15 </w:t>
      </w:r>
      <w:r w:rsidRPr="009A2FB5">
        <w:rPr>
          <w:rFonts w:eastAsia="Calibri" w:cs="Arial"/>
          <w:szCs w:val="24"/>
        </w:rPr>
        <w:tab/>
        <w:t>PPL EU Fleet Age 2010–2015</w:t>
      </w:r>
      <w:r w:rsidRPr="009A2FB5">
        <w:rPr>
          <w:rFonts w:eastAsia="Calibri" w:cs="Arial"/>
          <w:szCs w:val="24"/>
        </w:rPr>
        <w:tab/>
        <w:t>307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EU Customer Services Organization</w:t>
      </w:r>
      <w:r w:rsidRPr="009A2FB5">
        <w:rPr>
          <w:rFonts w:eastAsia="Calibri" w:cs="Arial"/>
          <w:szCs w:val="24"/>
        </w:rPr>
        <w:tab/>
        <w:t>308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 </w:t>
      </w:r>
      <w:r w:rsidRPr="009A2FB5">
        <w:rPr>
          <w:rFonts w:eastAsia="Calibri" w:cs="Arial"/>
          <w:szCs w:val="24"/>
        </w:rPr>
        <w:tab/>
        <w:t>Customer Services DART Rate and Count</w:t>
      </w:r>
      <w:r w:rsidRPr="009A2FB5">
        <w:rPr>
          <w:rFonts w:eastAsia="Calibri" w:cs="Arial"/>
          <w:szCs w:val="24"/>
        </w:rPr>
        <w:tab/>
        <w:t>312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3 </w:t>
      </w:r>
      <w:r w:rsidRPr="009A2FB5">
        <w:rPr>
          <w:rFonts w:eastAsia="Calibri" w:cs="Arial"/>
          <w:szCs w:val="24"/>
        </w:rPr>
        <w:tab/>
        <w:t>Customer Experience Organization</w:t>
      </w:r>
      <w:r w:rsidRPr="009A2FB5">
        <w:rPr>
          <w:rFonts w:eastAsia="Calibri" w:cs="Arial"/>
          <w:szCs w:val="24"/>
        </w:rPr>
        <w:tab/>
        <w:t>314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4 </w:t>
      </w:r>
      <w:r w:rsidRPr="009A2FB5">
        <w:rPr>
          <w:rFonts w:eastAsia="Calibri" w:cs="Arial"/>
          <w:szCs w:val="24"/>
        </w:rPr>
        <w:tab/>
        <w:t>Energy Efficiency Evaluation and Performance</w:t>
      </w:r>
      <w:r w:rsidRPr="009A2FB5">
        <w:rPr>
          <w:rFonts w:eastAsia="Calibri" w:cs="Arial"/>
          <w:szCs w:val="24"/>
        </w:rPr>
        <w:tab/>
        <w:t>321</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5 </w:t>
      </w:r>
      <w:r w:rsidRPr="009A2FB5">
        <w:rPr>
          <w:rFonts w:eastAsia="Calibri" w:cs="Arial"/>
          <w:szCs w:val="24"/>
        </w:rPr>
        <w:tab/>
        <w:t xml:space="preserve">CCC Handled Contact Volume by Channel (Excludes </w:t>
      </w:r>
      <w:r w:rsidR="00872971">
        <w:rPr>
          <w:rFonts w:eastAsia="Calibri" w:cs="Arial"/>
          <w:szCs w:val="24"/>
        </w:rPr>
        <w:br/>
      </w:r>
      <w:r w:rsidRPr="009A2FB5">
        <w:rPr>
          <w:rFonts w:eastAsia="Calibri" w:cs="Arial"/>
          <w:szCs w:val="24"/>
        </w:rPr>
        <w:t>Outage-Related)</w:t>
      </w:r>
      <w:r w:rsidRPr="009A2FB5">
        <w:rPr>
          <w:rFonts w:eastAsia="Calibri" w:cs="Arial"/>
          <w:szCs w:val="24"/>
        </w:rPr>
        <w:tab/>
        <w:t>325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PPL EU Energy Efficiency and Conservation Plan MWh Saved </w:t>
      </w:r>
      <w:r w:rsidR="00872971">
        <w:rPr>
          <w:rFonts w:eastAsia="Calibri" w:cs="Arial"/>
          <w:szCs w:val="24"/>
        </w:rPr>
        <w:br/>
      </w:r>
      <w:r w:rsidRPr="009A2FB5">
        <w:rPr>
          <w:rFonts w:eastAsia="Calibri" w:cs="Arial"/>
          <w:szCs w:val="24"/>
        </w:rPr>
        <w:t>Annually</w:t>
      </w:r>
      <w:r w:rsidRPr="009A2FB5">
        <w:rPr>
          <w:rFonts w:eastAsia="Calibri" w:cs="Arial"/>
          <w:szCs w:val="24"/>
        </w:rPr>
        <w:tab/>
        <w:t>329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7 </w:t>
      </w:r>
      <w:r w:rsidRPr="009A2FB5">
        <w:rPr>
          <w:rFonts w:eastAsia="Calibri" w:cs="Arial"/>
          <w:szCs w:val="24"/>
        </w:rPr>
        <w:tab/>
        <w:t>Customer Services Operations Organization</w:t>
      </w:r>
      <w:r w:rsidRPr="009A2FB5">
        <w:rPr>
          <w:rFonts w:eastAsia="Calibri" w:cs="Arial"/>
          <w:szCs w:val="24"/>
        </w:rPr>
        <w:tab/>
        <w:t>333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8 </w:t>
      </w:r>
      <w:r w:rsidRPr="009A2FB5">
        <w:rPr>
          <w:rFonts w:eastAsia="Calibri" w:cs="Arial"/>
          <w:szCs w:val="24"/>
        </w:rPr>
        <w:tab/>
        <w:t>Service Levels (with IVR)</w:t>
      </w:r>
      <w:r w:rsidRPr="009A2FB5">
        <w:rPr>
          <w:rFonts w:eastAsia="Calibri" w:cs="Arial"/>
          <w:szCs w:val="24"/>
        </w:rPr>
        <w:tab/>
        <w:t>334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9 </w:t>
      </w:r>
      <w:r w:rsidRPr="009A2FB5">
        <w:rPr>
          <w:rFonts w:eastAsia="Calibri" w:cs="Arial"/>
          <w:szCs w:val="24"/>
        </w:rPr>
        <w:tab/>
        <w:t>First Call Resolution</w:t>
      </w:r>
      <w:r w:rsidRPr="009A2FB5">
        <w:rPr>
          <w:rFonts w:eastAsia="Calibri" w:cs="Arial"/>
          <w:szCs w:val="24"/>
        </w:rPr>
        <w:tab/>
        <w:t>335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10 </w:t>
      </w:r>
      <w:r w:rsidRPr="009A2FB5">
        <w:rPr>
          <w:rFonts w:eastAsia="Calibri" w:cs="Arial"/>
          <w:szCs w:val="24"/>
        </w:rPr>
        <w:tab/>
        <w:t>Regulatory Programs Organization</w:t>
      </w:r>
      <w:r w:rsidRPr="009A2FB5">
        <w:rPr>
          <w:rFonts w:eastAsia="Calibri" w:cs="Arial"/>
          <w:szCs w:val="24"/>
        </w:rPr>
        <w:tab/>
        <w:t>339</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lastRenderedPageBreak/>
        <w:t>Exhibit IX</w:t>
      </w:r>
      <w:r w:rsidR="00872971">
        <w:rPr>
          <w:rFonts w:eastAsia="Calibri" w:cs="Arial"/>
          <w:szCs w:val="24"/>
        </w:rPr>
        <w:t>-</w:t>
      </w:r>
      <w:r w:rsidRPr="009A2FB5">
        <w:rPr>
          <w:rFonts w:eastAsia="Calibri" w:cs="Arial"/>
          <w:szCs w:val="24"/>
        </w:rPr>
        <w:t xml:space="preserve">11 </w:t>
      </w:r>
      <w:r w:rsidRPr="009A2FB5">
        <w:rPr>
          <w:rFonts w:eastAsia="Calibri" w:cs="Arial"/>
          <w:szCs w:val="24"/>
        </w:rPr>
        <w:tab/>
        <w:t xml:space="preserve">Comparison of Dollars Spent per Job for Universal Service WRAP </w:t>
      </w:r>
      <w:r w:rsidR="00872971">
        <w:rPr>
          <w:rFonts w:eastAsia="Calibri" w:cs="Arial"/>
          <w:szCs w:val="24"/>
        </w:rPr>
        <w:br/>
      </w:r>
      <w:r w:rsidRPr="009A2FB5">
        <w:rPr>
          <w:rFonts w:eastAsia="Calibri" w:cs="Arial"/>
          <w:szCs w:val="24"/>
        </w:rPr>
        <w:t>and Act 129 WRAP</w:t>
      </w:r>
      <w:r w:rsidRPr="009A2FB5">
        <w:rPr>
          <w:rFonts w:eastAsia="Calibri" w:cs="Arial"/>
          <w:szCs w:val="24"/>
        </w:rPr>
        <w:tab/>
        <w:t>342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12 </w:t>
      </w:r>
      <w:r w:rsidRPr="009A2FB5">
        <w:rPr>
          <w:rFonts w:eastAsia="Calibri" w:cs="Arial"/>
          <w:szCs w:val="24"/>
        </w:rPr>
        <w:tab/>
        <w:t>Universal Service WRAP Cost per Customer</w:t>
      </w:r>
      <w:r w:rsidRPr="009A2FB5">
        <w:rPr>
          <w:rFonts w:eastAsia="Calibri" w:cs="Arial"/>
          <w:szCs w:val="24"/>
        </w:rPr>
        <w:tab/>
        <w:t>343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13 </w:t>
      </w:r>
      <w:r w:rsidRPr="009A2FB5">
        <w:rPr>
          <w:rFonts w:eastAsia="Calibri" w:cs="Arial"/>
          <w:szCs w:val="24"/>
        </w:rPr>
        <w:tab/>
        <w:t>2015 Percent PUC Informal Complaints Determined as “Justified”</w:t>
      </w:r>
      <w:r w:rsidRPr="009A2FB5">
        <w:rPr>
          <w:rFonts w:eastAsia="Calibri" w:cs="Arial"/>
          <w:szCs w:val="24"/>
        </w:rPr>
        <w:tab/>
        <w:t>345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14 </w:t>
      </w:r>
      <w:r w:rsidRPr="009A2FB5">
        <w:rPr>
          <w:rFonts w:eastAsia="Calibri" w:cs="Arial"/>
          <w:szCs w:val="24"/>
        </w:rPr>
        <w:tab/>
        <w:t>Reasons for Justified Complaints</w:t>
      </w:r>
      <w:r w:rsidRPr="009A2FB5">
        <w:rPr>
          <w:rFonts w:eastAsia="Calibri" w:cs="Arial"/>
          <w:szCs w:val="24"/>
        </w:rPr>
        <w:tab/>
        <w:t>346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15 </w:t>
      </w:r>
      <w:r w:rsidRPr="009A2FB5">
        <w:rPr>
          <w:rFonts w:eastAsia="Calibri" w:cs="Arial"/>
          <w:szCs w:val="24"/>
        </w:rPr>
        <w:tab/>
        <w:t>Dispute Errors by Type</w:t>
      </w:r>
      <w:r w:rsidRPr="009A2FB5">
        <w:rPr>
          <w:rFonts w:eastAsia="Calibri" w:cs="Arial"/>
          <w:szCs w:val="24"/>
        </w:rPr>
        <w:tab/>
        <w:t>347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16 </w:t>
      </w:r>
      <w:r w:rsidRPr="009A2FB5">
        <w:rPr>
          <w:rFonts w:eastAsia="Calibri" w:cs="Arial"/>
          <w:szCs w:val="24"/>
        </w:rPr>
        <w:tab/>
        <w:t>Advanced Metering and Data Operations Organization</w:t>
      </w:r>
      <w:r w:rsidRPr="009A2FB5">
        <w:rPr>
          <w:rFonts w:eastAsia="Calibri" w:cs="Arial"/>
          <w:szCs w:val="24"/>
        </w:rPr>
        <w:tab/>
        <w:t>348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17 </w:t>
      </w:r>
      <w:r w:rsidRPr="009A2FB5">
        <w:rPr>
          <w:rFonts w:eastAsia="Calibri" w:cs="Arial"/>
          <w:szCs w:val="24"/>
        </w:rPr>
        <w:tab/>
        <w:t>Revenue Operations Organization</w:t>
      </w:r>
      <w:r w:rsidRPr="009A2FB5">
        <w:rPr>
          <w:rFonts w:eastAsia="Calibri" w:cs="Arial"/>
          <w:szCs w:val="24"/>
        </w:rPr>
        <w:tab/>
        <w:t>353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18 </w:t>
      </w:r>
      <w:r w:rsidRPr="009A2FB5">
        <w:rPr>
          <w:rFonts w:eastAsia="Calibri" w:cs="Arial"/>
          <w:szCs w:val="24"/>
        </w:rPr>
        <w:tab/>
        <w:t>Residential Shut-offs for Non-Payment</w:t>
      </w:r>
      <w:r w:rsidRPr="009A2FB5">
        <w:rPr>
          <w:rFonts w:eastAsia="Calibri" w:cs="Arial"/>
          <w:szCs w:val="24"/>
        </w:rPr>
        <w:tab/>
        <w:t>354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19 </w:t>
      </w:r>
      <w:r w:rsidRPr="009A2FB5">
        <w:rPr>
          <w:rFonts w:eastAsia="Calibri" w:cs="Arial"/>
          <w:szCs w:val="24"/>
        </w:rPr>
        <w:tab/>
        <w:t>Bill Payment Methods</w:t>
      </w:r>
      <w:r w:rsidRPr="009A2FB5">
        <w:rPr>
          <w:rFonts w:eastAsia="Calibri" w:cs="Arial"/>
          <w:szCs w:val="24"/>
        </w:rPr>
        <w:tab/>
        <w:t>358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20 </w:t>
      </w:r>
      <w:r w:rsidRPr="009A2FB5">
        <w:rPr>
          <w:rFonts w:eastAsia="Calibri" w:cs="Arial"/>
          <w:szCs w:val="24"/>
        </w:rPr>
        <w:tab/>
        <w:t>Paperless Billing Accounts</w:t>
      </w:r>
      <w:r w:rsidRPr="009A2FB5">
        <w:rPr>
          <w:rFonts w:eastAsia="Calibri" w:cs="Arial"/>
          <w:szCs w:val="24"/>
        </w:rPr>
        <w:tab/>
        <w:t>359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21 </w:t>
      </w:r>
      <w:r w:rsidRPr="009A2FB5">
        <w:rPr>
          <w:rFonts w:eastAsia="Calibri" w:cs="Arial"/>
          <w:szCs w:val="24"/>
        </w:rPr>
        <w:tab/>
        <w:t>Bills Issued Timely and Accurately</w:t>
      </w:r>
      <w:r w:rsidRPr="009A2FB5">
        <w:rPr>
          <w:rFonts w:eastAsia="Calibri" w:cs="Arial"/>
          <w:szCs w:val="24"/>
        </w:rPr>
        <w:tab/>
        <w:t>363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22 </w:t>
      </w:r>
      <w:r w:rsidRPr="009A2FB5">
        <w:rPr>
          <w:rFonts w:eastAsia="Calibri" w:cs="Arial"/>
          <w:szCs w:val="24"/>
        </w:rPr>
        <w:tab/>
        <w:t>Bills Not Issued Timely and Bills Adjusted Performance</w:t>
      </w:r>
      <w:r w:rsidRPr="009A2FB5">
        <w:rPr>
          <w:rFonts w:eastAsia="Calibri" w:cs="Arial"/>
          <w:szCs w:val="24"/>
        </w:rPr>
        <w:tab/>
        <w:t>364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23 </w:t>
      </w:r>
      <w:r w:rsidRPr="009A2FB5">
        <w:rPr>
          <w:rFonts w:eastAsia="Calibri" w:cs="Arial"/>
          <w:szCs w:val="24"/>
        </w:rPr>
        <w:tab/>
        <w:t xml:space="preserve">Collection Agency Recovery Rate per Placement Cumulative </w:t>
      </w:r>
      <w:r w:rsidRPr="009A2FB5">
        <w:rPr>
          <w:rFonts w:eastAsia="Calibri" w:cs="Arial"/>
          <w:szCs w:val="24"/>
        </w:rPr>
        <w:br/>
        <w:t>12 Months</w:t>
      </w:r>
      <w:r w:rsidRPr="009A2FB5">
        <w:rPr>
          <w:rFonts w:eastAsia="Calibri" w:cs="Arial"/>
          <w:szCs w:val="24"/>
        </w:rPr>
        <w:tab/>
        <w:t>365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IX</w:t>
      </w:r>
      <w:r w:rsidR="00872971">
        <w:rPr>
          <w:rFonts w:eastAsia="Calibri" w:cs="Arial"/>
          <w:szCs w:val="24"/>
        </w:rPr>
        <w:t>-</w:t>
      </w:r>
      <w:r w:rsidRPr="009A2FB5">
        <w:rPr>
          <w:rFonts w:eastAsia="Calibri" w:cs="Arial"/>
          <w:szCs w:val="24"/>
        </w:rPr>
        <w:t xml:space="preserve">24 </w:t>
      </w:r>
      <w:r w:rsidRPr="009A2FB5">
        <w:rPr>
          <w:rFonts w:eastAsia="Calibri" w:cs="Arial"/>
          <w:szCs w:val="24"/>
        </w:rPr>
        <w:tab/>
        <w:t>Net Write-Offs</w:t>
      </w:r>
      <w:r w:rsidRPr="009A2FB5">
        <w:rPr>
          <w:rFonts w:eastAsia="Calibri" w:cs="Arial"/>
          <w:szCs w:val="24"/>
        </w:rPr>
        <w:tab/>
        <w:t>366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 </w:t>
      </w:r>
      <w:r w:rsidRPr="009A2FB5">
        <w:rPr>
          <w:rFonts w:eastAsia="Calibri" w:cs="Arial"/>
          <w:szCs w:val="24"/>
        </w:rPr>
        <w:tab/>
        <w:t>OnTrack Household Income Criteria</w:t>
      </w:r>
      <w:r w:rsidRPr="009A2FB5">
        <w:rPr>
          <w:rFonts w:eastAsia="Calibri" w:cs="Arial"/>
          <w:szCs w:val="24"/>
        </w:rPr>
        <w:tab/>
        <w:t>372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2 </w:t>
      </w:r>
      <w:r w:rsidRPr="009A2FB5">
        <w:rPr>
          <w:rFonts w:eastAsia="Calibri" w:cs="Arial"/>
          <w:szCs w:val="24"/>
        </w:rPr>
        <w:tab/>
        <w:t>OnTrack Annual Costs by Component</w:t>
      </w:r>
      <w:r w:rsidRPr="009A2FB5">
        <w:rPr>
          <w:rFonts w:eastAsia="Calibri" w:cs="Arial"/>
          <w:szCs w:val="24"/>
        </w:rPr>
        <w:tab/>
        <w:t>374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3 </w:t>
      </w:r>
      <w:r w:rsidRPr="009A2FB5">
        <w:rPr>
          <w:rFonts w:eastAsia="Calibri" w:cs="Arial"/>
          <w:szCs w:val="24"/>
        </w:rPr>
        <w:tab/>
        <w:t>OnTrack Component Costs by Percent for 2014</w:t>
      </w:r>
      <w:r w:rsidRPr="009A2FB5">
        <w:rPr>
          <w:rFonts w:eastAsia="Calibri" w:cs="Arial"/>
          <w:szCs w:val="24"/>
        </w:rPr>
        <w:tab/>
        <w:t>375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4 </w:t>
      </w:r>
      <w:r w:rsidRPr="009A2FB5">
        <w:rPr>
          <w:rFonts w:eastAsia="Calibri" w:cs="Arial"/>
          <w:szCs w:val="24"/>
        </w:rPr>
        <w:tab/>
        <w:t>PPL EU OnTrack Agencies</w:t>
      </w:r>
      <w:r w:rsidRPr="009A2FB5">
        <w:rPr>
          <w:rFonts w:eastAsia="Calibri" w:cs="Arial"/>
          <w:szCs w:val="24"/>
        </w:rPr>
        <w:tab/>
        <w:t>376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5 </w:t>
      </w:r>
      <w:r w:rsidRPr="009A2FB5">
        <w:rPr>
          <w:rFonts w:eastAsia="Calibri" w:cs="Arial"/>
          <w:szCs w:val="24"/>
        </w:rPr>
        <w:tab/>
        <w:t>PPL EU Staff with OnTrack Responsibilities</w:t>
      </w:r>
      <w:r w:rsidRPr="009A2FB5">
        <w:rPr>
          <w:rFonts w:eastAsia="Calibri" w:cs="Arial"/>
          <w:szCs w:val="24"/>
        </w:rPr>
        <w:tab/>
        <w:t>387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6 </w:t>
      </w:r>
      <w:r w:rsidRPr="009A2FB5">
        <w:rPr>
          <w:rFonts w:eastAsia="Calibri" w:cs="Arial"/>
          <w:szCs w:val="24"/>
        </w:rPr>
        <w:tab/>
        <w:t>OnTrack Program PPL EU Staff</w:t>
      </w:r>
      <w:r w:rsidRPr="009A2FB5">
        <w:rPr>
          <w:rFonts w:eastAsia="Calibri" w:cs="Arial"/>
          <w:szCs w:val="24"/>
        </w:rPr>
        <w:tab/>
        <w:t>388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7 </w:t>
      </w:r>
      <w:r w:rsidRPr="009A2FB5">
        <w:rPr>
          <w:rFonts w:eastAsia="Calibri" w:cs="Arial"/>
          <w:szCs w:val="24"/>
        </w:rPr>
        <w:tab/>
        <w:t>Regulatory Programs Responsibilities per OnTrack FTE</w:t>
      </w:r>
      <w:r w:rsidRPr="009A2FB5">
        <w:rPr>
          <w:rFonts w:eastAsia="Calibri" w:cs="Arial"/>
          <w:szCs w:val="24"/>
        </w:rPr>
        <w:tab/>
        <w:t>390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8 </w:t>
      </w:r>
      <w:r w:rsidRPr="009A2FB5">
        <w:rPr>
          <w:rFonts w:eastAsia="Calibri" w:cs="Arial"/>
          <w:szCs w:val="24"/>
        </w:rPr>
        <w:tab/>
        <w:t>New Enrollments by Agency for 2014</w:t>
      </w:r>
      <w:r w:rsidRPr="009A2FB5">
        <w:rPr>
          <w:rFonts w:eastAsia="Calibri" w:cs="Arial"/>
          <w:szCs w:val="24"/>
        </w:rPr>
        <w:tab/>
        <w:t>393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9 </w:t>
      </w:r>
      <w:r w:rsidRPr="009A2FB5">
        <w:rPr>
          <w:rFonts w:eastAsia="Calibri" w:cs="Arial"/>
          <w:szCs w:val="24"/>
        </w:rPr>
        <w:tab/>
        <w:t>Average Cost per OnTrack Agency Caseworker</w:t>
      </w:r>
      <w:r w:rsidRPr="009A2FB5">
        <w:rPr>
          <w:rFonts w:eastAsia="Calibri" w:cs="Arial"/>
          <w:szCs w:val="24"/>
        </w:rPr>
        <w:tab/>
        <w:t>394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10 </w:t>
      </w:r>
      <w:r w:rsidRPr="009A2FB5">
        <w:rPr>
          <w:rFonts w:eastAsia="Calibri" w:cs="Arial"/>
          <w:szCs w:val="24"/>
        </w:rPr>
        <w:tab/>
        <w:t>OnTrack Agency Caseworker Productivity</w:t>
      </w:r>
      <w:r w:rsidRPr="009A2FB5">
        <w:rPr>
          <w:rFonts w:eastAsia="Calibri" w:cs="Arial"/>
          <w:szCs w:val="24"/>
        </w:rPr>
        <w:tab/>
        <w:t>395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11 </w:t>
      </w:r>
      <w:r w:rsidRPr="009A2FB5">
        <w:rPr>
          <w:rFonts w:eastAsia="Calibri" w:cs="Arial"/>
          <w:szCs w:val="24"/>
        </w:rPr>
        <w:tab/>
        <w:t>OnTrack Agency FTE Staffing Levels</w:t>
      </w:r>
      <w:r w:rsidRPr="009A2FB5">
        <w:rPr>
          <w:rFonts w:eastAsia="Calibri" w:cs="Arial"/>
          <w:szCs w:val="24"/>
        </w:rPr>
        <w:tab/>
        <w:t>397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12 </w:t>
      </w:r>
      <w:r w:rsidRPr="009A2FB5">
        <w:rPr>
          <w:rFonts w:eastAsia="Calibri" w:cs="Arial"/>
          <w:szCs w:val="24"/>
        </w:rPr>
        <w:tab/>
        <w:t>OnTrack Enrollments for Each Agency</w:t>
      </w:r>
      <w:r w:rsidRPr="009A2FB5">
        <w:rPr>
          <w:rFonts w:eastAsia="Calibri" w:cs="Arial"/>
          <w:szCs w:val="24"/>
        </w:rPr>
        <w:tab/>
        <w:t>398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13 </w:t>
      </w:r>
      <w:r w:rsidRPr="009A2FB5">
        <w:rPr>
          <w:rFonts w:eastAsia="Calibri" w:cs="Arial"/>
          <w:szCs w:val="24"/>
        </w:rPr>
        <w:tab/>
        <w:t>OnTrack New Enrollments Compared to the Target</w:t>
      </w:r>
      <w:r w:rsidRPr="009A2FB5">
        <w:rPr>
          <w:rFonts w:eastAsia="Calibri" w:cs="Arial"/>
          <w:szCs w:val="24"/>
        </w:rPr>
        <w:tab/>
        <w:t>400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14 </w:t>
      </w:r>
      <w:r w:rsidRPr="009A2FB5">
        <w:rPr>
          <w:rFonts w:eastAsia="Calibri" w:cs="Arial"/>
          <w:szCs w:val="24"/>
        </w:rPr>
        <w:tab/>
        <w:t>New Enrollment Targets by Agency in 2015</w:t>
      </w:r>
      <w:r w:rsidRPr="009A2FB5">
        <w:rPr>
          <w:rFonts w:eastAsia="Calibri" w:cs="Arial"/>
          <w:szCs w:val="24"/>
        </w:rPr>
        <w:tab/>
        <w:t>401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15 </w:t>
      </w:r>
      <w:r w:rsidRPr="009A2FB5">
        <w:rPr>
          <w:rFonts w:eastAsia="Calibri" w:cs="Arial"/>
          <w:szCs w:val="24"/>
        </w:rPr>
        <w:tab/>
        <w:t>OnTrack Annual Cost per Customer</w:t>
      </w:r>
      <w:r w:rsidRPr="009A2FB5">
        <w:rPr>
          <w:rFonts w:eastAsia="Calibri" w:cs="Arial"/>
          <w:szCs w:val="24"/>
        </w:rPr>
        <w:tab/>
        <w:t>408</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16 </w:t>
      </w:r>
      <w:r w:rsidRPr="009A2FB5">
        <w:rPr>
          <w:rFonts w:eastAsia="Calibri" w:cs="Arial"/>
          <w:szCs w:val="24"/>
        </w:rPr>
        <w:tab/>
        <w:t xml:space="preserve">OnTrack Referrals Compared to New Enrollments and Active </w:t>
      </w:r>
      <w:r w:rsidR="00872971">
        <w:rPr>
          <w:rFonts w:eastAsia="Calibri" w:cs="Arial"/>
          <w:szCs w:val="24"/>
        </w:rPr>
        <w:br/>
      </w:r>
      <w:r w:rsidRPr="009A2FB5">
        <w:rPr>
          <w:rFonts w:eastAsia="Calibri" w:cs="Arial"/>
          <w:szCs w:val="24"/>
        </w:rPr>
        <w:t>Members</w:t>
      </w:r>
      <w:r w:rsidRPr="009A2FB5">
        <w:rPr>
          <w:rFonts w:eastAsia="Calibri" w:cs="Arial"/>
          <w:szCs w:val="24"/>
        </w:rPr>
        <w:tab/>
        <w:t>410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17 </w:t>
      </w:r>
      <w:r w:rsidRPr="009A2FB5">
        <w:rPr>
          <w:rFonts w:eastAsia="Calibri" w:cs="Arial"/>
          <w:szCs w:val="24"/>
        </w:rPr>
        <w:tab/>
        <w:t>OnTrack Agency Cost Per New Enrollment</w:t>
      </w:r>
      <w:r w:rsidRPr="009A2FB5">
        <w:rPr>
          <w:rFonts w:eastAsia="Calibri" w:cs="Arial"/>
          <w:szCs w:val="24"/>
        </w:rPr>
        <w:tab/>
        <w:t>412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18 </w:t>
      </w:r>
      <w:r w:rsidRPr="009A2FB5">
        <w:rPr>
          <w:rFonts w:eastAsia="Calibri" w:cs="Arial"/>
          <w:szCs w:val="24"/>
        </w:rPr>
        <w:tab/>
        <w:t>OnTrack Average Graduation Rates</w:t>
      </w:r>
      <w:r w:rsidRPr="009A2FB5">
        <w:rPr>
          <w:rFonts w:eastAsia="Calibri" w:cs="Arial"/>
          <w:szCs w:val="24"/>
        </w:rPr>
        <w:tab/>
        <w:t>413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19 </w:t>
      </w:r>
      <w:r w:rsidRPr="009A2FB5">
        <w:rPr>
          <w:rFonts w:eastAsia="Calibri" w:cs="Arial"/>
          <w:szCs w:val="24"/>
        </w:rPr>
        <w:tab/>
        <w:t>Percentage of OnTrack Installments Billed That Are Received</w:t>
      </w:r>
      <w:r w:rsidRPr="009A2FB5">
        <w:rPr>
          <w:rFonts w:eastAsia="Calibri" w:cs="Arial"/>
          <w:szCs w:val="24"/>
        </w:rPr>
        <w:tab/>
        <w:t>413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20 </w:t>
      </w:r>
      <w:r w:rsidRPr="009A2FB5">
        <w:rPr>
          <w:rFonts w:eastAsia="Calibri" w:cs="Arial"/>
          <w:szCs w:val="24"/>
        </w:rPr>
        <w:tab/>
        <w:t>OnTrack PUC Informal Complaints</w:t>
      </w:r>
      <w:r w:rsidRPr="009A2FB5">
        <w:rPr>
          <w:rFonts w:eastAsia="Calibri" w:cs="Arial"/>
          <w:szCs w:val="24"/>
        </w:rPr>
        <w:tab/>
        <w:t>414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21 </w:t>
      </w:r>
      <w:r w:rsidRPr="009A2FB5">
        <w:rPr>
          <w:rFonts w:eastAsia="Calibri" w:cs="Arial"/>
          <w:szCs w:val="24"/>
        </w:rPr>
        <w:tab/>
        <w:t xml:space="preserve">OnTrack Complaints </w:t>
      </w:r>
      <w:proofErr w:type="gramStart"/>
      <w:r w:rsidR="00FB46BF">
        <w:rPr>
          <w:rFonts w:eastAsia="Calibri" w:cs="Arial"/>
          <w:szCs w:val="24"/>
        </w:rPr>
        <w:t>P</w:t>
      </w:r>
      <w:r w:rsidRPr="009A2FB5">
        <w:rPr>
          <w:rFonts w:eastAsia="Calibri" w:cs="Arial"/>
          <w:szCs w:val="24"/>
        </w:rPr>
        <w:t>er</w:t>
      </w:r>
      <w:proofErr w:type="gramEnd"/>
      <w:r w:rsidRPr="009A2FB5">
        <w:rPr>
          <w:rFonts w:eastAsia="Calibri" w:cs="Arial"/>
          <w:szCs w:val="24"/>
        </w:rPr>
        <w:t xml:space="preserve"> 1,000 OnTrack Customers</w:t>
      </w:r>
      <w:r w:rsidRPr="009A2FB5">
        <w:rPr>
          <w:rFonts w:eastAsia="Calibri" w:cs="Arial"/>
          <w:szCs w:val="24"/>
        </w:rPr>
        <w:tab/>
        <w:t>415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w:t>
      </w:r>
      <w:r w:rsidR="00872971">
        <w:rPr>
          <w:rFonts w:eastAsia="Calibri" w:cs="Arial"/>
          <w:szCs w:val="24"/>
        </w:rPr>
        <w:t>-</w:t>
      </w:r>
      <w:r w:rsidRPr="009A2FB5">
        <w:rPr>
          <w:rFonts w:eastAsia="Calibri" w:cs="Arial"/>
          <w:szCs w:val="24"/>
        </w:rPr>
        <w:t xml:space="preserve">22 </w:t>
      </w:r>
      <w:r w:rsidRPr="009A2FB5">
        <w:rPr>
          <w:rFonts w:eastAsia="Calibri" w:cs="Arial"/>
          <w:szCs w:val="24"/>
        </w:rPr>
        <w:tab/>
        <w:t>OnTrack PUC Informal Complaints by Type for 2015</w:t>
      </w:r>
      <w:r w:rsidRPr="009A2FB5">
        <w:rPr>
          <w:rFonts w:eastAsia="Calibri" w:cs="Arial"/>
          <w:szCs w:val="24"/>
        </w:rPr>
        <w:tab/>
        <w:t>416</w:t>
      </w:r>
    </w:p>
    <w:p w:rsidR="009A2FB5" w:rsidRPr="009A2FB5" w:rsidRDefault="009A2FB5" w:rsidP="00FB46BF">
      <w:pPr>
        <w:tabs>
          <w:tab w:val="left" w:pos="1620"/>
          <w:tab w:val="right" w:leader="dot" w:pos="9360"/>
        </w:tabs>
        <w:spacing w:after="60"/>
        <w:ind w:left="1627" w:hanging="1627"/>
        <w:jc w:val="left"/>
        <w:rPr>
          <w:rFonts w:eastAsia="Calibri" w:cs="Arial"/>
          <w:szCs w:val="24"/>
        </w:rPr>
      </w:pPr>
      <w:r w:rsidRPr="009A2FB5">
        <w:rPr>
          <w:rFonts w:eastAsia="Calibri" w:cs="Arial"/>
          <w:szCs w:val="24"/>
        </w:rPr>
        <w:lastRenderedPageBreak/>
        <w:t>Exhibit X</w:t>
      </w:r>
      <w:r w:rsidR="00872971">
        <w:rPr>
          <w:rFonts w:eastAsia="Calibri" w:cs="Arial"/>
          <w:szCs w:val="24"/>
        </w:rPr>
        <w:t>-</w:t>
      </w:r>
      <w:r w:rsidRPr="009A2FB5">
        <w:rPr>
          <w:rFonts w:eastAsia="Calibri" w:cs="Arial"/>
          <w:szCs w:val="24"/>
        </w:rPr>
        <w:t xml:space="preserve">23 </w:t>
      </w:r>
      <w:r w:rsidRPr="009A2FB5">
        <w:rPr>
          <w:rFonts w:eastAsia="Calibri" w:cs="Arial"/>
          <w:szCs w:val="24"/>
        </w:rPr>
        <w:tab/>
        <w:t xml:space="preserve">Past-Due Accounts Receivable Recovered for OnTrack </w:t>
      </w:r>
      <w:r w:rsidR="00FB46BF">
        <w:rPr>
          <w:rFonts w:eastAsia="Calibri" w:cs="Arial"/>
          <w:szCs w:val="24"/>
        </w:rPr>
        <w:br/>
      </w:r>
      <w:r w:rsidRPr="009A2FB5">
        <w:rPr>
          <w:rFonts w:eastAsia="Calibri" w:cs="Arial"/>
          <w:szCs w:val="24"/>
        </w:rPr>
        <w:t>Participants</w:t>
      </w:r>
      <w:r w:rsidRPr="009A2FB5">
        <w:rPr>
          <w:rFonts w:eastAsia="Calibri" w:cs="Arial"/>
          <w:szCs w:val="24"/>
        </w:rPr>
        <w:tab/>
        <w:t>417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SC Information Technology Organization Chart</w:t>
      </w:r>
      <w:r w:rsidRPr="009A2FB5">
        <w:rPr>
          <w:rFonts w:eastAsia="Calibri" w:cs="Arial"/>
          <w:szCs w:val="24"/>
        </w:rPr>
        <w:tab/>
        <w:t>423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2 </w:t>
      </w:r>
      <w:r w:rsidRPr="009A2FB5">
        <w:rPr>
          <w:rFonts w:eastAsia="Calibri" w:cs="Arial"/>
          <w:szCs w:val="24"/>
        </w:rPr>
        <w:tab/>
        <w:t xml:space="preserve">Top 12 </w:t>
      </w:r>
      <w:proofErr w:type="gramStart"/>
      <w:r w:rsidRPr="009A2FB5">
        <w:rPr>
          <w:rFonts w:eastAsia="Calibri" w:cs="Arial"/>
          <w:szCs w:val="24"/>
        </w:rPr>
        <w:t>IT</w:t>
      </w:r>
      <w:proofErr w:type="gramEnd"/>
      <w:r w:rsidRPr="009A2FB5">
        <w:rPr>
          <w:rFonts w:eastAsia="Calibri" w:cs="Arial"/>
          <w:szCs w:val="24"/>
        </w:rPr>
        <w:t xml:space="preserve"> Contract Agreements Awarded 2010–2014</w:t>
      </w:r>
      <w:r w:rsidRPr="009A2FB5">
        <w:rPr>
          <w:rFonts w:eastAsia="Calibri" w:cs="Arial"/>
          <w:szCs w:val="24"/>
        </w:rPr>
        <w:tab/>
        <w:t>425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ITSM Project Schedule</w:t>
      </w:r>
      <w:r w:rsidRPr="009A2FB5">
        <w:rPr>
          <w:rFonts w:eastAsia="Calibri" w:cs="Arial"/>
          <w:szCs w:val="24"/>
        </w:rPr>
        <w:tab/>
        <w:t>426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4 </w:t>
      </w:r>
      <w:r w:rsidRPr="009A2FB5">
        <w:rPr>
          <w:rFonts w:eastAsia="Calibri" w:cs="Arial"/>
          <w:szCs w:val="24"/>
        </w:rPr>
        <w:tab/>
        <w:t>Vendor Depicted ServiceNow Base Diagram</w:t>
      </w:r>
      <w:r w:rsidRPr="009A2FB5">
        <w:rPr>
          <w:rFonts w:eastAsia="Calibri" w:cs="Arial"/>
          <w:szCs w:val="24"/>
        </w:rPr>
        <w:tab/>
        <w:t>428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5 </w:t>
      </w:r>
      <w:r w:rsidRPr="009A2FB5">
        <w:rPr>
          <w:rFonts w:eastAsia="Calibri" w:cs="Arial"/>
          <w:szCs w:val="24"/>
        </w:rPr>
        <w:tab/>
        <w:t>Five Year Trend in Cyber Security Spending</w:t>
      </w:r>
      <w:r w:rsidRPr="009A2FB5">
        <w:rPr>
          <w:rFonts w:eastAsia="Calibri" w:cs="Arial"/>
          <w:szCs w:val="24"/>
        </w:rPr>
        <w:tab/>
        <w:t>435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w:t>
      </w:r>
      <w:r w:rsidR="00872971">
        <w:rPr>
          <w:rFonts w:eastAsia="Calibri" w:cs="Arial"/>
          <w:szCs w:val="24"/>
        </w:rPr>
        <w:t>-</w:t>
      </w:r>
      <w:r w:rsidRPr="009A2FB5">
        <w:rPr>
          <w:rFonts w:eastAsia="Calibri" w:cs="Arial"/>
          <w:szCs w:val="24"/>
        </w:rPr>
        <w:t xml:space="preserve">6 </w:t>
      </w:r>
      <w:r w:rsidRPr="009A2FB5">
        <w:rPr>
          <w:rFonts w:eastAsia="Calibri" w:cs="Arial"/>
          <w:szCs w:val="24"/>
        </w:rPr>
        <w:tab/>
        <w:t>Excerpt on SLA Tracking</w:t>
      </w:r>
      <w:r w:rsidRPr="009A2FB5">
        <w:rPr>
          <w:rFonts w:eastAsia="Calibri" w:cs="Arial"/>
          <w:szCs w:val="24"/>
        </w:rPr>
        <w:tab/>
        <w:t>438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SC HR Organization Structure</w:t>
      </w:r>
      <w:r w:rsidRPr="009A2FB5">
        <w:rPr>
          <w:rFonts w:eastAsia="Calibri" w:cs="Arial"/>
          <w:szCs w:val="24"/>
        </w:rPr>
        <w:tab/>
        <w:t>447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 Professional Development Participation</w:t>
      </w:r>
      <w:r w:rsidR="00FB1089">
        <w:rPr>
          <w:rFonts w:eastAsia="Calibri" w:cs="Arial"/>
          <w:szCs w:val="24"/>
        </w:rPr>
        <w:t xml:space="preserve"> </w:t>
      </w:r>
      <w:r w:rsidRPr="009A2FB5">
        <w:rPr>
          <w:rFonts w:eastAsia="Calibri" w:cs="Arial"/>
          <w:szCs w:val="24"/>
        </w:rPr>
        <w:t>–</w:t>
      </w:r>
      <w:r w:rsidR="00FB1089">
        <w:rPr>
          <w:rFonts w:eastAsia="Calibri" w:cs="Arial"/>
          <w:szCs w:val="24"/>
        </w:rPr>
        <w:t xml:space="preserve"> </w:t>
      </w:r>
      <w:r w:rsidRPr="009A2FB5">
        <w:rPr>
          <w:rFonts w:eastAsia="Calibri" w:cs="Arial"/>
          <w:szCs w:val="24"/>
        </w:rPr>
        <w:t>2014</w:t>
      </w:r>
      <w:r w:rsidRPr="009A2FB5">
        <w:rPr>
          <w:rFonts w:eastAsia="Calibri" w:cs="Arial"/>
          <w:szCs w:val="24"/>
        </w:rPr>
        <w:tab/>
        <w:t>450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SC HR Staffing Levels</w:t>
      </w:r>
      <w:r w:rsidRPr="009A2FB5">
        <w:rPr>
          <w:rFonts w:eastAsia="Calibri" w:cs="Arial"/>
          <w:szCs w:val="24"/>
        </w:rPr>
        <w:tab/>
        <w:t>455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4 </w:t>
      </w:r>
      <w:r w:rsidRPr="009A2FB5">
        <w:rPr>
          <w:rFonts w:eastAsia="Calibri" w:cs="Arial"/>
          <w:szCs w:val="24"/>
        </w:rPr>
        <w:tab/>
        <w:t>PPL EUS HR Organization Structure</w:t>
      </w:r>
      <w:r w:rsidRPr="009A2FB5">
        <w:rPr>
          <w:rFonts w:eastAsia="Calibri" w:cs="Arial"/>
          <w:szCs w:val="24"/>
        </w:rPr>
        <w:tab/>
        <w:t>456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5 </w:t>
      </w:r>
      <w:r w:rsidRPr="009A2FB5">
        <w:rPr>
          <w:rFonts w:eastAsia="Calibri" w:cs="Arial"/>
          <w:szCs w:val="24"/>
        </w:rPr>
        <w:tab/>
        <w:t>Typical HR Metrics</w:t>
      </w:r>
      <w:r w:rsidRPr="009A2FB5">
        <w:rPr>
          <w:rFonts w:eastAsia="Calibri" w:cs="Arial"/>
          <w:szCs w:val="24"/>
        </w:rPr>
        <w:tab/>
        <w:t>460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6 </w:t>
      </w:r>
      <w:r w:rsidRPr="009A2FB5">
        <w:rPr>
          <w:rFonts w:eastAsia="Calibri" w:cs="Arial"/>
          <w:szCs w:val="24"/>
        </w:rPr>
        <w:tab/>
        <w:t>2013 Employee Engagement Survey Results</w:t>
      </w:r>
      <w:r w:rsidRPr="009A2FB5">
        <w:rPr>
          <w:rFonts w:eastAsia="Calibri" w:cs="Arial"/>
          <w:szCs w:val="24"/>
        </w:rPr>
        <w:tab/>
        <w:t>463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w:t>
      </w:r>
      <w:r w:rsidR="00872971">
        <w:rPr>
          <w:rFonts w:eastAsia="Calibri" w:cs="Arial"/>
          <w:szCs w:val="24"/>
        </w:rPr>
        <w:t>-</w:t>
      </w:r>
      <w:r w:rsidRPr="009A2FB5">
        <w:rPr>
          <w:rFonts w:eastAsia="Calibri" w:cs="Arial"/>
          <w:szCs w:val="24"/>
        </w:rPr>
        <w:t xml:space="preserve">7 </w:t>
      </w:r>
      <w:r w:rsidRPr="009A2FB5">
        <w:rPr>
          <w:rFonts w:eastAsia="Calibri" w:cs="Arial"/>
          <w:szCs w:val="24"/>
        </w:rPr>
        <w:tab/>
        <w:t>PPL EU Number of Grievances for 2012 through June 19, 2015</w:t>
      </w:r>
      <w:r w:rsidRPr="009A2FB5">
        <w:rPr>
          <w:rFonts w:eastAsia="Calibri" w:cs="Arial"/>
          <w:szCs w:val="24"/>
        </w:rPr>
        <w:tab/>
        <w:t>466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1 </w:t>
      </w:r>
      <w:r w:rsidRPr="009A2FB5">
        <w:rPr>
          <w:rFonts w:eastAsia="Calibri" w:cs="Arial"/>
          <w:szCs w:val="24"/>
        </w:rPr>
        <w:tab/>
        <w:t>PPL Corporation Tier I and Tier II Executive Job Titles</w:t>
      </w:r>
      <w:r w:rsidRPr="009A2FB5">
        <w:rPr>
          <w:rFonts w:eastAsia="Calibri" w:cs="Arial"/>
          <w:szCs w:val="24"/>
        </w:rPr>
        <w:tab/>
        <w:t>472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SC HR Compensation and Benefits Structure</w:t>
      </w:r>
      <w:r w:rsidRPr="009A2FB5">
        <w:rPr>
          <w:rFonts w:eastAsia="Calibri" w:cs="Arial"/>
          <w:szCs w:val="24"/>
        </w:rPr>
        <w:tab/>
        <w:t>474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3 </w:t>
      </w:r>
      <w:r w:rsidRPr="009A2FB5">
        <w:rPr>
          <w:rFonts w:eastAsia="Calibri" w:cs="Arial"/>
          <w:szCs w:val="24"/>
        </w:rPr>
        <w:tab/>
        <w:t>2015 Corporate Financial Performance</w:t>
      </w:r>
      <w:r w:rsidRPr="009A2FB5">
        <w:rPr>
          <w:rFonts w:eastAsia="Calibri" w:cs="Arial"/>
          <w:szCs w:val="24"/>
        </w:rPr>
        <w:tab/>
        <w:t>478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4 </w:t>
      </w:r>
      <w:r w:rsidRPr="009A2FB5">
        <w:rPr>
          <w:rFonts w:eastAsia="Calibri" w:cs="Arial"/>
          <w:szCs w:val="24"/>
        </w:rPr>
        <w:tab/>
        <w:t>Individual 2015 Annual Cash Incentive Awards</w:t>
      </w:r>
      <w:r w:rsidRPr="009A2FB5">
        <w:rPr>
          <w:rFonts w:eastAsia="Calibri" w:cs="Arial"/>
          <w:szCs w:val="24"/>
        </w:rPr>
        <w:tab/>
        <w:t>479</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5 </w:t>
      </w:r>
      <w:r w:rsidRPr="009A2FB5">
        <w:rPr>
          <w:rFonts w:eastAsia="Calibri" w:cs="Arial"/>
          <w:szCs w:val="24"/>
        </w:rPr>
        <w:tab/>
        <w:t>PPL NEO Total Executive Compensation, Tier I Summary Compensation Table 2013–2015 (Comparison across Years)</w:t>
      </w:r>
      <w:r w:rsidRPr="009A2FB5">
        <w:rPr>
          <w:rFonts w:eastAsia="Calibri" w:cs="Arial"/>
          <w:szCs w:val="24"/>
        </w:rPr>
        <w:tab/>
        <w:t>483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Elements of Compensation as a Percentage of Targeted Total </w:t>
      </w:r>
      <w:r w:rsidR="00872971">
        <w:rPr>
          <w:rFonts w:eastAsia="Calibri" w:cs="Arial"/>
          <w:szCs w:val="24"/>
        </w:rPr>
        <w:br/>
      </w:r>
      <w:r w:rsidRPr="009A2FB5">
        <w:rPr>
          <w:rFonts w:eastAsia="Calibri" w:cs="Arial"/>
          <w:szCs w:val="24"/>
        </w:rPr>
        <w:t>Direct Compensation – 2015(1)</w:t>
      </w:r>
      <w:r w:rsidRPr="009A2FB5">
        <w:rPr>
          <w:rFonts w:eastAsia="Calibri" w:cs="Arial"/>
          <w:szCs w:val="24"/>
        </w:rPr>
        <w:tab/>
        <w:t>487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7 </w:t>
      </w:r>
      <w:r w:rsidRPr="009A2FB5">
        <w:rPr>
          <w:rFonts w:eastAsia="Calibri" w:cs="Arial"/>
          <w:szCs w:val="24"/>
        </w:rPr>
        <w:tab/>
        <w:t>PPL Corporation NEO Allocation to PPL EU</w:t>
      </w:r>
      <w:r w:rsidRPr="009A2FB5">
        <w:rPr>
          <w:rFonts w:eastAsia="Calibri" w:cs="Arial"/>
          <w:szCs w:val="24"/>
        </w:rPr>
        <w:tab/>
        <w:t>488</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NEO 2015 Base Salary</w:t>
      </w:r>
      <w:r w:rsidRPr="009A2FB5">
        <w:rPr>
          <w:rFonts w:eastAsia="Calibri" w:cs="Arial"/>
          <w:szCs w:val="24"/>
        </w:rPr>
        <w:tab/>
        <w:t>489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9 </w:t>
      </w:r>
      <w:r w:rsidRPr="009A2FB5">
        <w:rPr>
          <w:rFonts w:eastAsia="Calibri" w:cs="Arial"/>
          <w:szCs w:val="24"/>
        </w:rPr>
        <w:tab/>
        <w:t>PPL NEO 2015 Total Cash Compensation</w:t>
      </w:r>
      <w:r w:rsidRPr="009A2FB5">
        <w:rPr>
          <w:rFonts w:eastAsia="Calibri" w:cs="Arial"/>
          <w:szCs w:val="24"/>
        </w:rPr>
        <w:tab/>
        <w:t>490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10 </w:t>
      </w:r>
      <w:r w:rsidRPr="009A2FB5">
        <w:rPr>
          <w:rFonts w:eastAsia="Calibri" w:cs="Arial"/>
          <w:szCs w:val="24"/>
        </w:rPr>
        <w:tab/>
        <w:t>PPL NEO 2015 Total Direct Compensation</w:t>
      </w:r>
      <w:r w:rsidRPr="009A2FB5">
        <w:rPr>
          <w:rFonts w:eastAsia="Calibri" w:cs="Arial"/>
          <w:szCs w:val="24"/>
        </w:rPr>
        <w:tab/>
        <w:t>491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11 </w:t>
      </w:r>
      <w:r w:rsidRPr="009A2FB5">
        <w:rPr>
          <w:rFonts w:eastAsia="Calibri" w:cs="Arial"/>
          <w:szCs w:val="24"/>
        </w:rPr>
        <w:tab/>
        <w:t>PPL EU 2015 Base Salary</w:t>
      </w:r>
      <w:r w:rsidRPr="009A2FB5">
        <w:rPr>
          <w:rFonts w:eastAsia="Calibri" w:cs="Arial"/>
          <w:szCs w:val="24"/>
        </w:rPr>
        <w:tab/>
        <w:t>493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XIII</w:t>
      </w:r>
      <w:r w:rsidR="00872971">
        <w:rPr>
          <w:rFonts w:eastAsia="Calibri" w:cs="Arial"/>
          <w:szCs w:val="24"/>
        </w:rPr>
        <w:t>-</w:t>
      </w:r>
      <w:r w:rsidRPr="009A2FB5">
        <w:rPr>
          <w:rFonts w:eastAsia="Calibri" w:cs="Arial"/>
          <w:szCs w:val="24"/>
        </w:rPr>
        <w:t xml:space="preserve">12 </w:t>
      </w:r>
      <w:r w:rsidRPr="009A2FB5">
        <w:rPr>
          <w:rFonts w:eastAsia="Calibri" w:cs="Arial"/>
          <w:szCs w:val="24"/>
        </w:rPr>
        <w:tab/>
        <w:t xml:space="preserve">Number of PPL Corporation Executives Participating in EMPACS </w:t>
      </w:r>
      <w:r w:rsidR="00872971">
        <w:rPr>
          <w:rFonts w:eastAsia="Calibri" w:cs="Arial"/>
          <w:szCs w:val="24"/>
        </w:rPr>
        <w:br/>
      </w:r>
      <w:r w:rsidRPr="009A2FB5">
        <w:rPr>
          <w:rFonts w:eastAsia="Calibri" w:cs="Arial"/>
          <w:szCs w:val="24"/>
        </w:rPr>
        <w:t>and Completion Rates According to EMPACS Guidelines</w:t>
      </w:r>
      <w:r w:rsidRPr="009A2FB5">
        <w:rPr>
          <w:rFonts w:eastAsia="Calibri" w:cs="Arial"/>
          <w:szCs w:val="24"/>
        </w:rPr>
        <w:tab/>
        <w:t>496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 </w:t>
      </w:r>
      <w:r w:rsidRPr="009A2FB5">
        <w:rPr>
          <w:rFonts w:eastAsia="Calibri" w:cs="Arial"/>
          <w:szCs w:val="24"/>
        </w:rPr>
        <w:tab/>
        <w:t xml:space="preserve">Distribution of Responsibility for Vendor Diversity, Employee </w:t>
      </w:r>
      <w:r w:rsidR="00872971">
        <w:rPr>
          <w:rFonts w:eastAsia="Calibri" w:cs="Arial"/>
          <w:szCs w:val="24"/>
        </w:rPr>
        <w:br/>
      </w:r>
      <w:r w:rsidRPr="009A2FB5">
        <w:rPr>
          <w:rFonts w:eastAsia="Calibri" w:cs="Arial"/>
          <w:szCs w:val="24"/>
        </w:rPr>
        <w:t>Diversity, and Affirmative Action Obligations for PPL EU</w:t>
      </w:r>
      <w:r w:rsidRPr="009A2FB5">
        <w:rPr>
          <w:rFonts w:eastAsia="Calibri" w:cs="Arial"/>
          <w:szCs w:val="24"/>
        </w:rPr>
        <w:tab/>
        <w:t>499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2 </w:t>
      </w:r>
      <w:r w:rsidRPr="009A2FB5">
        <w:rPr>
          <w:rFonts w:eastAsia="Calibri" w:cs="Arial"/>
          <w:szCs w:val="24"/>
        </w:rPr>
        <w:tab/>
        <w:t>PPL EUS Supply Chain - Vendor Diversity Responsibility</w:t>
      </w:r>
      <w:r w:rsidRPr="009A2FB5">
        <w:rPr>
          <w:rFonts w:eastAsia="Calibri" w:cs="Arial"/>
          <w:szCs w:val="24"/>
        </w:rPr>
        <w:tab/>
        <w:t>501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3 </w:t>
      </w:r>
      <w:r w:rsidRPr="009A2FB5">
        <w:rPr>
          <w:rFonts w:eastAsia="Calibri" w:cs="Arial"/>
          <w:szCs w:val="24"/>
        </w:rPr>
        <w:tab/>
        <w:t>PPL SC and PPL EU Active Diverse Vendors 2015</w:t>
      </w:r>
      <w:r w:rsidRPr="009A2FB5">
        <w:rPr>
          <w:rFonts w:eastAsia="Calibri" w:cs="Arial"/>
          <w:szCs w:val="24"/>
        </w:rPr>
        <w:tab/>
        <w:t>503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4 </w:t>
      </w:r>
      <w:r w:rsidRPr="009A2FB5">
        <w:rPr>
          <w:rFonts w:eastAsia="Calibri" w:cs="Arial"/>
          <w:szCs w:val="24"/>
        </w:rPr>
        <w:tab/>
        <w:t>PPL EU Utility Sourcing Diversity Report 2010–2015</w:t>
      </w:r>
      <w:r w:rsidRPr="009A2FB5">
        <w:rPr>
          <w:rFonts w:eastAsia="Calibri" w:cs="Arial"/>
          <w:szCs w:val="24"/>
        </w:rPr>
        <w:tab/>
        <w:t>504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5 </w:t>
      </w:r>
      <w:r w:rsidRPr="009A2FB5">
        <w:rPr>
          <w:rFonts w:eastAsia="Calibri" w:cs="Arial"/>
          <w:szCs w:val="24"/>
        </w:rPr>
        <w:tab/>
        <w:t xml:space="preserve">PPL EU Actual Vendor Diversity Spend versus Established </w:t>
      </w:r>
      <w:r w:rsidR="00872971">
        <w:rPr>
          <w:rFonts w:eastAsia="Calibri" w:cs="Arial"/>
          <w:szCs w:val="24"/>
        </w:rPr>
        <w:br/>
      </w:r>
      <w:r w:rsidRPr="009A2FB5">
        <w:rPr>
          <w:rFonts w:eastAsia="Calibri" w:cs="Arial"/>
          <w:szCs w:val="24"/>
        </w:rPr>
        <w:t>Diversity Spend Goals 2010–2015</w:t>
      </w:r>
      <w:r w:rsidRPr="009A2FB5">
        <w:rPr>
          <w:rFonts w:eastAsia="Calibri" w:cs="Arial"/>
          <w:szCs w:val="24"/>
        </w:rPr>
        <w:tab/>
        <w:t>506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PPL SC and PPL EU Diverse Vendors as a Percent of Total </w:t>
      </w:r>
      <w:r w:rsidR="00872971">
        <w:rPr>
          <w:rFonts w:eastAsia="Calibri" w:cs="Arial"/>
          <w:szCs w:val="24"/>
        </w:rPr>
        <w:br/>
      </w:r>
      <w:r w:rsidRPr="009A2FB5">
        <w:rPr>
          <w:rFonts w:eastAsia="Calibri" w:cs="Arial"/>
          <w:szCs w:val="24"/>
        </w:rPr>
        <w:t>Vendors in 2015</w:t>
      </w:r>
      <w:r w:rsidRPr="009A2FB5">
        <w:rPr>
          <w:rFonts w:eastAsia="Calibri" w:cs="Arial"/>
          <w:szCs w:val="24"/>
        </w:rPr>
        <w:tab/>
        <w:t>507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7 </w:t>
      </w:r>
      <w:r w:rsidRPr="009A2FB5">
        <w:rPr>
          <w:rFonts w:eastAsia="Calibri" w:cs="Arial"/>
          <w:szCs w:val="24"/>
        </w:rPr>
        <w:tab/>
        <w:t>Count of PPL EU Diverse Vendor Contracts Awarded 2010–2015</w:t>
      </w:r>
      <w:r w:rsidRPr="009A2FB5">
        <w:rPr>
          <w:rFonts w:eastAsia="Calibri" w:cs="Arial"/>
          <w:szCs w:val="24"/>
        </w:rPr>
        <w:tab/>
        <w:t>507</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lastRenderedPageBreak/>
        <w:t>Exhibit XIV</w:t>
      </w:r>
      <w:r w:rsidR="00872971">
        <w:rPr>
          <w:rFonts w:eastAsia="Calibri" w:cs="Arial"/>
          <w:szCs w:val="24"/>
        </w:rPr>
        <w:t>-</w:t>
      </w:r>
      <w:r w:rsidRPr="009A2FB5">
        <w:rPr>
          <w:rFonts w:eastAsia="Calibri" w:cs="Arial"/>
          <w:szCs w:val="24"/>
        </w:rPr>
        <w:t xml:space="preserve">8 </w:t>
      </w:r>
      <w:r w:rsidRPr="009A2FB5">
        <w:rPr>
          <w:rFonts w:eastAsia="Calibri" w:cs="Arial"/>
          <w:szCs w:val="24"/>
        </w:rPr>
        <w:tab/>
        <w:t>PPL EUS Human Resources – Employee Diversity Responsibility</w:t>
      </w:r>
      <w:r w:rsidRPr="009A2FB5">
        <w:rPr>
          <w:rFonts w:eastAsia="Calibri" w:cs="Arial"/>
          <w:szCs w:val="24"/>
        </w:rPr>
        <w:tab/>
        <w:t>509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9 </w:t>
      </w:r>
      <w:r w:rsidRPr="009A2FB5">
        <w:rPr>
          <w:rFonts w:eastAsia="Calibri" w:cs="Arial"/>
          <w:szCs w:val="24"/>
        </w:rPr>
        <w:tab/>
        <w:t>PPL and PPL EU Internships in 2014 and 2015</w:t>
      </w:r>
      <w:r w:rsidRPr="009A2FB5">
        <w:rPr>
          <w:rFonts w:eastAsia="Calibri" w:cs="Arial"/>
          <w:szCs w:val="24"/>
        </w:rPr>
        <w:tab/>
        <w:t>512</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10 </w:t>
      </w:r>
      <w:r w:rsidRPr="009A2FB5">
        <w:rPr>
          <w:rFonts w:eastAsia="Calibri" w:cs="Arial"/>
          <w:szCs w:val="24"/>
        </w:rPr>
        <w:tab/>
        <w:t xml:space="preserve">Comparison of PPL EU Minority Employees to the Labor Market </w:t>
      </w:r>
      <w:r w:rsidR="00872971">
        <w:rPr>
          <w:rFonts w:eastAsia="Calibri" w:cs="Arial"/>
          <w:szCs w:val="24"/>
        </w:rPr>
        <w:br/>
      </w:r>
      <w:r w:rsidRPr="009A2FB5">
        <w:rPr>
          <w:rFonts w:eastAsia="Calibri" w:cs="Arial"/>
          <w:szCs w:val="24"/>
        </w:rPr>
        <w:t>2013</w:t>
      </w:r>
      <w:r w:rsidRPr="009A2FB5">
        <w:rPr>
          <w:rFonts w:eastAsia="Calibri" w:cs="Arial"/>
          <w:szCs w:val="24"/>
        </w:rPr>
        <w:tab/>
        <w:t>512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11 </w:t>
      </w:r>
      <w:r w:rsidRPr="009A2FB5">
        <w:rPr>
          <w:rFonts w:eastAsia="Calibri" w:cs="Arial"/>
          <w:szCs w:val="24"/>
        </w:rPr>
        <w:tab/>
        <w:t>Application Rates for Minorities and Females 2011–2015</w:t>
      </w:r>
      <w:r w:rsidRPr="009A2FB5">
        <w:rPr>
          <w:rFonts w:eastAsia="Calibri" w:cs="Arial"/>
          <w:szCs w:val="24"/>
        </w:rPr>
        <w:tab/>
        <w:t>513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12 </w:t>
      </w:r>
      <w:r w:rsidRPr="009A2FB5">
        <w:rPr>
          <w:rFonts w:eastAsia="Calibri" w:cs="Arial"/>
          <w:szCs w:val="24"/>
        </w:rPr>
        <w:tab/>
        <w:t>New Hire Rates for Minorities and Females 2011–2015</w:t>
      </w:r>
      <w:r w:rsidRPr="009A2FB5">
        <w:rPr>
          <w:rFonts w:eastAsia="Calibri" w:cs="Arial"/>
          <w:szCs w:val="24"/>
        </w:rPr>
        <w:tab/>
        <w:t>513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13 </w:t>
      </w:r>
      <w:r w:rsidRPr="009A2FB5">
        <w:rPr>
          <w:rFonts w:eastAsia="Calibri" w:cs="Arial"/>
          <w:szCs w:val="24"/>
        </w:rPr>
        <w:tab/>
        <w:t>Promotion Rates for Minorities and Females 2011–2015</w:t>
      </w:r>
      <w:r w:rsidRPr="009A2FB5">
        <w:rPr>
          <w:rFonts w:eastAsia="Calibri" w:cs="Arial"/>
          <w:szCs w:val="24"/>
        </w:rPr>
        <w:tab/>
        <w:t>514</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14 </w:t>
      </w:r>
      <w:r w:rsidRPr="009A2FB5">
        <w:rPr>
          <w:rFonts w:eastAsia="Calibri" w:cs="Arial"/>
          <w:szCs w:val="24"/>
        </w:rPr>
        <w:tab/>
        <w:t xml:space="preserve">Aggregate Termination Rates for Minorities and Females </w:t>
      </w:r>
      <w:r w:rsidR="00872971">
        <w:rPr>
          <w:rFonts w:eastAsia="Calibri" w:cs="Arial"/>
          <w:szCs w:val="24"/>
        </w:rPr>
        <w:br/>
      </w:r>
      <w:r w:rsidRPr="009A2FB5">
        <w:rPr>
          <w:rFonts w:eastAsia="Calibri" w:cs="Arial"/>
          <w:szCs w:val="24"/>
        </w:rPr>
        <w:t>2011–2015</w:t>
      </w:r>
      <w:r w:rsidRPr="009A2FB5">
        <w:rPr>
          <w:rFonts w:eastAsia="Calibri" w:cs="Arial"/>
          <w:szCs w:val="24"/>
        </w:rPr>
        <w:tab/>
        <w:t>514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15 </w:t>
      </w:r>
      <w:r w:rsidRPr="009A2FB5">
        <w:rPr>
          <w:rFonts w:eastAsia="Calibri" w:cs="Arial"/>
          <w:szCs w:val="24"/>
        </w:rPr>
        <w:tab/>
        <w:t xml:space="preserve">Involuntary Termination Rates for Minorities and Females </w:t>
      </w:r>
      <w:r w:rsidR="00872971">
        <w:rPr>
          <w:rFonts w:eastAsia="Calibri" w:cs="Arial"/>
          <w:szCs w:val="24"/>
        </w:rPr>
        <w:br/>
      </w:r>
      <w:r w:rsidRPr="009A2FB5">
        <w:rPr>
          <w:rFonts w:eastAsia="Calibri" w:cs="Arial"/>
          <w:szCs w:val="24"/>
        </w:rPr>
        <w:t>2011–2015</w:t>
      </w:r>
      <w:r w:rsidRPr="009A2FB5">
        <w:rPr>
          <w:rFonts w:eastAsia="Calibri" w:cs="Arial"/>
          <w:szCs w:val="24"/>
        </w:rPr>
        <w:tab/>
        <w:t>514</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16 </w:t>
      </w:r>
      <w:r w:rsidRPr="009A2FB5">
        <w:rPr>
          <w:rFonts w:eastAsia="Calibri" w:cs="Arial"/>
          <w:szCs w:val="24"/>
        </w:rPr>
        <w:tab/>
        <w:t xml:space="preserve">Voluntary Termination Rates for Minorities and Females </w:t>
      </w:r>
      <w:r w:rsidR="00872971">
        <w:rPr>
          <w:rFonts w:eastAsia="Calibri" w:cs="Arial"/>
          <w:szCs w:val="24"/>
        </w:rPr>
        <w:br/>
      </w:r>
      <w:r w:rsidRPr="009A2FB5">
        <w:rPr>
          <w:rFonts w:eastAsia="Calibri" w:cs="Arial"/>
          <w:szCs w:val="24"/>
        </w:rPr>
        <w:t>2011–2015</w:t>
      </w:r>
      <w:r w:rsidRPr="009A2FB5">
        <w:rPr>
          <w:rFonts w:eastAsia="Calibri" w:cs="Arial"/>
          <w:szCs w:val="24"/>
        </w:rPr>
        <w:tab/>
        <w:t>515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17 </w:t>
      </w:r>
      <w:r w:rsidRPr="009A2FB5">
        <w:rPr>
          <w:rFonts w:eastAsia="Calibri" w:cs="Arial"/>
          <w:szCs w:val="24"/>
        </w:rPr>
        <w:tab/>
        <w:t>PPL SC HR – Affirmative Action Program Responsibility</w:t>
      </w:r>
      <w:r w:rsidRPr="009A2FB5">
        <w:rPr>
          <w:rFonts w:eastAsia="Calibri" w:cs="Arial"/>
          <w:szCs w:val="24"/>
        </w:rPr>
        <w:tab/>
        <w:t>517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18 </w:t>
      </w:r>
      <w:r w:rsidRPr="009A2FB5">
        <w:rPr>
          <w:rFonts w:eastAsia="Calibri" w:cs="Arial"/>
          <w:szCs w:val="24"/>
        </w:rPr>
        <w:tab/>
        <w:t xml:space="preserve">Percentage of Minority, Female, Veteran, and Persons with </w:t>
      </w:r>
      <w:r w:rsidR="00872971">
        <w:rPr>
          <w:rFonts w:eastAsia="Calibri" w:cs="Arial"/>
          <w:szCs w:val="24"/>
        </w:rPr>
        <w:br/>
      </w:r>
      <w:r w:rsidRPr="009A2FB5">
        <w:rPr>
          <w:rFonts w:eastAsia="Calibri" w:cs="Arial"/>
          <w:szCs w:val="24"/>
        </w:rPr>
        <w:t>Disability in the PPL EU Workforce</w:t>
      </w:r>
      <w:r w:rsidRPr="009A2FB5">
        <w:rPr>
          <w:rFonts w:eastAsia="Calibri" w:cs="Arial"/>
          <w:szCs w:val="24"/>
        </w:rPr>
        <w:tab/>
        <w:t>519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19 </w:t>
      </w:r>
      <w:r w:rsidRPr="009A2FB5">
        <w:rPr>
          <w:rFonts w:eastAsia="Calibri" w:cs="Arial"/>
          <w:szCs w:val="24"/>
        </w:rPr>
        <w:tab/>
        <w:t>Minority Utilization 2012–2015</w:t>
      </w:r>
      <w:r w:rsidRPr="009A2FB5">
        <w:rPr>
          <w:rFonts w:eastAsia="Calibri" w:cs="Arial"/>
          <w:szCs w:val="24"/>
        </w:rPr>
        <w:tab/>
        <w:t>520</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20 </w:t>
      </w:r>
      <w:r w:rsidRPr="009A2FB5">
        <w:rPr>
          <w:rFonts w:eastAsia="Calibri" w:cs="Arial"/>
          <w:szCs w:val="24"/>
        </w:rPr>
        <w:tab/>
        <w:t>Female Utilization 2012–2015</w:t>
      </w:r>
      <w:r w:rsidRPr="009A2FB5">
        <w:rPr>
          <w:rFonts w:eastAsia="Calibri" w:cs="Arial"/>
          <w:szCs w:val="24"/>
        </w:rPr>
        <w:tab/>
        <w:t>521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XIV</w:t>
      </w:r>
      <w:r w:rsidR="00872971">
        <w:rPr>
          <w:rFonts w:eastAsia="Calibri" w:cs="Arial"/>
          <w:szCs w:val="24"/>
        </w:rPr>
        <w:t>-</w:t>
      </w:r>
      <w:r w:rsidRPr="009A2FB5">
        <w:rPr>
          <w:rFonts w:eastAsia="Calibri" w:cs="Arial"/>
          <w:szCs w:val="24"/>
        </w:rPr>
        <w:t xml:space="preserve">21 </w:t>
      </w:r>
      <w:r w:rsidRPr="009A2FB5">
        <w:rPr>
          <w:rFonts w:eastAsia="Calibri" w:cs="Arial"/>
          <w:szCs w:val="24"/>
        </w:rPr>
        <w:tab/>
        <w:t>PPL EU Employee Concerns, 2012–2015</w:t>
      </w:r>
      <w:r w:rsidRPr="009A2FB5">
        <w:rPr>
          <w:rFonts w:eastAsia="Calibri" w:cs="Arial"/>
          <w:szCs w:val="24"/>
        </w:rPr>
        <w:tab/>
        <w:t>523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 </w:t>
      </w:r>
      <w:r w:rsidRPr="009A2FB5">
        <w:rPr>
          <w:rFonts w:eastAsia="Calibri" w:cs="Arial"/>
          <w:szCs w:val="24"/>
        </w:rPr>
        <w:tab/>
        <w:t>Employee Position Changes</w:t>
      </w:r>
      <w:r w:rsidRPr="009A2FB5">
        <w:rPr>
          <w:rFonts w:eastAsia="Calibri" w:cs="Arial"/>
          <w:szCs w:val="24"/>
        </w:rPr>
        <w:tab/>
        <w:t>526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 </w:t>
      </w:r>
      <w:r w:rsidRPr="009A2FB5">
        <w:rPr>
          <w:rFonts w:eastAsia="Calibri" w:cs="Arial"/>
          <w:szCs w:val="24"/>
        </w:rPr>
        <w:tab/>
        <w:t>Employee Position Trend – as of Year End</w:t>
      </w:r>
      <w:r w:rsidRPr="009A2FB5">
        <w:rPr>
          <w:rFonts w:eastAsia="Calibri" w:cs="Arial"/>
          <w:szCs w:val="24"/>
        </w:rPr>
        <w:tab/>
        <w:t>526</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3 </w:t>
      </w:r>
      <w:r w:rsidRPr="009A2FB5">
        <w:rPr>
          <w:rFonts w:eastAsia="Calibri" w:cs="Arial"/>
          <w:szCs w:val="24"/>
        </w:rPr>
        <w:tab/>
        <w:t>T&amp;S Staffing Changes 2014–2015 and 2016 Forecast</w:t>
      </w:r>
      <w:r w:rsidRPr="009A2FB5">
        <w:rPr>
          <w:rFonts w:eastAsia="Calibri" w:cs="Arial"/>
          <w:szCs w:val="24"/>
        </w:rPr>
        <w:tab/>
        <w:t>529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4 </w:t>
      </w:r>
      <w:r w:rsidRPr="009A2FB5">
        <w:rPr>
          <w:rFonts w:eastAsia="Calibri" w:cs="Arial"/>
          <w:szCs w:val="24"/>
        </w:rPr>
        <w:tab/>
        <w:t>Five Year Transmission Capital Project Plan 2016–2020</w:t>
      </w:r>
      <w:r w:rsidRPr="009A2FB5">
        <w:rPr>
          <w:rFonts w:eastAsia="Calibri" w:cs="Arial"/>
          <w:szCs w:val="24"/>
        </w:rPr>
        <w:tab/>
        <w:t>531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5 </w:t>
      </w:r>
      <w:r w:rsidRPr="009A2FB5">
        <w:rPr>
          <w:rFonts w:eastAsia="Calibri" w:cs="Arial"/>
          <w:szCs w:val="24"/>
        </w:rPr>
        <w:tab/>
        <w:t>T&amp;S Staff Augmentation Contractor FTEs as of March 31, 2016</w:t>
      </w:r>
      <w:r w:rsidRPr="009A2FB5">
        <w:rPr>
          <w:rFonts w:eastAsia="Calibri" w:cs="Arial"/>
          <w:szCs w:val="24"/>
        </w:rPr>
        <w:tab/>
        <w:t>533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Distribution Operations Staffing Changes 2014–2015 and 2016 </w:t>
      </w:r>
      <w:r w:rsidRPr="009A2FB5">
        <w:rPr>
          <w:rFonts w:eastAsia="Calibri" w:cs="Arial"/>
          <w:szCs w:val="24"/>
        </w:rPr>
        <w:br/>
        <w:t>Forecast</w:t>
      </w:r>
      <w:r w:rsidRPr="009A2FB5">
        <w:rPr>
          <w:rFonts w:eastAsia="Calibri" w:cs="Arial"/>
          <w:szCs w:val="24"/>
        </w:rPr>
        <w:tab/>
        <w:t>538</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7 </w:t>
      </w:r>
      <w:r w:rsidRPr="009A2FB5">
        <w:rPr>
          <w:rFonts w:eastAsia="Calibri" w:cs="Arial"/>
          <w:szCs w:val="24"/>
        </w:rPr>
        <w:tab/>
        <w:t xml:space="preserve">PPL EU Technical Development and Improvement Staffing </w:t>
      </w:r>
      <w:r w:rsidR="00872971">
        <w:rPr>
          <w:rFonts w:eastAsia="Calibri" w:cs="Arial"/>
          <w:szCs w:val="24"/>
        </w:rPr>
        <w:br/>
      </w:r>
      <w:r w:rsidRPr="009A2FB5">
        <w:rPr>
          <w:rFonts w:eastAsia="Calibri" w:cs="Arial"/>
          <w:szCs w:val="24"/>
        </w:rPr>
        <w:t>Changes 2014–2015</w:t>
      </w:r>
      <w:r w:rsidRPr="009A2FB5">
        <w:rPr>
          <w:rFonts w:eastAsia="Calibri" w:cs="Arial"/>
          <w:szCs w:val="24"/>
        </w:rPr>
        <w:tab/>
        <w:t>543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8 </w:t>
      </w:r>
      <w:r w:rsidRPr="009A2FB5">
        <w:rPr>
          <w:rFonts w:eastAsia="Calibri" w:cs="Arial"/>
          <w:szCs w:val="24"/>
        </w:rPr>
        <w:tab/>
        <w:t xml:space="preserve">Distribution Operations Staff Augmentation Contractor FTEs as </w:t>
      </w:r>
      <w:r w:rsidR="00872971">
        <w:rPr>
          <w:rFonts w:eastAsia="Calibri" w:cs="Arial"/>
          <w:szCs w:val="24"/>
        </w:rPr>
        <w:br/>
      </w:r>
      <w:r w:rsidRPr="009A2FB5">
        <w:rPr>
          <w:rFonts w:eastAsia="Calibri" w:cs="Arial"/>
          <w:szCs w:val="24"/>
        </w:rPr>
        <w:t>of March 31, 2016</w:t>
      </w:r>
      <w:r w:rsidRPr="009A2FB5">
        <w:rPr>
          <w:rFonts w:eastAsia="Calibri" w:cs="Arial"/>
          <w:szCs w:val="24"/>
        </w:rPr>
        <w:tab/>
        <w:t>544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9 </w:t>
      </w:r>
      <w:r w:rsidRPr="009A2FB5">
        <w:rPr>
          <w:rFonts w:eastAsia="Calibri" w:cs="Arial"/>
          <w:szCs w:val="24"/>
        </w:rPr>
        <w:tab/>
        <w:t xml:space="preserve">Distribution Operations Field Contractor FTEs Yearend 2015 </w:t>
      </w:r>
      <w:r w:rsidR="00872971">
        <w:rPr>
          <w:rFonts w:eastAsia="Calibri" w:cs="Arial"/>
          <w:szCs w:val="24"/>
        </w:rPr>
        <w:br/>
      </w:r>
      <w:r w:rsidRPr="009A2FB5">
        <w:rPr>
          <w:rFonts w:eastAsia="Calibri" w:cs="Arial"/>
          <w:szCs w:val="24"/>
        </w:rPr>
        <w:t>Actual and 2016 Projected</w:t>
      </w:r>
      <w:r w:rsidRPr="009A2FB5">
        <w:rPr>
          <w:rFonts w:eastAsia="Calibri" w:cs="Arial"/>
          <w:szCs w:val="24"/>
        </w:rPr>
        <w:tab/>
        <w:t>546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10 </w:t>
      </w:r>
      <w:r w:rsidRPr="009A2FB5">
        <w:rPr>
          <w:rFonts w:eastAsia="Calibri" w:cs="Arial"/>
          <w:szCs w:val="24"/>
        </w:rPr>
        <w:tab/>
        <w:t xml:space="preserve">PPL EU Customer Experience Employee Staffing Changes </w:t>
      </w:r>
      <w:r w:rsidRPr="009A2FB5">
        <w:rPr>
          <w:rFonts w:eastAsia="Calibri" w:cs="Arial"/>
          <w:szCs w:val="24"/>
        </w:rPr>
        <w:br/>
        <w:t>2014–2015</w:t>
      </w:r>
      <w:r w:rsidRPr="009A2FB5">
        <w:rPr>
          <w:rFonts w:eastAsia="Calibri" w:cs="Arial"/>
          <w:szCs w:val="24"/>
        </w:rPr>
        <w:tab/>
        <w:t>552</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11 </w:t>
      </w:r>
      <w:r w:rsidRPr="009A2FB5">
        <w:rPr>
          <w:rFonts w:eastAsia="Calibri" w:cs="Arial"/>
          <w:szCs w:val="24"/>
        </w:rPr>
        <w:tab/>
        <w:t xml:space="preserve">PPL EU Customer Service Representatives – 2015 Business </w:t>
      </w:r>
      <w:r w:rsidR="00872971">
        <w:rPr>
          <w:rFonts w:eastAsia="Calibri" w:cs="Arial"/>
          <w:szCs w:val="24"/>
        </w:rPr>
        <w:br/>
      </w:r>
      <w:r w:rsidRPr="009A2FB5">
        <w:rPr>
          <w:rFonts w:eastAsia="Calibri" w:cs="Arial"/>
          <w:szCs w:val="24"/>
        </w:rPr>
        <w:t>Plan Forecast</w:t>
      </w:r>
      <w:r w:rsidRPr="009A2FB5">
        <w:rPr>
          <w:rFonts w:eastAsia="Calibri" w:cs="Arial"/>
          <w:szCs w:val="24"/>
        </w:rPr>
        <w:tab/>
        <w:t>552</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12 </w:t>
      </w:r>
      <w:r w:rsidRPr="009A2FB5">
        <w:rPr>
          <w:rFonts w:eastAsia="Calibri" w:cs="Arial"/>
          <w:szCs w:val="24"/>
        </w:rPr>
        <w:tab/>
        <w:t xml:space="preserve">PPL EU Customer Services Operations Employee Staffing </w:t>
      </w:r>
      <w:r w:rsidR="00872971">
        <w:rPr>
          <w:rFonts w:eastAsia="Calibri" w:cs="Arial"/>
          <w:szCs w:val="24"/>
        </w:rPr>
        <w:br/>
      </w:r>
      <w:r w:rsidRPr="009A2FB5">
        <w:rPr>
          <w:rFonts w:eastAsia="Calibri" w:cs="Arial"/>
          <w:szCs w:val="24"/>
        </w:rPr>
        <w:t>Changes 2014–2015</w:t>
      </w:r>
      <w:r w:rsidRPr="009A2FB5">
        <w:rPr>
          <w:rFonts w:eastAsia="Calibri" w:cs="Arial"/>
          <w:szCs w:val="24"/>
        </w:rPr>
        <w:tab/>
        <w:t>553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13 </w:t>
      </w:r>
      <w:r w:rsidRPr="009A2FB5">
        <w:rPr>
          <w:rFonts w:eastAsia="Calibri" w:cs="Arial"/>
          <w:szCs w:val="24"/>
        </w:rPr>
        <w:tab/>
        <w:t xml:space="preserve">PPL EU Regulatory Programs Employee Staffing Changes </w:t>
      </w:r>
      <w:r w:rsidRPr="009A2FB5">
        <w:rPr>
          <w:rFonts w:eastAsia="Calibri" w:cs="Arial"/>
          <w:szCs w:val="24"/>
        </w:rPr>
        <w:br/>
        <w:t>2014–2015</w:t>
      </w:r>
      <w:r w:rsidRPr="009A2FB5">
        <w:rPr>
          <w:rFonts w:eastAsia="Calibri" w:cs="Arial"/>
          <w:szCs w:val="24"/>
        </w:rPr>
        <w:tab/>
        <w:t>554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lastRenderedPageBreak/>
        <w:t>Exhibit XV</w:t>
      </w:r>
      <w:r w:rsidR="00872971">
        <w:rPr>
          <w:rFonts w:eastAsia="Calibri" w:cs="Arial"/>
          <w:szCs w:val="24"/>
        </w:rPr>
        <w:t>-</w:t>
      </w:r>
      <w:r w:rsidRPr="009A2FB5">
        <w:rPr>
          <w:rFonts w:eastAsia="Calibri" w:cs="Arial"/>
          <w:szCs w:val="24"/>
        </w:rPr>
        <w:t xml:space="preserve">14 </w:t>
      </w:r>
      <w:r w:rsidRPr="009A2FB5">
        <w:rPr>
          <w:rFonts w:eastAsia="Calibri" w:cs="Arial"/>
          <w:szCs w:val="24"/>
        </w:rPr>
        <w:tab/>
        <w:t xml:space="preserve">PPL EU Advanced Metering and Data Operations Employee </w:t>
      </w:r>
      <w:r w:rsidR="00872971">
        <w:rPr>
          <w:rFonts w:eastAsia="Calibri" w:cs="Arial"/>
          <w:szCs w:val="24"/>
        </w:rPr>
        <w:br/>
      </w:r>
      <w:r w:rsidRPr="009A2FB5">
        <w:rPr>
          <w:rFonts w:eastAsia="Calibri" w:cs="Arial"/>
          <w:szCs w:val="24"/>
        </w:rPr>
        <w:t>Staffing Changes 2014–2015</w:t>
      </w:r>
      <w:r w:rsidRPr="009A2FB5">
        <w:rPr>
          <w:rFonts w:eastAsia="Calibri" w:cs="Arial"/>
          <w:szCs w:val="24"/>
        </w:rPr>
        <w:tab/>
        <w:t>555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15 </w:t>
      </w:r>
      <w:r w:rsidRPr="009A2FB5">
        <w:rPr>
          <w:rFonts w:eastAsia="Calibri" w:cs="Arial"/>
          <w:szCs w:val="24"/>
        </w:rPr>
        <w:tab/>
        <w:t xml:space="preserve">PPL EU Revenue Operations Employee Staffing Changes </w:t>
      </w:r>
      <w:r w:rsidRPr="009A2FB5">
        <w:rPr>
          <w:rFonts w:eastAsia="Calibri" w:cs="Arial"/>
          <w:szCs w:val="24"/>
        </w:rPr>
        <w:br/>
        <w:t>2014–2015</w:t>
      </w:r>
      <w:r w:rsidRPr="009A2FB5">
        <w:rPr>
          <w:rFonts w:eastAsia="Calibri" w:cs="Arial"/>
          <w:szCs w:val="24"/>
        </w:rPr>
        <w:tab/>
        <w:t>556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16 </w:t>
      </w:r>
      <w:r w:rsidRPr="009A2FB5">
        <w:rPr>
          <w:rFonts w:eastAsia="Calibri" w:cs="Arial"/>
          <w:szCs w:val="24"/>
        </w:rPr>
        <w:tab/>
        <w:t xml:space="preserve">PPL SC Finance and Accounting Employee Staffing Changes </w:t>
      </w:r>
      <w:r w:rsidRPr="009A2FB5">
        <w:rPr>
          <w:rFonts w:eastAsia="Calibri" w:cs="Arial"/>
          <w:szCs w:val="24"/>
        </w:rPr>
        <w:br/>
        <w:t>2014–2015</w:t>
      </w:r>
      <w:r w:rsidRPr="009A2FB5">
        <w:rPr>
          <w:rFonts w:eastAsia="Calibri" w:cs="Arial"/>
          <w:szCs w:val="24"/>
        </w:rPr>
        <w:tab/>
        <w:t>560</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17 </w:t>
      </w:r>
      <w:r w:rsidRPr="009A2FB5">
        <w:rPr>
          <w:rFonts w:eastAsia="Calibri" w:cs="Arial"/>
          <w:szCs w:val="24"/>
        </w:rPr>
        <w:tab/>
        <w:t xml:space="preserve">PPL EUS Finance and Accounting Employee Staffing Changes </w:t>
      </w:r>
      <w:r w:rsidRPr="009A2FB5">
        <w:rPr>
          <w:rFonts w:eastAsia="Calibri" w:cs="Arial"/>
          <w:szCs w:val="24"/>
        </w:rPr>
        <w:br/>
        <w:t>2014–2015</w:t>
      </w:r>
      <w:r w:rsidRPr="009A2FB5">
        <w:rPr>
          <w:rFonts w:eastAsia="Calibri" w:cs="Arial"/>
          <w:szCs w:val="24"/>
        </w:rPr>
        <w:tab/>
        <w:t>563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18 </w:t>
      </w:r>
      <w:r w:rsidRPr="009A2FB5">
        <w:rPr>
          <w:rFonts w:eastAsia="Calibri" w:cs="Arial"/>
          <w:szCs w:val="24"/>
        </w:rPr>
        <w:tab/>
        <w:t xml:space="preserve">PPL SC Information Technology Employee Staffing Changes </w:t>
      </w:r>
      <w:r w:rsidRPr="009A2FB5">
        <w:rPr>
          <w:rFonts w:eastAsia="Calibri" w:cs="Arial"/>
          <w:szCs w:val="24"/>
        </w:rPr>
        <w:br/>
        <w:t>2014–2015</w:t>
      </w:r>
      <w:r w:rsidRPr="009A2FB5">
        <w:rPr>
          <w:rFonts w:eastAsia="Calibri" w:cs="Arial"/>
          <w:szCs w:val="24"/>
        </w:rPr>
        <w:tab/>
        <w:t>567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19 </w:t>
      </w:r>
      <w:r w:rsidRPr="009A2FB5">
        <w:rPr>
          <w:rFonts w:eastAsia="Calibri" w:cs="Arial"/>
          <w:szCs w:val="24"/>
        </w:rPr>
        <w:tab/>
        <w:t xml:space="preserve">PPL SC Human Resources Employee Staffing Changes </w:t>
      </w:r>
      <w:r w:rsidR="00872971">
        <w:rPr>
          <w:rFonts w:eastAsia="Calibri" w:cs="Arial"/>
          <w:szCs w:val="24"/>
        </w:rPr>
        <w:br/>
      </w:r>
      <w:r w:rsidRPr="009A2FB5">
        <w:rPr>
          <w:rFonts w:eastAsia="Calibri" w:cs="Arial"/>
          <w:szCs w:val="24"/>
        </w:rPr>
        <w:t>2014–2015</w:t>
      </w:r>
      <w:r w:rsidRPr="009A2FB5">
        <w:rPr>
          <w:rFonts w:eastAsia="Calibri" w:cs="Arial"/>
          <w:szCs w:val="24"/>
        </w:rPr>
        <w:tab/>
        <w:t>571</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20 </w:t>
      </w:r>
      <w:r w:rsidRPr="009A2FB5">
        <w:rPr>
          <w:rFonts w:eastAsia="Calibri" w:cs="Arial"/>
          <w:szCs w:val="24"/>
        </w:rPr>
        <w:tab/>
        <w:t xml:space="preserve">PPL EUS Human Resources Employee Staffing Changes </w:t>
      </w:r>
      <w:r w:rsidR="00872971">
        <w:rPr>
          <w:rFonts w:eastAsia="Calibri" w:cs="Arial"/>
          <w:szCs w:val="24"/>
        </w:rPr>
        <w:br/>
      </w:r>
      <w:r w:rsidRPr="009A2FB5">
        <w:rPr>
          <w:rFonts w:eastAsia="Calibri" w:cs="Arial"/>
          <w:szCs w:val="24"/>
        </w:rPr>
        <w:t>2014–2015</w:t>
      </w:r>
      <w:r w:rsidRPr="009A2FB5">
        <w:rPr>
          <w:rFonts w:eastAsia="Calibri" w:cs="Arial"/>
          <w:szCs w:val="24"/>
        </w:rPr>
        <w:tab/>
        <w:t>572</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21 </w:t>
      </w:r>
      <w:r w:rsidRPr="009A2FB5">
        <w:rPr>
          <w:rFonts w:eastAsia="Calibri" w:cs="Arial"/>
          <w:szCs w:val="24"/>
        </w:rPr>
        <w:tab/>
        <w:t xml:space="preserve">PPL SC Corporate Communication Employee Staffing Changes </w:t>
      </w:r>
      <w:r w:rsidRPr="009A2FB5">
        <w:rPr>
          <w:rFonts w:eastAsia="Calibri" w:cs="Arial"/>
          <w:szCs w:val="24"/>
        </w:rPr>
        <w:br/>
        <w:t>2014–2015</w:t>
      </w:r>
      <w:r w:rsidRPr="009A2FB5">
        <w:rPr>
          <w:rFonts w:eastAsia="Calibri" w:cs="Arial"/>
          <w:szCs w:val="24"/>
        </w:rPr>
        <w:tab/>
        <w:t>573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22 </w:t>
      </w:r>
      <w:r w:rsidRPr="009A2FB5">
        <w:rPr>
          <w:rFonts w:eastAsia="Calibri" w:cs="Arial"/>
          <w:szCs w:val="24"/>
        </w:rPr>
        <w:tab/>
        <w:t xml:space="preserve">PPL EUS Corporate Communication Employee Staffing Changes </w:t>
      </w:r>
      <w:r w:rsidRPr="009A2FB5">
        <w:rPr>
          <w:rFonts w:eastAsia="Calibri" w:cs="Arial"/>
          <w:szCs w:val="24"/>
        </w:rPr>
        <w:br/>
        <w:t>2014–2015</w:t>
      </w:r>
      <w:r w:rsidRPr="009A2FB5">
        <w:rPr>
          <w:rFonts w:eastAsia="Calibri" w:cs="Arial"/>
          <w:szCs w:val="24"/>
        </w:rPr>
        <w:tab/>
        <w:t>573</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23 </w:t>
      </w:r>
      <w:r w:rsidRPr="009A2FB5">
        <w:rPr>
          <w:rFonts w:eastAsia="Calibri" w:cs="Arial"/>
          <w:szCs w:val="24"/>
        </w:rPr>
        <w:tab/>
        <w:t xml:space="preserve">PPL SC Office of General Counsel Employee Staffing Changes </w:t>
      </w:r>
      <w:r w:rsidRPr="009A2FB5">
        <w:rPr>
          <w:rFonts w:eastAsia="Calibri" w:cs="Arial"/>
          <w:szCs w:val="24"/>
        </w:rPr>
        <w:br/>
        <w:t>2014–2015</w:t>
      </w:r>
      <w:r w:rsidRPr="009A2FB5">
        <w:rPr>
          <w:rFonts w:eastAsia="Calibri" w:cs="Arial"/>
          <w:szCs w:val="24"/>
        </w:rPr>
        <w:tab/>
        <w:t>574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24 </w:t>
      </w:r>
      <w:r w:rsidRPr="009A2FB5">
        <w:rPr>
          <w:rFonts w:eastAsia="Calibri" w:cs="Arial"/>
          <w:szCs w:val="24"/>
        </w:rPr>
        <w:tab/>
        <w:t>PPL SC Public Affairs Employee Staffing Changes 2014–2015</w:t>
      </w:r>
      <w:r w:rsidRPr="009A2FB5">
        <w:rPr>
          <w:rFonts w:eastAsia="Calibri" w:cs="Arial"/>
          <w:szCs w:val="24"/>
        </w:rPr>
        <w:tab/>
        <w:t>575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25 </w:t>
      </w:r>
      <w:r w:rsidRPr="009A2FB5">
        <w:rPr>
          <w:rFonts w:eastAsia="Calibri" w:cs="Arial"/>
          <w:szCs w:val="24"/>
        </w:rPr>
        <w:tab/>
        <w:t>PPL EUS Supply Chain Employee Staffing Changes 2015–2016</w:t>
      </w:r>
      <w:r w:rsidRPr="009A2FB5">
        <w:rPr>
          <w:rFonts w:eastAsia="Calibri" w:cs="Arial"/>
          <w:szCs w:val="24"/>
        </w:rPr>
        <w:tab/>
        <w:t>577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26 </w:t>
      </w:r>
      <w:r w:rsidRPr="009A2FB5">
        <w:rPr>
          <w:rFonts w:eastAsia="Calibri" w:cs="Arial"/>
          <w:szCs w:val="24"/>
        </w:rPr>
        <w:tab/>
        <w:t xml:space="preserve">PPL EUS Facilities Management Employee Staffing Changes </w:t>
      </w:r>
      <w:r w:rsidRPr="009A2FB5">
        <w:rPr>
          <w:rFonts w:eastAsia="Calibri" w:cs="Arial"/>
          <w:szCs w:val="24"/>
        </w:rPr>
        <w:br/>
        <w:t>2014–2015</w:t>
      </w:r>
      <w:r w:rsidRPr="009A2FB5">
        <w:rPr>
          <w:rFonts w:eastAsia="Calibri" w:cs="Arial"/>
          <w:szCs w:val="24"/>
        </w:rPr>
        <w:tab/>
        <w:t>579</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w:t>
      </w:r>
      <w:r w:rsidR="00872971">
        <w:rPr>
          <w:rFonts w:eastAsia="Calibri" w:cs="Arial"/>
          <w:szCs w:val="24"/>
        </w:rPr>
        <w:t>-</w:t>
      </w:r>
      <w:r w:rsidRPr="009A2FB5">
        <w:rPr>
          <w:rFonts w:eastAsia="Calibri" w:cs="Arial"/>
          <w:szCs w:val="24"/>
        </w:rPr>
        <w:t xml:space="preserve">27 </w:t>
      </w:r>
      <w:r w:rsidRPr="009A2FB5">
        <w:rPr>
          <w:rFonts w:eastAsia="Calibri" w:cs="Arial"/>
          <w:szCs w:val="24"/>
        </w:rPr>
        <w:tab/>
        <w:t xml:space="preserve">PPL SC Protective Services Employee Staffing Changes </w:t>
      </w:r>
      <w:r w:rsidR="00872971">
        <w:rPr>
          <w:rFonts w:eastAsia="Calibri" w:cs="Arial"/>
          <w:szCs w:val="24"/>
        </w:rPr>
        <w:br/>
      </w:r>
      <w:r w:rsidRPr="009A2FB5">
        <w:rPr>
          <w:rFonts w:eastAsia="Calibri" w:cs="Arial"/>
          <w:szCs w:val="24"/>
        </w:rPr>
        <w:t>2014–2015</w:t>
      </w:r>
      <w:r w:rsidRPr="009A2FB5">
        <w:rPr>
          <w:rFonts w:eastAsia="Calibri" w:cs="Arial"/>
          <w:szCs w:val="24"/>
        </w:rPr>
        <w:tab/>
        <w:t>580</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XVI</w:t>
      </w:r>
      <w:r w:rsidR="00872971">
        <w:rPr>
          <w:rFonts w:eastAsia="Calibri" w:cs="Arial"/>
          <w:szCs w:val="24"/>
        </w:rPr>
        <w:t>-</w:t>
      </w:r>
      <w:r w:rsidRPr="009A2FB5">
        <w:rPr>
          <w:rFonts w:eastAsia="Calibri" w:cs="Arial"/>
          <w:szCs w:val="24"/>
        </w:rPr>
        <w:t xml:space="preserve">1 </w:t>
      </w:r>
      <w:r w:rsidRPr="009A2FB5">
        <w:rPr>
          <w:rFonts w:eastAsia="Calibri" w:cs="Arial"/>
          <w:szCs w:val="24"/>
        </w:rPr>
        <w:tab/>
        <w:t xml:space="preserve">Utility O&amp;M Cost Changes over Four Years (year before to three </w:t>
      </w:r>
      <w:r w:rsidR="00872971">
        <w:rPr>
          <w:rFonts w:eastAsia="Calibri" w:cs="Arial"/>
          <w:szCs w:val="24"/>
        </w:rPr>
        <w:br/>
      </w:r>
      <w:r w:rsidRPr="009A2FB5">
        <w:rPr>
          <w:rFonts w:eastAsia="Calibri" w:cs="Arial"/>
          <w:szCs w:val="24"/>
        </w:rPr>
        <w:t>years after) for 32 Merged Utilities versus 19 Non-Merged Utilities</w:t>
      </w:r>
      <w:r w:rsidRPr="009A2FB5">
        <w:rPr>
          <w:rFonts w:eastAsia="Calibri" w:cs="Arial"/>
          <w:szCs w:val="24"/>
        </w:rPr>
        <w:tab/>
        <w:t>588</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XVI</w:t>
      </w:r>
      <w:r w:rsidR="00872971">
        <w:rPr>
          <w:rFonts w:eastAsia="Calibri" w:cs="Arial"/>
          <w:szCs w:val="24"/>
        </w:rPr>
        <w:t>-</w:t>
      </w:r>
      <w:r w:rsidRPr="009A2FB5">
        <w:rPr>
          <w:rFonts w:eastAsia="Calibri" w:cs="Arial"/>
          <w:szCs w:val="24"/>
        </w:rPr>
        <w:t xml:space="preserve">2 </w:t>
      </w:r>
      <w:r w:rsidRPr="009A2FB5">
        <w:rPr>
          <w:rFonts w:eastAsia="Calibri" w:cs="Arial"/>
          <w:szCs w:val="24"/>
        </w:rPr>
        <w:tab/>
        <w:t xml:space="preserve">Non-Fuel O&amp;M Merger Synergy Post-Merger Savings </w:t>
      </w:r>
      <w:proofErr w:type="gramStart"/>
      <w:r w:rsidRPr="009A2FB5">
        <w:rPr>
          <w:rFonts w:eastAsia="Calibri" w:cs="Arial"/>
          <w:szCs w:val="24"/>
        </w:rPr>
        <w:t>For</w:t>
      </w:r>
      <w:proofErr w:type="gramEnd"/>
      <w:r w:rsidRPr="009A2FB5">
        <w:rPr>
          <w:rFonts w:eastAsia="Calibri" w:cs="Arial"/>
          <w:szCs w:val="24"/>
        </w:rPr>
        <w:t xml:space="preserve"> a One </w:t>
      </w:r>
      <w:r w:rsidR="00872971">
        <w:rPr>
          <w:rFonts w:eastAsia="Calibri" w:cs="Arial"/>
          <w:szCs w:val="24"/>
        </w:rPr>
        <w:br/>
      </w:r>
      <w:r w:rsidRPr="009A2FB5">
        <w:rPr>
          <w:rFonts w:eastAsia="Calibri" w:cs="Arial"/>
          <w:szCs w:val="24"/>
        </w:rPr>
        <w:t>Million Customer Utility)</w:t>
      </w:r>
      <w:r w:rsidRPr="009A2FB5">
        <w:rPr>
          <w:rFonts w:eastAsia="Calibri" w:cs="Arial"/>
          <w:szCs w:val="24"/>
        </w:rPr>
        <w:tab/>
        <w:t>589</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XVI</w:t>
      </w:r>
      <w:r w:rsidR="00872971">
        <w:rPr>
          <w:rFonts w:eastAsia="Calibri" w:cs="Arial"/>
          <w:szCs w:val="24"/>
        </w:rPr>
        <w:t>-</w:t>
      </w:r>
      <w:r w:rsidRPr="009A2FB5">
        <w:rPr>
          <w:rFonts w:eastAsia="Calibri" w:cs="Arial"/>
          <w:szCs w:val="24"/>
        </w:rPr>
        <w:t xml:space="preserve">3 </w:t>
      </w:r>
      <w:r w:rsidRPr="009A2FB5">
        <w:rPr>
          <w:rFonts w:eastAsia="Calibri" w:cs="Arial"/>
          <w:szCs w:val="24"/>
        </w:rPr>
        <w:tab/>
        <w:t>Potential Merger Synergy Savings by Function</w:t>
      </w:r>
      <w:r w:rsidRPr="009A2FB5">
        <w:rPr>
          <w:rFonts w:eastAsia="Calibri" w:cs="Arial"/>
          <w:szCs w:val="24"/>
        </w:rPr>
        <w:tab/>
        <w:t>613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A</w:t>
      </w:r>
      <w:r w:rsidR="00872971">
        <w:rPr>
          <w:rFonts w:eastAsia="Calibri" w:cs="Arial"/>
          <w:szCs w:val="24"/>
        </w:rPr>
        <w:t>-</w:t>
      </w:r>
      <w:r w:rsidRPr="009A2FB5">
        <w:rPr>
          <w:rFonts w:eastAsia="Calibri" w:cs="Arial"/>
          <w:szCs w:val="24"/>
        </w:rPr>
        <w:t xml:space="preserve">1 </w:t>
      </w:r>
      <w:r w:rsidRPr="009A2FB5">
        <w:rPr>
          <w:rFonts w:eastAsia="Calibri" w:cs="Arial"/>
          <w:szCs w:val="24"/>
        </w:rPr>
        <w:tab/>
        <w:t>Operating Revenues</w:t>
      </w:r>
      <w:r w:rsidRPr="009A2FB5">
        <w:rPr>
          <w:rFonts w:eastAsia="Calibri" w:cs="Arial"/>
          <w:szCs w:val="24"/>
        </w:rPr>
        <w:tab/>
        <w:t>621</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A</w:t>
      </w:r>
      <w:r w:rsidR="00872971">
        <w:rPr>
          <w:rFonts w:eastAsia="Calibri" w:cs="Arial"/>
          <w:szCs w:val="24"/>
        </w:rPr>
        <w:t>-</w:t>
      </w:r>
      <w:r w:rsidRPr="009A2FB5">
        <w:rPr>
          <w:rFonts w:eastAsia="Calibri" w:cs="Arial"/>
          <w:szCs w:val="24"/>
        </w:rPr>
        <w:t xml:space="preserve">2 </w:t>
      </w:r>
      <w:r w:rsidRPr="009A2FB5">
        <w:rPr>
          <w:rFonts w:eastAsia="Calibri" w:cs="Arial"/>
          <w:szCs w:val="24"/>
        </w:rPr>
        <w:tab/>
        <w:t>Kilowatt Hours Sold (kWh)</w:t>
      </w:r>
      <w:r w:rsidRPr="009A2FB5">
        <w:rPr>
          <w:rFonts w:eastAsia="Calibri" w:cs="Arial"/>
          <w:szCs w:val="24"/>
        </w:rPr>
        <w:tab/>
        <w:t>622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A</w:t>
      </w:r>
      <w:r w:rsidR="00872971">
        <w:rPr>
          <w:rFonts w:eastAsia="Calibri" w:cs="Arial"/>
          <w:szCs w:val="24"/>
        </w:rPr>
        <w:t>-</w:t>
      </w:r>
      <w:r w:rsidRPr="009A2FB5">
        <w:rPr>
          <w:rFonts w:eastAsia="Calibri" w:cs="Arial"/>
          <w:szCs w:val="24"/>
        </w:rPr>
        <w:t xml:space="preserve">3 </w:t>
      </w:r>
      <w:r w:rsidRPr="009A2FB5">
        <w:rPr>
          <w:rFonts w:eastAsia="Calibri" w:cs="Arial"/>
          <w:szCs w:val="24"/>
        </w:rPr>
        <w:tab/>
        <w:t xml:space="preserve">Average Number of Customers </w:t>
      </w:r>
      <w:proofErr w:type="gramStart"/>
      <w:r w:rsidRPr="009A2FB5">
        <w:rPr>
          <w:rFonts w:eastAsia="Calibri" w:cs="Arial"/>
          <w:szCs w:val="24"/>
        </w:rPr>
        <w:t>Per</w:t>
      </w:r>
      <w:proofErr w:type="gramEnd"/>
      <w:r w:rsidRPr="009A2FB5">
        <w:rPr>
          <w:rFonts w:eastAsia="Calibri" w:cs="Arial"/>
          <w:szCs w:val="24"/>
        </w:rPr>
        <w:t xml:space="preserve"> Month</w:t>
      </w:r>
      <w:r w:rsidRPr="009A2FB5">
        <w:rPr>
          <w:rFonts w:eastAsia="Calibri" w:cs="Arial"/>
          <w:szCs w:val="24"/>
        </w:rPr>
        <w:tab/>
        <w:t>622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A</w:t>
      </w:r>
      <w:r w:rsidR="00872971">
        <w:rPr>
          <w:rFonts w:eastAsia="Calibri" w:cs="Arial"/>
          <w:szCs w:val="24"/>
        </w:rPr>
        <w:t>-</w:t>
      </w:r>
      <w:r w:rsidRPr="009A2FB5">
        <w:rPr>
          <w:rFonts w:eastAsia="Calibri" w:cs="Arial"/>
          <w:szCs w:val="24"/>
        </w:rPr>
        <w:t xml:space="preserve">4 </w:t>
      </w:r>
      <w:r w:rsidRPr="009A2FB5">
        <w:rPr>
          <w:rFonts w:eastAsia="Calibri" w:cs="Arial"/>
          <w:szCs w:val="24"/>
        </w:rPr>
        <w:tab/>
        <w:t>Operation and Maintenance Expenses</w:t>
      </w:r>
      <w:r w:rsidRPr="009A2FB5">
        <w:rPr>
          <w:rFonts w:eastAsia="Calibri" w:cs="Arial"/>
          <w:szCs w:val="24"/>
        </w:rPr>
        <w:tab/>
        <w:t>623</w:t>
      </w:r>
    </w:p>
    <w:p w:rsidR="009A2FB5" w:rsidRPr="009A2FB5" w:rsidRDefault="009A2FB5" w:rsidP="009A2FB5">
      <w:pPr>
        <w:tabs>
          <w:tab w:val="left" w:pos="1620"/>
          <w:tab w:val="right" w:leader="dot" w:pos="9360"/>
        </w:tabs>
        <w:spacing w:after="60"/>
        <w:jc w:val="left"/>
        <w:rPr>
          <w:rFonts w:eastAsia="Calibri" w:cs="Arial"/>
          <w:szCs w:val="24"/>
        </w:rPr>
      </w:pPr>
      <w:proofErr w:type="gramStart"/>
      <w:r w:rsidRPr="009A2FB5">
        <w:rPr>
          <w:rFonts w:eastAsia="Calibri" w:cs="Arial"/>
          <w:szCs w:val="24"/>
        </w:rPr>
        <w:t>Exhibit B</w:t>
      </w:r>
      <w:r w:rsidR="00872971">
        <w:rPr>
          <w:rFonts w:eastAsia="Calibri" w:cs="Arial"/>
          <w:szCs w:val="24"/>
        </w:rPr>
        <w:t>-</w:t>
      </w:r>
      <w:r w:rsidRPr="009A2FB5">
        <w:rPr>
          <w:rFonts w:eastAsia="Calibri" w:cs="Arial"/>
          <w:szCs w:val="24"/>
        </w:rPr>
        <w:t>1.</w:t>
      </w:r>
      <w:proofErr w:type="gramEnd"/>
      <w:r w:rsidRPr="009A2FB5">
        <w:rPr>
          <w:rFonts w:eastAsia="Calibri" w:cs="Arial"/>
          <w:szCs w:val="24"/>
        </w:rPr>
        <w:t xml:space="preserve"> </w:t>
      </w:r>
      <w:r w:rsidRPr="009A2FB5">
        <w:rPr>
          <w:rFonts w:eastAsia="Calibri" w:cs="Arial"/>
          <w:szCs w:val="24"/>
        </w:rPr>
        <w:tab/>
        <w:t>PPL Electric Utilities Corporation Balance Sheet</w:t>
      </w:r>
      <w:r w:rsidRPr="009A2FB5">
        <w:rPr>
          <w:rFonts w:eastAsia="Calibri" w:cs="Arial"/>
          <w:szCs w:val="24"/>
        </w:rPr>
        <w:tab/>
        <w:t>625</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 </w:t>
      </w:r>
      <w:r w:rsidRPr="009A2FB5">
        <w:rPr>
          <w:rFonts w:eastAsia="Calibri" w:cs="Arial"/>
          <w:szCs w:val="24"/>
        </w:rPr>
        <w:tab/>
        <w:t xml:space="preserve">Total Utility Operating Expense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629</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2 </w:t>
      </w:r>
      <w:r w:rsidRPr="009A2FB5">
        <w:rPr>
          <w:rFonts w:eastAsia="Calibri" w:cs="Arial"/>
          <w:szCs w:val="24"/>
        </w:rPr>
        <w:tab/>
        <w:t xml:space="preserve">Total Transmission Operation &amp; Maintenance Expense </w:t>
      </w:r>
      <w:proofErr w:type="gramStart"/>
      <w:r w:rsidRPr="009A2FB5">
        <w:rPr>
          <w:rFonts w:eastAsia="Calibri" w:cs="Arial"/>
          <w:szCs w:val="24"/>
        </w:rPr>
        <w:t>Per</w:t>
      </w:r>
      <w:proofErr w:type="gramEnd"/>
      <w:r w:rsidRPr="009A2FB5">
        <w:rPr>
          <w:rFonts w:eastAsia="Calibri" w:cs="Arial"/>
          <w:szCs w:val="24"/>
        </w:rPr>
        <w:t xml:space="preserve"> </w:t>
      </w:r>
      <w:r w:rsidR="00872971">
        <w:rPr>
          <w:rFonts w:eastAsia="Calibri" w:cs="Arial"/>
          <w:szCs w:val="24"/>
        </w:rPr>
        <w:br/>
      </w:r>
      <w:r w:rsidRPr="009A2FB5">
        <w:rPr>
          <w:rFonts w:eastAsia="Calibri" w:cs="Arial"/>
          <w:szCs w:val="24"/>
        </w:rPr>
        <w:t>Customer</w:t>
      </w:r>
      <w:r w:rsidRPr="009A2FB5">
        <w:rPr>
          <w:rFonts w:eastAsia="Calibri" w:cs="Arial"/>
          <w:szCs w:val="24"/>
        </w:rPr>
        <w:tab/>
        <w:t>630</w:t>
      </w:r>
    </w:p>
    <w:p w:rsidR="009A2FB5" w:rsidRPr="009A2FB5" w:rsidRDefault="009A2FB5" w:rsidP="00872971">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3 </w:t>
      </w:r>
      <w:r w:rsidRPr="009A2FB5">
        <w:rPr>
          <w:rFonts w:eastAsia="Calibri" w:cs="Arial"/>
          <w:szCs w:val="24"/>
        </w:rPr>
        <w:tab/>
        <w:t xml:space="preserve">Total Distribution Operation &amp; Maintenance Expense </w:t>
      </w:r>
      <w:proofErr w:type="gramStart"/>
      <w:r w:rsidRPr="009A2FB5">
        <w:rPr>
          <w:rFonts w:eastAsia="Calibri" w:cs="Arial"/>
          <w:szCs w:val="24"/>
        </w:rPr>
        <w:t>Per</w:t>
      </w:r>
      <w:proofErr w:type="gramEnd"/>
      <w:r w:rsidRPr="009A2FB5">
        <w:rPr>
          <w:rFonts w:eastAsia="Calibri" w:cs="Arial"/>
          <w:szCs w:val="24"/>
        </w:rPr>
        <w:t xml:space="preserve"> </w:t>
      </w:r>
      <w:r w:rsidR="00872971">
        <w:rPr>
          <w:rFonts w:eastAsia="Calibri" w:cs="Arial"/>
          <w:szCs w:val="24"/>
        </w:rPr>
        <w:br/>
      </w:r>
      <w:r w:rsidRPr="009A2FB5">
        <w:rPr>
          <w:rFonts w:eastAsia="Calibri" w:cs="Arial"/>
          <w:szCs w:val="24"/>
        </w:rPr>
        <w:t>Customer</w:t>
      </w:r>
      <w:r w:rsidRPr="009A2FB5">
        <w:rPr>
          <w:rFonts w:eastAsia="Calibri" w:cs="Arial"/>
          <w:szCs w:val="24"/>
        </w:rPr>
        <w:tab/>
        <w:t>631</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lastRenderedPageBreak/>
        <w:t>Exhibit C</w:t>
      </w:r>
      <w:r w:rsidR="00872971">
        <w:rPr>
          <w:rFonts w:eastAsia="Calibri" w:cs="Arial"/>
          <w:szCs w:val="24"/>
        </w:rPr>
        <w:t>-</w:t>
      </w:r>
      <w:r w:rsidRPr="009A2FB5">
        <w:rPr>
          <w:rFonts w:eastAsia="Calibri" w:cs="Arial"/>
          <w:szCs w:val="24"/>
        </w:rPr>
        <w:t xml:space="preserve">4 </w:t>
      </w:r>
      <w:r w:rsidRPr="009A2FB5">
        <w:rPr>
          <w:rFonts w:eastAsia="Calibri" w:cs="Arial"/>
          <w:szCs w:val="24"/>
        </w:rPr>
        <w:tab/>
        <w:t xml:space="preserve">Total Transmission and Distribution Operation &amp; Maintenance </w:t>
      </w:r>
      <w:r w:rsidR="00872971">
        <w:rPr>
          <w:rFonts w:eastAsia="Calibri" w:cs="Arial"/>
          <w:szCs w:val="24"/>
        </w:rPr>
        <w:br/>
      </w:r>
      <w:r w:rsidRPr="009A2FB5">
        <w:rPr>
          <w:rFonts w:eastAsia="Calibri" w:cs="Arial"/>
          <w:szCs w:val="24"/>
        </w:rPr>
        <w:t xml:space="preserve">Expense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5 </w:t>
      </w:r>
      <w:r w:rsidRPr="009A2FB5">
        <w:rPr>
          <w:rFonts w:eastAsia="Calibri" w:cs="Arial"/>
          <w:szCs w:val="24"/>
        </w:rPr>
        <w:tab/>
        <w:t xml:space="preserve">Total Administrative and General Expense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6 </w:t>
      </w:r>
      <w:r w:rsidRPr="009A2FB5">
        <w:rPr>
          <w:rFonts w:eastAsia="Calibri" w:cs="Arial"/>
          <w:szCs w:val="24"/>
        </w:rPr>
        <w:tab/>
        <w:t xml:space="preserve">Aggregate Customer Service Expenses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634</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7 </w:t>
      </w:r>
      <w:r w:rsidRPr="009A2FB5">
        <w:rPr>
          <w:rFonts w:eastAsia="Calibri" w:cs="Arial"/>
          <w:szCs w:val="24"/>
        </w:rPr>
        <w:tab/>
        <w:t xml:space="preserve">Aggregate Customer Service Expenses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8 </w:t>
      </w:r>
      <w:r w:rsidRPr="009A2FB5">
        <w:rPr>
          <w:rFonts w:eastAsia="Calibri" w:cs="Arial"/>
          <w:szCs w:val="24"/>
        </w:rPr>
        <w:tab/>
        <w:t xml:space="preserve">Total Other Power Supply Expense </w:t>
      </w:r>
      <w:proofErr w:type="gramStart"/>
      <w:r w:rsidRPr="009A2FB5">
        <w:rPr>
          <w:rFonts w:eastAsia="Calibri" w:cs="Arial"/>
          <w:szCs w:val="24"/>
        </w:rPr>
        <w:t>Per</w:t>
      </w:r>
      <w:proofErr w:type="gramEnd"/>
      <w:r w:rsidRPr="009A2FB5">
        <w:rPr>
          <w:rFonts w:eastAsia="Calibri" w:cs="Arial"/>
          <w:szCs w:val="24"/>
        </w:rPr>
        <w:t xml:space="preserve"> Provider of Last Resort </w:t>
      </w:r>
      <w:r w:rsidR="00872971">
        <w:rPr>
          <w:rFonts w:eastAsia="Calibri" w:cs="Arial"/>
          <w:szCs w:val="24"/>
        </w:rPr>
        <w:br/>
      </w:r>
      <w:r w:rsidRPr="009A2FB5">
        <w:rPr>
          <w:rFonts w:eastAsia="Calibri" w:cs="Arial"/>
          <w:szCs w:val="24"/>
        </w:rPr>
        <w:t>(POLR) Customer</w:t>
      </w:r>
      <w:r w:rsidRPr="009A2FB5">
        <w:rPr>
          <w:rFonts w:eastAsia="Calibri" w:cs="Arial"/>
          <w:szCs w:val="24"/>
        </w:rPr>
        <w:tab/>
        <w:t>636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9 </w:t>
      </w:r>
      <w:r w:rsidRPr="009A2FB5">
        <w:rPr>
          <w:rFonts w:eastAsia="Calibri" w:cs="Arial"/>
          <w:szCs w:val="24"/>
        </w:rPr>
        <w:tab/>
        <w:t xml:space="preserve">Total Transmission Plant Capital Additions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637</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10 </w:t>
      </w:r>
      <w:r w:rsidRPr="009A2FB5">
        <w:rPr>
          <w:rFonts w:eastAsia="Calibri" w:cs="Arial"/>
          <w:szCs w:val="24"/>
        </w:rPr>
        <w:tab/>
        <w:t xml:space="preserve">Total Distribution Plant Capital Additions </w:t>
      </w:r>
      <w:proofErr w:type="gramStart"/>
      <w:r w:rsidRPr="009A2FB5">
        <w:rPr>
          <w:rFonts w:eastAsia="Calibri" w:cs="Arial"/>
          <w:szCs w:val="24"/>
        </w:rPr>
        <w:t>Per</w:t>
      </w:r>
      <w:proofErr w:type="gramEnd"/>
      <w:r w:rsidRPr="009A2FB5">
        <w:rPr>
          <w:rFonts w:eastAsia="Calibri" w:cs="Arial"/>
          <w:szCs w:val="24"/>
        </w:rPr>
        <w:t xml:space="preserve"> Customer</w:t>
      </w:r>
      <w:r w:rsidRPr="009A2FB5">
        <w:rPr>
          <w:rFonts w:eastAsia="Calibri" w:cs="Arial"/>
          <w:szCs w:val="24"/>
        </w:rPr>
        <w:tab/>
        <w:t>638</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11 </w:t>
      </w:r>
      <w:r w:rsidRPr="009A2FB5">
        <w:rPr>
          <w:rFonts w:eastAsia="Calibri" w:cs="Arial"/>
          <w:szCs w:val="24"/>
        </w:rPr>
        <w:tab/>
        <w:t>Net Plant in Service to Gross Plant in Service Ratio</w:t>
      </w:r>
      <w:r w:rsidRPr="009A2FB5">
        <w:rPr>
          <w:rFonts w:eastAsia="Calibri" w:cs="Arial"/>
          <w:szCs w:val="24"/>
        </w:rPr>
        <w:tab/>
        <w:t>639</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12 </w:t>
      </w:r>
      <w:r w:rsidRPr="009A2FB5">
        <w:rPr>
          <w:rFonts w:eastAsia="Calibri" w:cs="Arial"/>
          <w:szCs w:val="24"/>
        </w:rPr>
        <w:tab/>
        <w:t xml:space="preserve">Total Transmission Operation &amp; Maintenance Expense as a </w:t>
      </w:r>
      <w:r w:rsidR="00872971">
        <w:rPr>
          <w:rFonts w:eastAsia="Calibri" w:cs="Arial"/>
          <w:szCs w:val="24"/>
        </w:rPr>
        <w:br/>
      </w:r>
      <w:r w:rsidRPr="009A2FB5">
        <w:rPr>
          <w:rFonts w:eastAsia="Calibri" w:cs="Arial"/>
          <w:szCs w:val="24"/>
        </w:rPr>
        <w:t>Percentage of Transmission Plant in Service</w:t>
      </w:r>
      <w:r w:rsidRPr="009A2FB5">
        <w:rPr>
          <w:rFonts w:eastAsia="Calibri" w:cs="Arial"/>
          <w:szCs w:val="24"/>
        </w:rPr>
        <w:tab/>
        <w:t>640</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13 </w:t>
      </w:r>
      <w:r w:rsidRPr="009A2FB5">
        <w:rPr>
          <w:rFonts w:eastAsia="Calibri" w:cs="Arial"/>
          <w:szCs w:val="24"/>
        </w:rPr>
        <w:tab/>
        <w:t xml:space="preserve">Total Distribution Operation &amp; Maintenance Expense as a </w:t>
      </w:r>
      <w:r w:rsidR="00872971">
        <w:rPr>
          <w:rFonts w:eastAsia="Calibri" w:cs="Arial"/>
          <w:szCs w:val="24"/>
        </w:rPr>
        <w:br/>
      </w:r>
      <w:r w:rsidRPr="009A2FB5">
        <w:rPr>
          <w:rFonts w:eastAsia="Calibri" w:cs="Arial"/>
          <w:szCs w:val="24"/>
        </w:rPr>
        <w:t>Percentage of Distribution Plant in Service</w:t>
      </w:r>
      <w:r w:rsidRPr="009A2FB5">
        <w:rPr>
          <w:rFonts w:eastAsia="Calibri" w:cs="Arial"/>
          <w:szCs w:val="24"/>
        </w:rPr>
        <w:tab/>
        <w:t>641</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C</w:t>
      </w:r>
      <w:r w:rsidR="00872971">
        <w:rPr>
          <w:rFonts w:eastAsia="Calibri" w:cs="Arial"/>
          <w:szCs w:val="24"/>
        </w:rPr>
        <w:t>-</w:t>
      </w:r>
      <w:r w:rsidRPr="009A2FB5">
        <w:rPr>
          <w:rFonts w:eastAsia="Calibri" w:cs="Arial"/>
          <w:szCs w:val="24"/>
        </w:rPr>
        <w:t xml:space="preserve">14 </w:t>
      </w:r>
      <w:r w:rsidRPr="009A2FB5">
        <w:rPr>
          <w:rFonts w:eastAsia="Calibri" w:cs="Arial"/>
          <w:szCs w:val="24"/>
        </w:rPr>
        <w:tab/>
        <w:t xml:space="preserve">Total Transmission &amp; Distribution Operation &amp; Maintenance </w:t>
      </w:r>
      <w:r w:rsidR="00872971">
        <w:rPr>
          <w:rFonts w:eastAsia="Calibri" w:cs="Arial"/>
          <w:szCs w:val="24"/>
        </w:rPr>
        <w:br/>
      </w:r>
      <w:r w:rsidRPr="009A2FB5">
        <w:rPr>
          <w:rFonts w:eastAsia="Calibri" w:cs="Arial"/>
          <w:szCs w:val="24"/>
        </w:rPr>
        <w:t xml:space="preserve">Expense as a  Percentage of Total Transmission &amp; Distribution </w:t>
      </w:r>
      <w:r w:rsidR="00872971">
        <w:rPr>
          <w:rFonts w:eastAsia="Calibri" w:cs="Arial"/>
          <w:szCs w:val="24"/>
        </w:rPr>
        <w:br/>
      </w:r>
      <w:r w:rsidRPr="009A2FB5">
        <w:rPr>
          <w:rFonts w:eastAsia="Calibri" w:cs="Arial"/>
          <w:szCs w:val="24"/>
        </w:rPr>
        <w:t>Plant in Service</w:t>
      </w:r>
      <w:r w:rsidRPr="009A2FB5">
        <w:rPr>
          <w:rFonts w:eastAsia="Calibri" w:cs="Arial"/>
          <w:szCs w:val="24"/>
        </w:rPr>
        <w:tab/>
        <w:t>642</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D</w:t>
      </w:r>
      <w:r w:rsidR="00872971">
        <w:rPr>
          <w:rFonts w:eastAsia="Calibri" w:cs="Arial"/>
          <w:szCs w:val="24"/>
        </w:rPr>
        <w:t>-</w:t>
      </w:r>
      <w:r w:rsidRPr="009A2FB5">
        <w:rPr>
          <w:rFonts w:eastAsia="Calibri" w:cs="Arial"/>
          <w:szCs w:val="24"/>
        </w:rPr>
        <w:t xml:space="preserve">1 </w:t>
      </w:r>
      <w:r w:rsidRPr="009A2FB5">
        <w:rPr>
          <w:rFonts w:eastAsia="Calibri" w:cs="Arial"/>
          <w:szCs w:val="24"/>
        </w:rPr>
        <w:tab/>
        <w:t>EDCs Percent of Calls Answered within 30 Seconds *</w:t>
      </w:r>
      <w:r w:rsidRPr="009A2FB5">
        <w:rPr>
          <w:rFonts w:eastAsia="Calibri" w:cs="Arial"/>
          <w:szCs w:val="24"/>
        </w:rPr>
        <w:tab/>
        <w:t>643</w:t>
      </w:r>
    </w:p>
    <w:p w:rsidR="009A2FB5" w:rsidRPr="009A2FB5" w:rsidRDefault="009A2FB5" w:rsidP="009A2FB5">
      <w:pPr>
        <w:tabs>
          <w:tab w:val="left" w:pos="1620"/>
          <w:tab w:val="right" w:leader="dot" w:pos="9360"/>
        </w:tabs>
        <w:spacing w:after="60"/>
        <w:jc w:val="left"/>
        <w:rPr>
          <w:rFonts w:eastAsia="Calibri" w:cs="Arial"/>
          <w:szCs w:val="24"/>
        </w:rPr>
      </w:pPr>
      <w:r w:rsidRPr="009A2FB5">
        <w:rPr>
          <w:rFonts w:eastAsia="Calibri" w:cs="Arial"/>
          <w:szCs w:val="24"/>
        </w:rPr>
        <w:t>Exhibit D</w:t>
      </w:r>
      <w:r w:rsidR="00872971">
        <w:rPr>
          <w:rFonts w:eastAsia="Calibri" w:cs="Arial"/>
          <w:szCs w:val="24"/>
        </w:rPr>
        <w:t>-</w:t>
      </w:r>
      <w:r w:rsidRPr="009A2FB5">
        <w:rPr>
          <w:rFonts w:eastAsia="Calibri" w:cs="Arial"/>
          <w:szCs w:val="24"/>
        </w:rPr>
        <w:t xml:space="preserve">2 </w:t>
      </w:r>
      <w:r w:rsidRPr="009A2FB5">
        <w:rPr>
          <w:rFonts w:eastAsia="Calibri" w:cs="Arial"/>
          <w:szCs w:val="24"/>
        </w:rPr>
        <w:tab/>
        <w:t>EDCs Call Abandonment Rate *</w:t>
      </w:r>
      <w:r w:rsidRPr="009A2FB5">
        <w:rPr>
          <w:rFonts w:eastAsia="Calibri" w:cs="Arial"/>
          <w:szCs w:val="24"/>
        </w:rPr>
        <w:tab/>
        <w:t>644</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D</w:t>
      </w:r>
      <w:r w:rsidR="00872971">
        <w:rPr>
          <w:rFonts w:eastAsia="Calibri" w:cs="Arial"/>
          <w:szCs w:val="24"/>
        </w:rPr>
        <w:t>-</w:t>
      </w:r>
      <w:r w:rsidRPr="009A2FB5">
        <w:rPr>
          <w:rFonts w:eastAsia="Calibri" w:cs="Arial"/>
          <w:szCs w:val="24"/>
        </w:rPr>
        <w:t xml:space="preserve">3 </w:t>
      </w:r>
      <w:r w:rsidRPr="009A2FB5">
        <w:rPr>
          <w:rFonts w:eastAsia="Calibri" w:cs="Arial"/>
          <w:szCs w:val="24"/>
        </w:rPr>
        <w:tab/>
        <w:t xml:space="preserve">Percent of EDCs Residential Meters Not Read by Company or </w:t>
      </w:r>
      <w:r w:rsidR="00872971">
        <w:rPr>
          <w:rFonts w:eastAsia="Calibri" w:cs="Arial"/>
          <w:szCs w:val="24"/>
        </w:rPr>
        <w:br/>
      </w:r>
      <w:r w:rsidRPr="009A2FB5">
        <w:rPr>
          <w:rFonts w:eastAsia="Calibri" w:cs="Arial"/>
          <w:szCs w:val="24"/>
        </w:rPr>
        <w:t>Customer in Six (6) Months *</w:t>
      </w:r>
      <w:r w:rsidRPr="009A2FB5">
        <w:rPr>
          <w:rFonts w:eastAsia="Calibri" w:cs="Arial"/>
          <w:szCs w:val="24"/>
        </w:rPr>
        <w:tab/>
        <w:t>645</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D</w:t>
      </w:r>
      <w:r w:rsidR="00872971">
        <w:rPr>
          <w:rFonts w:eastAsia="Calibri" w:cs="Arial"/>
          <w:szCs w:val="24"/>
        </w:rPr>
        <w:t>-</w:t>
      </w:r>
      <w:r w:rsidRPr="009A2FB5">
        <w:rPr>
          <w:rFonts w:eastAsia="Calibri" w:cs="Arial"/>
          <w:szCs w:val="24"/>
        </w:rPr>
        <w:t xml:space="preserve">4 </w:t>
      </w:r>
      <w:r w:rsidRPr="009A2FB5">
        <w:rPr>
          <w:rFonts w:eastAsia="Calibri" w:cs="Arial"/>
          <w:szCs w:val="24"/>
        </w:rPr>
        <w:tab/>
        <w:t xml:space="preserve">Residential Electric Gross Write-Offs </w:t>
      </w:r>
      <w:proofErr w:type="gramStart"/>
      <w:r w:rsidRPr="009A2FB5">
        <w:rPr>
          <w:rFonts w:eastAsia="Calibri" w:cs="Arial"/>
          <w:szCs w:val="24"/>
        </w:rPr>
        <w:t>Per</w:t>
      </w:r>
      <w:proofErr w:type="gramEnd"/>
      <w:r w:rsidRPr="009A2FB5">
        <w:rPr>
          <w:rFonts w:eastAsia="Calibri" w:cs="Arial"/>
          <w:szCs w:val="24"/>
        </w:rPr>
        <w:t xml:space="preserve"> Residential Electric </w:t>
      </w:r>
      <w:r w:rsidR="00872971">
        <w:rPr>
          <w:rFonts w:eastAsia="Calibri" w:cs="Arial"/>
          <w:szCs w:val="24"/>
        </w:rPr>
        <w:br/>
      </w:r>
      <w:r w:rsidRPr="009A2FB5">
        <w:rPr>
          <w:rFonts w:eastAsia="Calibri" w:cs="Arial"/>
          <w:szCs w:val="24"/>
        </w:rPr>
        <w:t>Customer</w:t>
      </w:r>
      <w:r w:rsidRPr="009A2FB5">
        <w:rPr>
          <w:rFonts w:eastAsia="Calibri" w:cs="Arial"/>
          <w:szCs w:val="24"/>
        </w:rPr>
        <w:tab/>
        <w:t>646</w:t>
      </w:r>
    </w:p>
    <w:p w:rsidR="009A2FB5" w:rsidRPr="009A2FB5" w:rsidRDefault="009A2FB5" w:rsidP="009A2FB5">
      <w:pPr>
        <w:tabs>
          <w:tab w:val="left" w:pos="1620"/>
          <w:tab w:val="right" w:leader="dot" w:pos="9360"/>
        </w:tabs>
        <w:spacing w:after="60"/>
        <w:ind w:left="1627" w:hanging="1627"/>
        <w:jc w:val="left"/>
        <w:rPr>
          <w:rFonts w:eastAsia="Calibri" w:cs="Arial"/>
          <w:szCs w:val="24"/>
        </w:rPr>
      </w:pPr>
      <w:r w:rsidRPr="009A2FB5">
        <w:rPr>
          <w:rFonts w:eastAsia="Calibri" w:cs="Arial"/>
          <w:szCs w:val="24"/>
        </w:rPr>
        <w:t>Exhibit D</w:t>
      </w:r>
      <w:r w:rsidR="00872971">
        <w:rPr>
          <w:rFonts w:eastAsia="Calibri" w:cs="Arial"/>
          <w:szCs w:val="24"/>
        </w:rPr>
        <w:t>-</w:t>
      </w:r>
      <w:r w:rsidRPr="009A2FB5">
        <w:rPr>
          <w:rFonts w:eastAsia="Calibri" w:cs="Arial"/>
          <w:szCs w:val="24"/>
        </w:rPr>
        <w:t xml:space="preserve">5 </w:t>
      </w:r>
      <w:r w:rsidRPr="009A2FB5">
        <w:rPr>
          <w:rFonts w:eastAsia="Calibri" w:cs="Arial"/>
          <w:szCs w:val="24"/>
        </w:rPr>
        <w:tab/>
        <w:t>Residential Electric Gross Write-Offs as a Percentage of Total Residential Operating Revenue</w:t>
      </w:r>
      <w:r w:rsidRPr="009A2FB5">
        <w:rPr>
          <w:rFonts w:eastAsia="Calibri" w:cs="Arial"/>
          <w:szCs w:val="24"/>
        </w:rPr>
        <w:tab/>
        <w:t>647</w:t>
      </w:r>
    </w:p>
    <w:p w:rsidR="001E3253" w:rsidRDefault="001E3253">
      <w:pPr>
        <w:spacing w:after="0"/>
        <w:jc w:val="left"/>
      </w:pPr>
    </w:p>
    <w:p w:rsidR="009A2FB5" w:rsidRDefault="009A2FB5">
      <w:pPr>
        <w:spacing w:after="0"/>
        <w:jc w:val="left"/>
      </w:pPr>
    </w:p>
    <w:p w:rsidR="009A2FB5" w:rsidRDefault="009A2FB5">
      <w:pPr>
        <w:spacing w:after="0"/>
        <w:jc w:val="left"/>
        <w:sectPr w:rsidR="009A2FB5" w:rsidSect="002E1582">
          <w:footerReference w:type="default" r:id="rId11"/>
          <w:pgSz w:w="12240" w:h="15840"/>
          <w:pgMar w:top="1440" w:right="1440" w:bottom="1440" w:left="1440" w:header="720" w:footer="720" w:gutter="0"/>
          <w:pgNumType w:fmt="lowerRoman" w:start="1"/>
          <w:cols w:space="720"/>
          <w:docGrid w:linePitch="360"/>
        </w:sectPr>
      </w:pPr>
    </w:p>
    <w:p w:rsidR="00407E73" w:rsidRDefault="00407E73" w:rsidP="00407E73">
      <w:pPr>
        <w:pStyle w:val="Heading1"/>
      </w:pPr>
      <w:bookmarkStart w:id="0" w:name="_Toc464551966"/>
      <w:r>
        <w:lastRenderedPageBreak/>
        <w:t>introduction</w:t>
      </w:r>
      <w:bookmarkEnd w:id="0"/>
    </w:p>
    <w:p w:rsidR="00EB08C6" w:rsidRDefault="00EB08C6" w:rsidP="008236C1">
      <w:r>
        <w:t>This is the final report of the Stratified Management and Operations audit (Management Audit) of PPL Electric Utilities Corporation (PPL EU) conducted by Vondle &amp; Associates, Inc. (V&amp;A) for the Bureau of Audits of the Pennsylvania Public Utility Commission (PUC).  The Management Audit started in May 2015 and the field work was completed in April 2016.</w:t>
      </w:r>
    </w:p>
    <w:p w:rsidR="00EB08C6" w:rsidRDefault="00EB08C6" w:rsidP="008236C1">
      <w:r>
        <w:t xml:space="preserve">Management and operational reviews, which are required of certain utility companies pursuant to 66 Pa. C.S. §516(a) and (c), come under the Commission’s general administrative power and authority to supervise and regulate all public utilities in the Commonwealth under 66 Pa. C.S. §501(b). More specifically, the Commission can investigate and examine the condition and management of any public </w:t>
      </w:r>
      <w:r>
        <w:rPr>
          <w:spacing w:val="-3"/>
        </w:rPr>
        <w:t xml:space="preserve">utility, </w:t>
      </w:r>
      <w:r>
        <w:t>under 66 Pa. C.S.</w:t>
      </w:r>
      <w:r>
        <w:rPr>
          <w:spacing w:val="7"/>
        </w:rPr>
        <w:t xml:space="preserve"> </w:t>
      </w:r>
      <w:r>
        <w:t>§331(a).</w:t>
      </w:r>
    </w:p>
    <w:p w:rsidR="00EB08C6" w:rsidRDefault="00EB08C6" w:rsidP="008236C1">
      <w:r>
        <w:t>This report represents the written product of the Management Audit and contains the resultant findings and recommendations for improvement in the management and operations of PPL EU.  The findings presented in the report identify areas with good performance as well as areas with opportunities for improvement.  In all cases of opportunities for improvement, recommendations are offered to PPL EU in order to capture these opportunities.</w:t>
      </w:r>
    </w:p>
    <w:p w:rsidR="00EB08C6" w:rsidRDefault="00EB08C6" w:rsidP="008236C1">
      <w:r>
        <w:t>T</w:t>
      </w:r>
      <w:r w:rsidRPr="00636AC0">
        <w:t xml:space="preserve">he findings, conclusions, and recommendations contained in the Management Audit are the findings, conclusions, and recommendations of </w:t>
      </w:r>
      <w:r>
        <w:t>V&amp;A</w:t>
      </w:r>
      <w:r w:rsidRPr="00636AC0">
        <w:t xml:space="preserve"> only, and, as such, are not necessarily agreed to by </w:t>
      </w:r>
      <w:r>
        <w:t>PPL EU or the PUC</w:t>
      </w:r>
      <w:r w:rsidRPr="00636AC0">
        <w:t>.</w:t>
      </w:r>
    </w:p>
    <w:p w:rsidR="00EB08C6" w:rsidRDefault="00EB08C6" w:rsidP="008236C1">
      <w:r>
        <w:t>This report relies on facts gathered from PPL EU and its affiliates through responses to document requests and interview questions.  PPL EU has reviewed the report for factual accuracy.  However, V&amp;A did not independently verify any of the facts provided by PPL EU.</w:t>
      </w:r>
    </w:p>
    <w:p w:rsidR="00EB08C6" w:rsidRDefault="00EB08C6" w:rsidP="008236C1">
      <w:pPr>
        <w:tabs>
          <w:tab w:val="left" w:pos="1800"/>
          <w:tab w:val="left" w:pos="1980"/>
          <w:tab w:val="left" w:pos="2070"/>
        </w:tabs>
      </w:pPr>
      <w:r>
        <w:t>This chapter includes the following sections:</w:t>
      </w:r>
    </w:p>
    <w:p w:rsidR="00EB08C6" w:rsidRDefault="00EB08C6" w:rsidP="004F00E5">
      <w:pPr>
        <w:pStyle w:val="Numbering"/>
        <w:numPr>
          <w:ilvl w:val="0"/>
          <w:numId w:val="95"/>
        </w:numPr>
      </w:pPr>
      <w:r>
        <w:t>Background</w:t>
      </w:r>
    </w:p>
    <w:p w:rsidR="00EB08C6" w:rsidRDefault="00EB08C6" w:rsidP="004F00E5">
      <w:pPr>
        <w:pStyle w:val="Numbering"/>
        <w:numPr>
          <w:ilvl w:val="0"/>
          <w:numId w:val="95"/>
        </w:numPr>
      </w:pPr>
      <w:r>
        <w:t>Objectives and Scope</w:t>
      </w:r>
    </w:p>
    <w:p w:rsidR="00EB08C6" w:rsidRDefault="00EB08C6" w:rsidP="004F00E5">
      <w:pPr>
        <w:pStyle w:val="Numbering"/>
        <w:numPr>
          <w:ilvl w:val="0"/>
          <w:numId w:val="95"/>
        </w:numPr>
      </w:pPr>
      <w:r>
        <w:t>Audit Approach</w:t>
      </w:r>
    </w:p>
    <w:p w:rsidR="00EB08C6" w:rsidRDefault="00EB08C6" w:rsidP="004F00E5">
      <w:pPr>
        <w:pStyle w:val="Numbering"/>
        <w:numPr>
          <w:ilvl w:val="0"/>
          <w:numId w:val="95"/>
        </w:numPr>
      </w:pPr>
      <w:r>
        <w:t>Report Organization</w:t>
      </w:r>
    </w:p>
    <w:p w:rsidR="00EB08C6" w:rsidRDefault="00EB08C6" w:rsidP="004F00E5">
      <w:pPr>
        <w:pStyle w:val="Numbering"/>
        <w:numPr>
          <w:ilvl w:val="0"/>
          <w:numId w:val="95"/>
        </w:numPr>
      </w:pPr>
      <w:r>
        <w:t>Functional Area Ratings</w:t>
      </w:r>
    </w:p>
    <w:p w:rsidR="00EB08C6" w:rsidRDefault="00EB08C6" w:rsidP="004F00E5">
      <w:pPr>
        <w:pStyle w:val="Numbering"/>
        <w:numPr>
          <w:ilvl w:val="0"/>
          <w:numId w:val="95"/>
        </w:numPr>
      </w:pPr>
      <w:r>
        <w:t>Findings and Recommendations Summary</w:t>
      </w:r>
    </w:p>
    <w:p w:rsidR="00EB08C6" w:rsidRPr="00B0162E" w:rsidRDefault="00EB08C6" w:rsidP="004F00E5">
      <w:pPr>
        <w:pStyle w:val="Heading2"/>
        <w:numPr>
          <w:ilvl w:val="0"/>
          <w:numId w:val="94"/>
        </w:numPr>
        <w:rPr>
          <w:bCs/>
        </w:rPr>
      </w:pPr>
      <w:bookmarkStart w:id="1" w:name="_Toc464551967"/>
      <w:r>
        <w:rPr>
          <w:u w:color="000000"/>
        </w:rPr>
        <w:t>Background</w:t>
      </w:r>
      <w:bookmarkEnd w:id="1"/>
    </w:p>
    <w:p w:rsidR="00EB08C6" w:rsidRDefault="00EB08C6" w:rsidP="008236C1">
      <w:r w:rsidRPr="00A57CCC">
        <w:t>PPL EU</w:t>
      </w:r>
      <w:r>
        <w:t xml:space="preserve"> was formed in 1920 (then </w:t>
      </w:r>
      <w:r w:rsidR="00876A9D">
        <w:t xml:space="preserve">known </w:t>
      </w:r>
      <w:r>
        <w:t>as Pennsylvania Power &amp; Light</w:t>
      </w:r>
      <w:r w:rsidR="00876A9D">
        <w:t xml:space="preserve"> Company</w:t>
      </w:r>
      <w:r>
        <w:t>) as a registered</w:t>
      </w:r>
      <w:r w:rsidRPr="005D30D2">
        <w:t xml:space="preserve"> </w:t>
      </w:r>
      <w:r>
        <w:t>corporation of the Commonwealth of Pennsylvania with its registered office at Two North Ninth Street, Allentown, Pennsylvania 18101.</w:t>
      </w:r>
      <w:r>
        <w:rPr>
          <w:rStyle w:val="FootnoteReference"/>
        </w:rPr>
        <w:footnoteReference w:id="1"/>
      </w:r>
      <w:r>
        <w:t xml:space="preserve">  In 1994, PPL EU formed what would become PPL Corporation as a holding company to serve as the parent of PPL EU and another unregulated subsidiary.</w:t>
      </w:r>
      <w:r>
        <w:rPr>
          <w:rStyle w:val="FootnoteReference"/>
        </w:rPr>
        <w:footnoteReference w:id="2"/>
      </w:r>
      <w:r>
        <w:t xml:space="preserve">  </w:t>
      </w:r>
      <w:r w:rsidRPr="005D2F0F">
        <w:t xml:space="preserve">Beginning in 2010, PPL </w:t>
      </w:r>
      <w:r>
        <w:t xml:space="preserve">Corporation </w:t>
      </w:r>
      <w:r w:rsidRPr="005D2F0F">
        <w:lastRenderedPageBreak/>
        <w:t>expanded the rate regulated po</w:t>
      </w:r>
      <w:r>
        <w:t>rtion of its business</w:t>
      </w:r>
      <w:r w:rsidRPr="005D2F0F">
        <w:t xml:space="preserve"> through the 2010 acquisition of </w:t>
      </w:r>
      <w:r w:rsidRPr="0017439E">
        <w:t>LG&amp;E and KU Energy LLC</w:t>
      </w:r>
      <w:r>
        <w:t xml:space="preserve"> (</w:t>
      </w:r>
      <w:r w:rsidRPr="00D2267E">
        <w:t>LKE</w:t>
      </w:r>
      <w:r>
        <w:t>)</w:t>
      </w:r>
      <w:r w:rsidRPr="005D2F0F">
        <w:t xml:space="preserve"> and the 2011 acquisition of </w:t>
      </w:r>
      <w:r>
        <w:t>Western Power Distribution Midlands</w:t>
      </w:r>
      <w:r w:rsidR="00876A9D">
        <w:t xml:space="preserve"> Companies (WPD Midlands)</w:t>
      </w:r>
      <w:r>
        <w:t xml:space="preserve">. </w:t>
      </w:r>
      <w:r w:rsidRPr="005D2F0F">
        <w:t xml:space="preserve">Through its subsidiaries, PPL </w:t>
      </w:r>
      <w:r>
        <w:t xml:space="preserve">Corporation </w:t>
      </w:r>
      <w:r w:rsidRPr="005D2F0F">
        <w:t>delivers el</w:t>
      </w:r>
      <w:r>
        <w:t>ectricity to customers in</w:t>
      </w:r>
      <w:r w:rsidRPr="005D2F0F">
        <w:t xml:space="preserve"> Pennsylvania, Kentucky, Virginia</w:t>
      </w:r>
      <w:r>
        <w:t>,</w:t>
      </w:r>
      <w:r w:rsidRPr="005D2F0F">
        <w:t xml:space="preserve"> Tennessee and</w:t>
      </w:r>
      <w:r w:rsidRPr="009F4271">
        <w:t xml:space="preserve"> </w:t>
      </w:r>
      <w:r>
        <w:t>the United Kingdom (UK)</w:t>
      </w:r>
      <w:r w:rsidRPr="005D2F0F">
        <w:t xml:space="preserve">; </w:t>
      </w:r>
      <w:r>
        <w:t xml:space="preserve">and </w:t>
      </w:r>
      <w:r w:rsidRPr="005D2F0F">
        <w:t>delivers natura</w:t>
      </w:r>
      <w:r>
        <w:t xml:space="preserve">l gas to customers in Kentucky.  </w:t>
      </w:r>
    </w:p>
    <w:p w:rsidR="00EB08C6" w:rsidRDefault="00EB08C6" w:rsidP="008236C1">
      <w:r>
        <w:t>Further</w:t>
      </w:r>
      <w:r w:rsidRPr="005D2F0F">
        <w:t xml:space="preserve">, in June 2014, PPL </w:t>
      </w:r>
      <w:r>
        <w:t xml:space="preserve">Corporation </w:t>
      </w:r>
      <w:r w:rsidRPr="005D2F0F">
        <w:t>and PPL Energy Supply</w:t>
      </w:r>
      <w:r w:rsidR="00B6717D">
        <w:t>, LLC</w:t>
      </w:r>
      <w:r w:rsidRPr="005D2F0F">
        <w:t xml:space="preserve"> executed definitive agreements with affiliates of </w:t>
      </w:r>
      <w:r w:rsidRPr="00D2267E">
        <w:t>Riverstone</w:t>
      </w:r>
      <w:r>
        <w:t xml:space="preserve"> Holdings, LLC</w:t>
      </w:r>
      <w:r w:rsidRPr="005D2F0F">
        <w:t xml:space="preserve"> to combine their competitive power generation</w:t>
      </w:r>
      <w:r>
        <w:t xml:space="preserve"> and related</w:t>
      </w:r>
      <w:r w:rsidRPr="005D2F0F">
        <w:t xml:space="preserve"> businesses into a new, stand-alone, publicly traded company named </w:t>
      </w:r>
      <w:r w:rsidRPr="00D2267E">
        <w:t>Talen Energy</w:t>
      </w:r>
      <w:r>
        <w:t xml:space="preserve"> Corporation (Talen).  The spinoff of PPL Corporation’s energy supply and related assets to Talen occurred on June 1, 2015.</w:t>
      </w:r>
    </w:p>
    <w:p w:rsidR="00EB08C6" w:rsidRDefault="00EB08C6" w:rsidP="008236C1">
      <w:r>
        <w:t xml:space="preserve">Support services are provided to PPL EU by PPL Services Corporation (PPL SC), PPL </w:t>
      </w:r>
      <w:r w:rsidR="00876A9D">
        <w:t>EU</w:t>
      </w:r>
      <w:r>
        <w:t xml:space="preserve"> Services Corporation (PPL EUS), and other subsidiaries of the PPL Corporation holding company.</w:t>
      </w:r>
      <w:r>
        <w:rPr>
          <w:rStyle w:val="FootnoteReference"/>
        </w:rPr>
        <w:footnoteReference w:id="3"/>
      </w:r>
    </w:p>
    <w:p w:rsidR="00EB08C6" w:rsidRPr="00BA3C72" w:rsidRDefault="00EB08C6" w:rsidP="008236C1">
      <w:pPr>
        <w:rPr>
          <w:rFonts w:cs="Arial"/>
          <w:szCs w:val="24"/>
        </w:rPr>
      </w:pPr>
      <w:r>
        <w:rPr>
          <w:rFonts w:cs="Arial"/>
          <w:szCs w:val="24"/>
        </w:rPr>
        <w:t xml:space="preserve">PPL EU serves approximately </w:t>
      </w:r>
      <w:r w:rsidRPr="00973FAC">
        <w:rPr>
          <w:rFonts w:cs="Arial"/>
          <w:szCs w:val="24"/>
        </w:rPr>
        <w:t>1.23 million residential, 172,900 commercial</w:t>
      </w:r>
      <w:r>
        <w:rPr>
          <w:rFonts w:cs="Arial"/>
          <w:szCs w:val="24"/>
        </w:rPr>
        <w:t>,</w:t>
      </w:r>
      <w:r w:rsidRPr="00973FAC">
        <w:rPr>
          <w:rFonts w:cs="Arial"/>
          <w:szCs w:val="24"/>
        </w:rPr>
        <w:t xml:space="preserve"> and 4,350 industrial</w:t>
      </w:r>
      <w:r>
        <w:rPr>
          <w:rFonts w:cs="Arial"/>
          <w:szCs w:val="24"/>
        </w:rPr>
        <w:t xml:space="preserve"> </w:t>
      </w:r>
      <w:r w:rsidRPr="00973FAC">
        <w:rPr>
          <w:rFonts w:cs="Arial"/>
          <w:szCs w:val="24"/>
        </w:rPr>
        <w:t>customers</w:t>
      </w:r>
      <w:r>
        <w:rPr>
          <w:rFonts w:cs="Arial"/>
          <w:szCs w:val="24"/>
        </w:rPr>
        <w:t xml:space="preserve"> in 29 counties of Pennsylvania and maintains over 48,000 miles of power lines </w:t>
      </w:r>
      <w:r w:rsidRPr="009C2B26">
        <w:rPr>
          <w:rFonts w:cs="Arial"/>
          <w:szCs w:val="24"/>
        </w:rPr>
        <w:t>in eastern and central Pennsylvania</w:t>
      </w:r>
      <w:r>
        <w:rPr>
          <w:rFonts w:cs="Arial"/>
          <w:szCs w:val="24"/>
        </w:rPr>
        <w:t xml:space="preserve">  The overall service area encompasses approximately 10,000 square miles and consists</w:t>
      </w:r>
      <w:r w:rsidRPr="00973FAC">
        <w:rPr>
          <w:rFonts w:cs="Arial"/>
          <w:szCs w:val="24"/>
        </w:rPr>
        <w:t xml:space="preserve"> of parts of the following counties in</w:t>
      </w:r>
      <w:r>
        <w:rPr>
          <w:rFonts w:cs="Arial"/>
          <w:szCs w:val="24"/>
        </w:rPr>
        <w:t xml:space="preserve"> </w:t>
      </w:r>
      <w:r w:rsidRPr="00973FAC">
        <w:rPr>
          <w:rFonts w:cs="Arial"/>
          <w:szCs w:val="24"/>
        </w:rPr>
        <w:t>Pennsylvania: Berks, Bucks, Carbon, Chester, Clinton, Columbia, Cumberland, Dauphin,</w:t>
      </w:r>
      <w:r>
        <w:rPr>
          <w:rFonts w:cs="Arial"/>
          <w:szCs w:val="24"/>
        </w:rPr>
        <w:t xml:space="preserve"> </w:t>
      </w:r>
      <w:r w:rsidRPr="00973FAC">
        <w:rPr>
          <w:rFonts w:cs="Arial"/>
          <w:szCs w:val="24"/>
        </w:rPr>
        <w:t>Juniata, Lackawanna, Lancaster, Lebanon, Lehigh, Luzerne, Lycoming, Monroe,</w:t>
      </w:r>
      <w:r>
        <w:rPr>
          <w:rFonts w:cs="Arial"/>
          <w:szCs w:val="24"/>
        </w:rPr>
        <w:t xml:space="preserve"> </w:t>
      </w:r>
      <w:r w:rsidRPr="00973FAC">
        <w:rPr>
          <w:rFonts w:cs="Arial"/>
          <w:szCs w:val="24"/>
        </w:rPr>
        <w:t>Montgomery, Montour, Northa</w:t>
      </w:r>
      <w:r>
        <w:rPr>
          <w:rFonts w:cs="Arial"/>
          <w:szCs w:val="24"/>
        </w:rPr>
        <w:t xml:space="preserve">mpton, </w:t>
      </w:r>
      <w:r w:rsidRPr="00973FAC">
        <w:rPr>
          <w:rFonts w:cs="Arial"/>
          <w:szCs w:val="24"/>
        </w:rPr>
        <w:t>Northumberland, Perry, Pike, Schuylkill, Snyder,</w:t>
      </w:r>
      <w:r>
        <w:rPr>
          <w:rFonts w:cs="Arial"/>
          <w:szCs w:val="24"/>
        </w:rPr>
        <w:t xml:space="preserve"> </w:t>
      </w:r>
      <w:r w:rsidRPr="00973FAC">
        <w:rPr>
          <w:rFonts w:cs="Arial"/>
          <w:szCs w:val="24"/>
        </w:rPr>
        <w:t>Susquehanna, Union, Wayne, Wyoming and York.</w:t>
      </w:r>
      <w:r>
        <w:rPr>
          <w:rFonts w:cs="Arial"/>
          <w:szCs w:val="24"/>
        </w:rPr>
        <w:t xml:space="preserve"> PPL EU</w:t>
      </w:r>
      <w:r w:rsidRPr="00741049">
        <w:rPr>
          <w:rFonts w:cs="Arial"/>
          <w:szCs w:val="24"/>
        </w:rPr>
        <w:t xml:space="preserve"> ha</w:t>
      </w:r>
      <w:r>
        <w:rPr>
          <w:rFonts w:cs="Arial"/>
          <w:szCs w:val="24"/>
        </w:rPr>
        <w:t>d</w:t>
      </w:r>
      <w:r w:rsidRPr="00741049">
        <w:rPr>
          <w:rFonts w:cs="Arial"/>
          <w:szCs w:val="24"/>
        </w:rPr>
        <w:t xml:space="preserve"> </w:t>
      </w:r>
      <w:r>
        <w:rPr>
          <w:rFonts w:cs="Arial"/>
          <w:szCs w:val="24"/>
        </w:rPr>
        <w:t xml:space="preserve">approximately </w:t>
      </w:r>
      <w:r w:rsidRPr="00741049">
        <w:rPr>
          <w:rFonts w:cs="Arial"/>
          <w:szCs w:val="24"/>
        </w:rPr>
        <w:t>2</w:t>
      </w:r>
      <w:r>
        <w:rPr>
          <w:rFonts w:cs="Arial"/>
          <w:szCs w:val="24"/>
        </w:rPr>
        <w:t>,2</w:t>
      </w:r>
      <w:r w:rsidRPr="00741049">
        <w:rPr>
          <w:rFonts w:cs="Arial"/>
          <w:szCs w:val="24"/>
        </w:rPr>
        <w:t xml:space="preserve">00 employees </w:t>
      </w:r>
      <w:r>
        <w:rPr>
          <w:rFonts w:cs="Arial"/>
          <w:szCs w:val="24"/>
        </w:rPr>
        <w:t xml:space="preserve">at the end of 2015 </w:t>
      </w:r>
      <w:r w:rsidRPr="00741049">
        <w:rPr>
          <w:rFonts w:cs="Arial"/>
          <w:szCs w:val="24"/>
        </w:rPr>
        <w:t>and operates about 40 service centers, garages, warehouses</w:t>
      </w:r>
      <w:r>
        <w:rPr>
          <w:rFonts w:cs="Arial"/>
          <w:szCs w:val="24"/>
        </w:rPr>
        <w:t>,</w:t>
      </w:r>
      <w:r w:rsidRPr="00741049">
        <w:rPr>
          <w:rFonts w:cs="Arial"/>
          <w:szCs w:val="24"/>
        </w:rPr>
        <w:t xml:space="preserve"> and other facilities in the 29 counties it serves in eastern and central Pennsylvania.</w:t>
      </w:r>
    </w:p>
    <w:p w:rsidR="00EB08C6" w:rsidRPr="00793FC3" w:rsidRDefault="00EB08C6" w:rsidP="004F00E5">
      <w:pPr>
        <w:pStyle w:val="Heading2"/>
        <w:numPr>
          <w:ilvl w:val="0"/>
          <w:numId w:val="94"/>
        </w:numPr>
        <w:rPr>
          <w:bCs/>
        </w:rPr>
      </w:pPr>
      <w:bookmarkStart w:id="2" w:name="_Toc464551968"/>
      <w:r w:rsidRPr="00907C46">
        <w:rPr>
          <w:u w:color="000000"/>
        </w:rPr>
        <w:t>objectives</w:t>
      </w:r>
      <w:r>
        <w:rPr>
          <w:u w:color="000000"/>
        </w:rPr>
        <w:t xml:space="preserve"> and scope</w:t>
      </w:r>
      <w:bookmarkEnd w:id="2"/>
    </w:p>
    <w:p w:rsidR="00EB08C6" w:rsidRPr="003B65C5" w:rsidRDefault="00EB08C6" w:rsidP="008236C1">
      <w:pPr>
        <w:tabs>
          <w:tab w:val="left" w:pos="748"/>
          <w:tab w:val="left" w:pos="2618"/>
        </w:tabs>
      </w:pPr>
      <w:r>
        <w:t>The following information is excerpted from the Request for Proposals (RFP) for this Management Audit.</w:t>
      </w:r>
    </w:p>
    <w:p w:rsidR="00EB08C6" w:rsidRPr="002346D2" w:rsidRDefault="00EB08C6" w:rsidP="008236C1">
      <w:pPr>
        <w:tabs>
          <w:tab w:val="left" w:pos="0"/>
        </w:tabs>
        <w:rPr>
          <w:i/>
        </w:rPr>
      </w:pPr>
      <w:proofErr w:type="gramStart"/>
      <w:r w:rsidRPr="001B4C2B">
        <w:rPr>
          <w:b/>
          <w:i/>
        </w:rPr>
        <w:t>I-4.</w:t>
      </w:r>
      <w:proofErr w:type="gramEnd"/>
      <w:r w:rsidRPr="001B4C2B">
        <w:rPr>
          <w:b/>
          <w:i/>
        </w:rPr>
        <w:tab/>
      </w:r>
      <w:proofErr w:type="gramStart"/>
      <w:r w:rsidRPr="001B4C2B">
        <w:rPr>
          <w:b/>
          <w:i/>
          <w:u w:val="single"/>
        </w:rPr>
        <w:t>PROBLEM STATEMENT</w:t>
      </w:r>
      <w:r w:rsidRPr="001B4C2B">
        <w:rPr>
          <w:b/>
          <w:i/>
        </w:rPr>
        <w:t>.</w:t>
      </w:r>
      <w:proofErr w:type="gramEnd"/>
      <w:r w:rsidRPr="001B4C2B">
        <w:rPr>
          <w:i/>
        </w:rPr>
        <w:tab/>
        <w:t>To assist the Commission in its task of regulation, Management Audits of the non-transportation utilities are conducted periodically.  Such audits will be used by the Commission to determine the extent to which a utility's management has contained costs, developed reasonable long and short-range plans for its continued operation, provided proper service to the customers it serves, and provided proper management and organizational st</w:t>
      </w:r>
      <w:r>
        <w:rPr>
          <w:i/>
        </w:rPr>
        <w:t>ructure</w:t>
      </w:r>
      <w:r w:rsidRPr="001B4C2B">
        <w:rPr>
          <w:i/>
        </w:rPr>
        <w:t xml:space="preserve">. </w:t>
      </w:r>
    </w:p>
    <w:p w:rsidR="00EB08C6" w:rsidRPr="00907C46" w:rsidRDefault="00EB08C6" w:rsidP="008236C1">
      <w:pPr>
        <w:rPr>
          <w:i/>
        </w:rPr>
      </w:pPr>
      <w:proofErr w:type="gramStart"/>
      <w:r w:rsidRPr="00907C46">
        <w:rPr>
          <w:b/>
          <w:i/>
        </w:rPr>
        <w:t>IV-1.</w:t>
      </w:r>
      <w:proofErr w:type="gramEnd"/>
      <w:r w:rsidRPr="00907C46">
        <w:rPr>
          <w:b/>
          <w:i/>
        </w:rPr>
        <w:tab/>
      </w:r>
      <w:proofErr w:type="gramStart"/>
      <w:r w:rsidRPr="00907C46">
        <w:rPr>
          <w:b/>
          <w:i/>
          <w:u w:val="single"/>
        </w:rPr>
        <w:t>GENERAL OBJECTIVES</w:t>
      </w:r>
      <w:r w:rsidRPr="00907C46">
        <w:rPr>
          <w:b/>
          <w:i/>
        </w:rPr>
        <w:t>.</w:t>
      </w:r>
      <w:proofErr w:type="gramEnd"/>
      <w:r w:rsidRPr="00907C46">
        <w:rPr>
          <w:i/>
        </w:rPr>
        <w:tab/>
        <w:t xml:space="preserve">  The objectives of this Management Audit include the determination of what improvements, if any, can be accomplished in the management and operations of the Utility.  Specifically, it is intended that the Management Audit encourage economies, efficiencies, or improvements which benefit the Utility and its ratepayers and identify which, if any, cost saving measures can be instituted.  The ultimate purpose is to explore economically practical opportunities for giving ratepayers lower rates and/or better service.</w:t>
      </w:r>
    </w:p>
    <w:p w:rsidR="00EB08C6" w:rsidRPr="00907C46" w:rsidRDefault="00EB08C6" w:rsidP="008236C1">
      <w:pPr>
        <w:rPr>
          <w:i/>
        </w:rPr>
      </w:pPr>
      <w:proofErr w:type="gramStart"/>
      <w:r w:rsidRPr="00907C46">
        <w:rPr>
          <w:b/>
          <w:i/>
        </w:rPr>
        <w:lastRenderedPageBreak/>
        <w:t>IV-2.</w:t>
      </w:r>
      <w:proofErr w:type="gramEnd"/>
      <w:r w:rsidRPr="00907C46">
        <w:rPr>
          <w:b/>
          <w:i/>
        </w:rPr>
        <w:tab/>
      </w:r>
      <w:r w:rsidRPr="00907C46">
        <w:rPr>
          <w:b/>
          <w:i/>
          <w:u w:val="single"/>
        </w:rPr>
        <w:t>AUDIT PHASES</w:t>
      </w:r>
      <w:r w:rsidRPr="00907C46">
        <w:rPr>
          <w:b/>
          <w:i/>
        </w:rPr>
        <w:t xml:space="preserve">. </w:t>
      </w:r>
      <w:r w:rsidRPr="00907C46">
        <w:rPr>
          <w:i/>
        </w:rPr>
        <w:t>The Management Audit will consist of two or three phases: a diagnostic review (Phase I), an in-depth analysis of Pre-Identified Areas or Issues (Phase II), and a potential focused analysis (Phase III) resulting from the diagnostic review.</w:t>
      </w:r>
    </w:p>
    <w:p w:rsidR="00EB08C6" w:rsidRPr="00907C46" w:rsidRDefault="00EB08C6" w:rsidP="008236C1">
      <w:pPr>
        <w:pStyle w:val="Normalindent1"/>
        <w:rPr>
          <w:i/>
        </w:rPr>
      </w:pPr>
      <w:proofErr w:type="gramStart"/>
      <w:r w:rsidRPr="00907C46">
        <w:rPr>
          <w:b/>
          <w:i/>
          <w:u w:val="single"/>
        </w:rPr>
        <w:t>PHASE</w:t>
      </w:r>
      <w:proofErr w:type="gramEnd"/>
      <w:r w:rsidRPr="00907C46">
        <w:rPr>
          <w:b/>
          <w:i/>
          <w:u w:val="single"/>
        </w:rPr>
        <w:t xml:space="preserve"> I – DIAGNOSTIC REVIEW</w:t>
      </w:r>
      <w:r w:rsidRPr="00907C46">
        <w:rPr>
          <w:b/>
          <w:i/>
        </w:rPr>
        <w:t>.</w:t>
      </w:r>
      <w:r w:rsidRPr="00907C46">
        <w:rPr>
          <w:i/>
        </w:rPr>
        <w:t xml:space="preserve">  The diagnostic review will assess the condition of each functional area or business unit against evaluative criteria or expected business practice.  The review will be sufficient to determine if the appropriate management controls, systems and processes are in place to identify significant problems, if any, requiring additional focused analysis.  Findings and recommendations will be rendered based on the work plans, data requests, analysis and interviews evaluating performance against the evaluative criteria or expected business practice.  </w:t>
      </w:r>
    </w:p>
    <w:p w:rsidR="00EB08C6" w:rsidRPr="00907C46" w:rsidRDefault="00EB08C6" w:rsidP="008236C1">
      <w:pPr>
        <w:pStyle w:val="Normalindent1"/>
        <w:rPr>
          <w:b/>
          <w:i/>
          <w:u w:val="single"/>
        </w:rPr>
      </w:pPr>
      <w:r w:rsidRPr="00907C46">
        <w:rPr>
          <w:b/>
          <w:i/>
          <w:u w:val="single"/>
        </w:rPr>
        <w:t>PHASE II – PRE-IDENTIFIED AREAS OR ISSUES</w:t>
      </w:r>
      <w:r w:rsidRPr="00907C46">
        <w:rPr>
          <w:b/>
          <w:i/>
        </w:rPr>
        <w:t>.</w:t>
      </w:r>
      <w:r w:rsidRPr="00907C46">
        <w:rPr>
          <w:i/>
        </w:rPr>
        <w:tab/>
        <w:t xml:space="preserve">The second phase of the Management Audit will consist of an in-depth analysis of the Pre-Identified Areas or Issues listed below.  </w:t>
      </w:r>
    </w:p>
    <w:p w:rsidR="00EB08C6" w:rsidRPr="00907C46" w:rsidRDefault="00EB08C6" w:rsidP="00EB08C6">
      <w:pPr>
        <w:pStyle w:val="Numbering"/>
        <w:numPr>
          <w:ilvl w:val="0"/>
          <w:numId w:val="9"/>
        </w:numPr>
        <w:rPr>
          <w:i/>
        </w:rPr>
      </w:pPr>
      <w:r w:rsidRPr="00907C46">
        <w:rPr>
          <w:i/>
        </w:rPr>
        <w:t xml:space="preserve">Review and assess PPL Electric Utilities governance policies, practices, procedures, and the Company’s adherence with the Sarbanes-Oxley Act of 2002.  </w:t>
      </w:r>
    </w:p>
    <w:p w:rsidR="00EB08C6" w:rsidRPr="00907C46" w:rsidRDefault="00EB08C6" w:rsidP="00EB08C6">
      <w:pPr>
        <w:pStyle w:val="Numbering"/>
        <w:numPr>
          <w:ilvl w:val="0"/>
          <w:numId w:val="9"/>
        </w:numPr>
        <w:rPr>
          <w:i/>
        </w:rPr>
      </w:pPr>
      <w:r w:rsidRPr="00907C46">
        <w:rPr>
          <w:i/>
        </w:rPr>
        <w:t xml:space="preserve">Identify and assess all relationships between PPL Electric Utilities and its affiliated entities.  </w:t>
      </w:r>
    </w:p>
    <w:p w:rsidR="00EB08C6" w:rsidRPr="00907C46" w:rsidRDefault="00EB08C6" w:rsidP="00EB08C6">
      <w:pPr>
        <w:pStyle w:val="Numbering"/>
        <w:numPr>
          <w:ilvl w:val="0"/>
          <w:numId w:val="9"/>
        </w:numPr>
        <w:rPr>
          <w:i/>
        </w:rPr>
      </w:pPr>
      <w:r w:rsidRPr="00907C46">
        <w:rPr>
          <w:i/>
        </w:rPr>
        <w:t xml:space="preserve">Review and assess the effectiveness of PPL Electric Utilities’ customer assistance program(s) (CAP), particularly outsourcing activities with its CAP Agencies.  </w:t>
      </w:r>
    </w:p>
    <w:p w:rsidR="00EB08C6" w:rsidRPr="00907C46" w:rsidRDefault="00EB08C6" w:rsidP="00EB08C6">
      <w:pPr>
        <w:pStyle w:val="Numbering"/>
        <w:numPr>
          <w:ilvl w:val="0"/>
          <w:numId w:val="9"/>
        </w:numPr>
        <w:rPr>
          <w:i/>
        </w:rPr>
      </w:pPr>
      <w:r w:rsidRPr="00907C46">
        <w:rPr>
          <w:i/>
        </w:rPr>
        <w:t xml:space="preserve">Review and evaluate PPL Electric Utilities executive compensation practices to ensure total compensation packages are reasonable, expenses are prudently incurred, is competitive with the industry, and the plan is structured to promote operational effectiveness and efficiency.  </w:t>
      </w:r>
    </w:p>
    <w:p w:rsidR="00EB08C6" w:rsidRPr="00907C46" w:rsidRDefault="00EB08C6" w:rsidP="00EB08C6">
      <w:pPr>
        <w:pStyle w:val="Numbering"/>
        <w:numPr>
          <w:ilvl w:val="0"/>
          <w:numId w:val="9"/>
        </w:numPr>
        <w:rPr>
          <w:i/>
        </w:rPr>
      </w:pPr>
      <w:r w:rsidRPr="00907C46">
        <w:rPr>
          <w:i/>
        </w:rPr>
        <w:t xml:space="preserve">Review and assess the adequacy of PPL Electric Utilities Emergency Preparedness, Business Continuity, Physical Security and Cyber security plans, programs, policies and procedures.  </w:t>
      </w:r>
    </w:p>
    <w:p w:rsidR="00EB08C6" w:rsidRPr="00907C46" w:rsidRDefault="00EB08C6" w:rsidP="00EB08C6">
      <w:pPr>
        <w:pStyle w:val="Numbering"/>
        <w:numPr>
          <w:ilvl w:val="0"/>
          <w:numId w:val="9"/>
        </w:numPr>
        <w:rPr>
          <w:i/>
        </w:rPr>
      </w:pPr>
      <w:r w:rsidRPr="00907C46">
        <w:rPr>
          <w:i/>
        </w:rPr>
        <w:t xml:space="preserve">Analyze the effectiveness of PPL Electric Utilities diversity and equal employment opportunity (EEO) programs and activities, to include state and federally-required filings.  The effectiveness of PPL Electric Utilities recruiting, advertising, training, promotion and retention practices with respect to EEO.  </w:t>
      </w:r>
    </w:p>
    <w:p w:rsidR="00EB08C6" w:rsidRPr="00907C46" w:rsidRDefault="00EB08C6" w:rsidP="008236C1">
      <w:pPr>
        <w:pStyle w:val="Normalindent1"/>
        <w:spacing w:before="120"/>
        <w:rPr>
          <w:i/>
        </w:rPr>
      </w:pPr>
      <w:r w:rsidRPr="00907C46">
        <w:rPr>
          <w:b/>
          <w:i/>
          <w:u w:val="single"/>
        </w:rPr>
        <w:t>PHASE III – FOCUSED ANALYSIS</w:t>
      </w:r>
      <w:r w:rsidRPr="00907C46">
        <w:rPr>
          <w:b/>
          <w:i/>
        </w:rPr>
        <w:t>.</w:t>
      </w:r>
      <w:r w:rsidRPr="00907C46">
        <w:rPr>
          <w:i/>
        </w:rPr>
        <w:t xml:space="preserve">  The third phase of the Management Audit, if deemed necessary, would be an in-depth analysis of specific areas or issues resulting from the diagnostic review (i.e., Phase I).  In order to initiate this phase of the audit, the consultant will be required to demonstrate to the Project Officer that proceeding with a focused analysis will lead to recommendations for providing better service, improving operations, or, in general, be cost beneficial.  </w:t>
      </w:r>
    </w:p>
    <w:p w:rsidR="00EB08C6" w:rsidRDefault="00EB08C6" w:rsidP="004F00E5">
      <w:pPr>
        <w:pStyle w:val="Heading2"/>
        <w:numPr>
          <w:ilvl w:val="0"/>
          <w:numId w:val="94"/>
        </w:numPr>
        <w:rPr>
          <w:bCs/>
        </w:rPr>
      </w:pPr>
      <w:bookmarkStart w:id="3" w:name="_TOC_250018"/>
      <w:bookmarkStart w:id="4" w:name="_Toc464551969"/>
      <w:r>
        <w:rPr>
          <w:u w:color="000000"/>
        </w:rPr>
        <w:lastRenderedPageBreak/>
        <w:t>Audit</w:t>
      </w:r>
      <w:r>
        <w:rPr>
          <w:spacing w:val="-27"/>
          <w:u w:color="000000"/>
        </w:rPr>
        <w:t xml:space="preserve"> </w:t>
      </w:r>
      <w:r>
        <w:rPr>
          <w:u w:color="000000"/>
        </w:rPr>
        <w:t>Approach</w:t>
      </w:r>
      <w:bookmarkEnd w:id="3"/>
      <w:bookmarkEnd w:id="4"/>
    </w:p>
    <w:p w:rsidR="00EB08C6" w:rsidRDefault="00EB08C6" w:rsidP="008236C1">
      <w:pPr>
        <w:pStyle w:val="Heading30"/>
      </w:pPr>
      <w:r>
        <w:t>Task Areas</w:t>
      </w:r>
    </w:p>
    <w:p w:rsidR="00EB08C6" w:rsidRDefault="00EB08C6" w:rsidP="008236C1">
      <w:r>
        <w:t xml:space="preserve">There were three phases of this Management Audit.  The task areas in the Phase I diagnostic </w:t>
      </w:r>
      <w:proofErr w:type="gramStart"/>
      <w:r>
        <w:t>review were</w:t>
      </w:r>
      <w:proofErr w:type="gramEnd"/>
      <w:r>
        <w:t>:</w:t>
      </w:r>
    </w:p>
    <w:p w:rsidR="00EB08C6" w:rsidRPr="00CA7459" w:rsidRDefault="00EB08C6" w:rsidP="008236C1">
      <w:pPr>
        <w:pStyle w:val="Bullet"/>
        <w:rPr>
          <w:rFonts w:hAnsi="Times New Roman"/>
          <w:szCs w:val="26"/>
        </w:rPr>
      </w:pPr>
      <w:r>
        <w:t xml:space="preserve">Executive Management </w:t>
      </w:r>
    </w:p>
    <w:p w:rsidR="00EB08C6" w:rsidRDefault="00EB08C6" w:rsidP="008236C1">
      <w:pPr>
        <w:pStyle w:val="Bullet"/>
        <w:rPr>
          <w:rFonts w:hAnsi="Times New Roman"/>
          <w:szCs w:val="26"/>
        </w:rPr>
      </w:pPr>
      <w:r>
        <w:t>Customer Services</w:t>
      </w:r>
    </w:p>
    <w:p w:rsidR="00EB08C6" w:rsidRDefault="00EB08C6" w:rsidP="008236C1">
      <w:pPr>
        <w:pStyle w:val="Bullet"/>
        <w:rPr>
          <w:rFonts w:hAnsi="Times New Roman"/>
          <w:szCs w:val="26"/>
        </w:rPr>
      </w:pPr>
      <w:r>
        <w:t>Human Resources</w:t>
      </w:r>
    </w:p>
    <w:p w:rsidR="00EB08C6" w:rsidRPr="00B12025" w:rsidRDefault="00EB08C6" w:rsidP="008236C1">
      <w:pPr>
        <w:pStyle w:val="Bullet"/>
        <w:rPr>
          <w:rFonts w:hAnsi="Times New Roman"/>
          <w:szCs w:val="26"/>
        </w:rPr>
      </w:pPr>
      <w:r>
        <w:t>Transmission and Distribution</w:t>
      </w:r>
    </w:p>
    <w:p w:rsidR="00EB08C6" w:rsidRPr="00B12025" w:rsidRDefault="00EB08C6" w:rsidP="008236C1">
      <w:pPr>
        <w:pStyle w:val="Bullet"/>
        <w:rPr>
          <w:rFonts w:hAnsi="Times New Roman"/>
          <w:szCs w:val="26"/>
        </w:rPr>
      </w:pPr>
      <w:r>
        <w:t>Supply Chain</w:t>
      </w:r>
    </w:p>
    <w:p w:rsidR="00EB08C6" w:rsidRDefault="00EB08C6" w:rsidP="008236C1">
      <w:pPr>
        <w:pStyle w:val="Bullet"/>
        <w:rPr>
          <w:rFonts w:hAnsi="Times New Roman"/>
          <w:szCs w:val="26"/>
        </w:rPr>
      </w:pPr>
      <w:r>
        <w:t>Transportation</w:t>
      </w:r>
    </w:p>
    <w:p w:rsidR="00EB08C6" w:rsidRDefault="00EB08C6" w:rsidP="008236C1">
      <w:pPr>
        <w:pStyle w:val="Bullet"/>
        <w:rPr>
          <w:rFonts w:hAnsi="Times New Roman"/>
          <w:szCs w:val="26"/>
        </w:rPr>
      </w:pPr>
      <w:r>
        <w:t>Finance and Accounting</w:t>
      </w:r>
    </w:p>
    <w:p w:rsidR="00EB08C6" w:rsidRPr="00BA3C72" w:rsidRDefault="00EB08C6" w:rsidP="008236C1">
      <w:pPr>
        <w:pStyle w:val="Bullet"/>
        <w:rPr>
          <w:rFonts w:hAnsi="Times New Roman"/>
          <w:szCs w:val="26"/>
        </w:rPr>
      </w:pPr>
      <w:r>
        <w:t>Information Technology and Systems</w:t>
      </w:r>
    </w:p>
    <w:p w:rsidR="00EB08C6" w:rsidRPr="00B12025" w:rsidRDefault="00EB08C6" w:rsidP="008236C1">
      <w:pPr>
        <w:pStyle w:val="Bullet"/>
        <w:rPr>
          <w:rFonts w:hAnsi="Times New Roman"/>
          <w:szCs w:val="26"/>
        </w:rPr>
      </w:pPr>
      <w:r>
        <w:t>Data and Statistics</w:t>
      </w:r>
    </w:p>
    <w:p w:rsidR="00EB08C6" w:rsidRDefault="00EB08C6" w:rsidP="008236C1">
      <w:pPr>
        <w:pStyle w:val="Normal-aftertable"/>
      </w:pPr>
      <w:r>
        <w:t>Phase II was the audit of six pre-identified areas specified by the PUC:</w:t>
      </w:r>
    </w:p>
    <w:p w:rsidR="00EB08C6" w:rsidRDefault="00EB08C6" w:rsidP="008236C1">
      <w:pPr>
        <w:pStyle w:val="Bullet"/>
      </w:pPr>
      <w:r>
        <w:t>Governance</w:t>
      </w:r>
    </w:p>
    <w:p w:rsidR="00EB08C6" w:rsidRDefault="00EB08C6" w:rsidP="008236C1">
      <w:pPr>
        <w:pStyle w:val="Bullet"/>
      </w:pPr>
      <w:r>
        <w:t>Affiliate Relations</w:t>
      </w:r>
    </w:p>
    <w:p w:rsidR="00EB08C6" w:rsidRDefault="00EB08C6" w:rsidP="008236C1">
      <w:pPr>
        <w:pStyle w:val="Bullet"/>
      </w:pPr>
      <w:r>
        <w:t>Customer Assistance Programs</w:t>
      </w:r>
    </w:p>
    <w:p w:rsidR="00EB08C6" w:rsidRDefault="00EB08C6" w:rsidP="008236C1">
      <w:pPr>
        <w:pStyle w:val="Bullet"/>
      </w:pPr>
      <w:r>
        <w:t>Executive Compensation</w:t>
      </w:r>
    </w:p>
    <w:p w:rsidR="00EB08C6" w:rsidRDefault="00EB08C6" w:rsidP="008236C1">
      <w:pPr>
        <w:pStyle w:val="Bullet"/>
      </w:pPr>
      <w:r>
        <w:t>Emergency Response</w:t>
      </w:r>
    </w:p>
    <w:p w:rsidR="00EB08C6" w:rsidRDefault="00EB08C6" w:rsidP="008236C1">
      <w:pPr>
        <w:pStyle w:val="Bullet"/>
      </w:pPr>
      <w:r>
        <w:t>Diversity and Equal Employment Opportunity</w:t>
      </w:r>
    </w:p>
    <w:p w:rsidR="00EB08C6" w:rsidRDefault="00EB08C6" w:rsidP="008236C1">
      <w:pPr>
        <w:pStyle w:val="Normal-aftertable"/>
      </w:pPr>
      <w:r>
        <w:t>In consultation with the PUC, a Phase III was determined to be prudent and beneficial.  PPL EU agreed to a detailed audit of the following two areas:</w:t>
      </w:r>
    </w:p>
    <w:p w:rsidR="00EB08C6" w:rsidRPr="00C12719" w:rsidRDefault="00EB08C6" w:rsidP="008236C1">
      <w:pPr>
        <w:pStyle w:val="Bullet"/>
      </w:pPr>
      <w:r>
        <w:t>Staffing Planning Process</w:t>
      </w:r>
    </w:p>
    <w:p w:rsidR="00EB08C6" w:rsidRDefault="00EB08C6" w:rsidP="008236C1">
      <w:pPr>
        <w:pStyle w:val="Bullet"/>
      </w:pPr>
      <w:r>
        <w:t>Potential Merger Synergies</w:t>
      </w:r>
    </w:p>
    <w:p w:rsidR="00EB08C6" w:rsidRDefault="00EB08C6" w:rsidP="008236C1">
      <w:pPr>
        <w:pStyle w:val="Normal-aftertable"/>
      </w:pPr>
      <w:r>
        <w:t>The actual fieldwork for Phases I and II began on July 7, 2015 and continued with further V&amp;A team visits</w:t>
      </w:r>
      <w:r>
        <w:rPr>
          <w:spacing w:val="-14"/>
        </w:rPr>
        <w:t xml:space="preserve"> </w:t>
      </w:r>
      <w:r>
        <w:t xml:space="preserve">through December 10, 2015.  Fieldwork for Phase III was conducted in March and April 2016.  Wherever practical, this report utilizes the organization structure as it stood in December 2015 and data through the end of 2015.  </w:t>
      </w:r>
    </w:p>
    <w:p w:rsidR="00EB08C6" w:rsidRDefault="00EB08C6" w:rsidP="008236C1">
      <w:r>
        <w:t>The principal components of the fact gathering process</w:t>
      </w:r>
      <w:r>
        <w:rPr>
          <w:spacing w:val="-15"/>
        </w:rPr>
        <w:t xml:space="preserve"> </w:t>
      </w:r>
      <w:r>
        <w:t>included:</w:t>
      </w:r>
    </w:p>
    <w:p w:rsidR="00EB08C6" w:rsidRDefault="00EB08C6" w:rsidP="008236C1">
      <w:pPr>
        <w:pStyle w:val="Bullet"/>
        <w:rPr>
          <w:rFonts w:hAnsi="Times New Roman"/>
          <w:szCs w:val="26"/>
        </w:rPr>
      </w:pPr>
      <w:r>
        <w:t>297 interviews with PPL Corporation personnel.</w:t>
      </w:r>
    </w:p>
    <w:p w:rsidR="00EB08C6" w:rsidRDefault="00EB08C6" w:rsidP="008236C1">
      <w:pPr>
        <w:pStyle w:val="Bullet"/>
        <w:rPr>
          <w:rFonts w:hAnsi="Times New Roman"/>
          <w:szCs w:val="26"/>
        </w:rPr>
      </w:pPr>
      <w:r>
        <w:t>Analysis of 2,418 document request responses focused on the period 2010 through 2015.</w:t>
      </w:r>
    </w:p>
    <w:p w:rsidR="00EB08C6" w:rsidRPr="00C37BD7" w:rsidRDefault="00EB08C6" w:rsidP="008236C1">
      <w:pPr>
        <w:pStyle w:val="Bullet"/>
        <w:rPr>
          <w:rFonts w:hAnsi="Times New Roman"/>
          <w:szCs w:val="26"/>
          <w:u w:val="single"/>
        </w:rPr>
      </w:pPr>
      <w:r>
        <w:rPr>
          <w:spacing w:val="-3"/>
        </w:rPr>
        <w:t xml:space="preserve">Site visits to and work process observations </w:t>
      </w:r>
      <w:r>
        <w:t>of offices, customer call centers, customer assistance program contractors, service centers, data center, central warehouse, and dispatch center.</w:t>
      </w:r>
    </w:p>
    <w:p w:rsidR="00EB08C6" w:rsidRPr="00C37BD7" w:rsidRDefault="00EB08C6" w:rsidP="008236C1">
      <w:pPr>
        <w:pStyle w:val="Heading30"/>
      </w:pPr>
      <w:bookmarkStart w:id="5" w:name="_Toc410290370"/>
      <w:r w:rsidRPr="00C37BD7">
        <w:t>APPROACH AND WORK PLANS OVERVIEW</w:t>
      </w:r>
      <w:bookmarkEnd w:id="5"/>
    </w:p>
    <w:p w:rsidR="00EB08C6" w:rsidRDefault="00EB08C6" w:rsidP="008236C1">
      <w:r>
        <w:t xml:space="preserve">V&amp;A utilized a combination of a Four Step Approach with specific Phase I and Phase II work plans.  </w:t>
      </w:r>
      <w:proofErr w:type="gramStart"/>
      <w:r>
        <w:t>Phase</w:t>
      </w:r>
      <w:proofErr w:type="gramEnd"/>
      <w:r>
        <w:t xml:space="preserve"> I and Phase II task areas are written as separate chapters of the </w:t>
      </w:r>
      <w:r>
        <w:lastRenderedPageBreak/>
        <w:t xml:space="preserve">report but the work on both phases was conducted simultaneously.  Both </w:t>
      </w:r>
      <w:proofErr w:type="gramStart"/>
      <w:r>
        <w:t>Phase</w:t>
      </w:r>
      <w:proofErr w:type="gramEnd"/>
      <w:r>
        <w:t xml:space="preserve"> I and Phase II were conducted concurrently following the V&amp;A Four Step Approach:</w:t>
      </w:r>
    </w:p>
    <w:p w:rsidR="00EB08C6" w:rsidRDefault="00EB08C6" w:rsidP="00B86FA4">
      <w:pPr>
        <w:pStyle w:val="Numbering"/>
        <w:numPr>
          <w:ilvl w:val="0"/>
          <w:numId w:val="32"/>
        </w:numPr>
      </w:pPr>
      <w:r>
        <w:t>Project Organization and Planning</w:t>
      </w:r>
    </w:p>
    <w:p w:rsidR="00EB08C6" w:rsidRPr="00F91AEA" w:rsidRDefault="00EB08C6" w:rsidP="00EB08C6">
      <w:pPr>
        <w:pStyle w:val="Numbering"/>
        <w:numPr>
          <w:ilvl w:val="0"/>
          <w:numId w:val="9"/>
        </w:numPr>
      </w:pPr>
      <w:r w:rsidRPr="00F91AEA">
        <w:t>Fact Finding and Information Gathering</w:t>
      </w:r>
    </w:p>
    <w:p w:rsidR="00EB08C6" w:rsidRPr="00F91AEA" w:rsidRDefault="00EB08C6" w:rsidP="00EB08C6">
      <w:pPr>
        <w:pStyle w:val="Numbering"/>
        <w:numPr>
          <w:ilvl w:val="0"/>
          <w:numId w:val="9"/>
        </w:numPr>
      </w:pPr>
      <w:r w:rsidRPr="00F91AEA">
        <w:t>Analysis and Evaluation</w:t>
      </w:r>
    </w:p>
    <w:p w:rsidR="00EB08C6" w:rsidRPr="00F91AEA" w:rsidRDefault="00EB08C6" w:rsidP="00EB08C6">
      <w:pPr>
        <w:pStyle w:val="Numbering"/>
        <w:numPr>
          <w:ilvl w:val="0"/>
          <w:numId w:val="9"/>
        </w:numPr>
      </w:pPr>
      <w:r w:rsidRPr="00F91AEA">
        <w:t>Report Findings and Recommendations</w:t>
      </w:r>
    </w:p>
    <w:p w:rsidR="00EB08C6" w:rsidRDefault="00EB08C6" w:rsidP="008236C1">
      <w:pPr>
        <w:pStyle w:val="Normal-aftertable"/>
        <w:rPr>
          <w:b/>
        </w:rPr>
      </w:pPr>
      <w:r>
        <w:t>Within each step, the Phase I and II work plans were applied by the consultants assigned to each task area.  For example, all of the initial data and document requests listed in the Phase I and II work plans were requested at the outset of the project and were examined in steps 2 and 3.  Likewise, all of the initial and follow-up interviews for both Phases I and II were conducted in steps 2 and 3.  In steps 3 and 4, separate report chapters for Phase I and Phase II Task Areas were written.  This is illustrated in the following exhibit.</w:t>
      </w:r>
    </w:p>
    <w:p w:rsidR="00EB08C6" w:rsidRDefault="008C7C69" w:rsidP="008C7C69">
      <w:pPr>
        <w:pStyle w:val="Caption"/>
        <w:rPr>
          <w:b w:val="0"/>
        </w:rPr>
      </w:pPr>
      <w:bookmarkStart w:id="6" w:name="_Toc464552923"/>
      <w:r>
        <w:t xml:space="preserve">Exhibit </w:t>
      </w:r>
      <w:r w:rsidR="00CB2B2A">
        <w:fldChar w:fldCharType="begin"/>
      </w:r>
      <w:r w:rsidR="00EC053E">
        <w:instrText xml:space="preserve"> STYLEREF 1 \s </w:instrText>
      </w:r>
      <w:r w:rsidR="00CB2B2A">
        <w:fldChar w:fldCharType="separate"/>
      </w:r>
      <w:r w:rsidR="00CA3BDB">
        <w:rPr>
          <w:noProof/>
        </w:rPr>
        <w:t>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77443B">
        <w:br/>
      </w:r>
      <w:r w:rsidR="00EB08C6" w:rsidRPr="008C7C69">
        <w:t>V&amp;A Four Step Approach and Phase I and II Work Plans</w:t>
      </w:r>
      <w:bookmarkEnd w:id="6"/>
    </w:p>
    <w:p w:rsidR="00EB08C6" w:rsidRDefault="00EB08C6" w:rsidP="008236C1">
      <w:pPr>
        <w:jc w:val="center"/>
        <w:rPr>
          <w:b/>
        </w:rPr>
      </w:pPr>
      <w:r w:rsidRPr="00C45B42">
        <w:rPr>
          <w:noProof/>
        </w:rPr>
        <w:drawing>
          <wp:inline distT="0" distB="0" distL="0" distR="0">
            <wp:extent cx="5943600" cy="4268470"/>
            <wp:effectExtent l="0" t="0" r="0" b="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43600" cy="4268470"/>
                    </a:xfrm>
                    <a:prstGeom prst="rect">
                      <a:avLst/>
                    </a:prstGeom>
                    <a:noFill/>
                    <a:ln w="9525">
                      <a:noFill/>
                      <a:miter lim="800000"/>
                      <a:headEnd/>
                      <a:tailEnd/>
                    </a:ln>
                  </pic:spPr>
                </pic:pic>
              </a:graphicData>
            </a:graphic>
          </wp:inline>
        </w:drawing>
      </w:r>
    </w:p>
    <w:p w:rsidR="008C7C69" w:rsidRDefault="008C7C69">
      <w:pPr>
        <w:spacing w:after="0"/>
        <w:jc w:val="left"/>
        <w:rPr>
          <w:rFonts w:ascii="Arial Bold" w:hAnsi="Arial Bold"/>
          <w:b/>
          <w:caps/>
          <w:sz w:val="28"/>
          <w:szCs w:val="28"/>
          <w:u w:color="000000"/>
        </w:rPr>
      </w:pPr>
      <w:bookmarkStart w:id="7" w:name="_TOC_250017"/>
      <w:r>
        <w:rPr>
          <w:u w:color="000000"/>
        </w:rPr>
        <w:br w:type="page"/>
      </w:r>
    </w:p>
    <w:p w:rsidR="00EB08C6" w:rsidRPr="00890D49" w:rsidRDefault="00EB08C6" w:rsidP="004F00E5">
      <w:pPr>
        <w:pStyle w:val="Heading2"/>
        <w:numPr>
          <w:ilvl w:val="0"/>
          <w:numId w:val="94"/>
        </w:numPr>
        <w:rPr>
          <w:bCs/>
        </w:rPr>
      </w:pPr>
      <w:bookmarkStart w:id="8" w:name="_Toc464551970"/>
      <w:r>
        <w:rPr>
          <w:u w:color="000000"/>
        </w:rPr>
        <w:lastRenderedPageBreak/>
        <w:t>report organization</w:t>
      </w:r>
      <w:bookmarkEnd w:id="8"/>
    </w:p>
    <w:p w:rsidR="00EB08C6" w:rsidRDefault="00EB08C6" w:rsidP="008236C1">
      <w:r>
        <w:t>The report is divided into the following chapters.</w:t>
      </w:r>
    </w:p>
    <w:p w:rsidR="00EB08C6" w:rsidRDefault="00EB08C6" w:rsidP="004F00E5">
      <w:pPr>
        <w:pStyle w:val="Numbering"/>
        <w:numPr>
          <w:ilvl w:val="0"/>
          <w:numId w:val="96"/>
        </w:numPr>
      </w:pPr>
      <w:r>
        <w:t>Introduction and Background</w:t>
      </w:r>
    </w:p>
    <w:p w:rsidR="00EB08C6" w:rsidRPr="008C7EE4" w:rsidRDefault="00EB08C6" w:rsidP="004F00E5">
      <w:pPr>
        <w:pStyle w:val="Numbering"/>
        <w:numPr>
          <w:ilvl w:val="0"/>
          <w:numId w:val="96"/>
        </w:numPr>
        <w:rPr>
          <w:u w:val="single"/>
        </w:rPr>
      </w:pPr>
      <w:r w:rsidRPr="008C7EE4">
        <w:t xml:space="preserve">Executive Management </w:t>
      </w:r>
    </w:p>
    <w:p w:rsidR="00EB08C6" w:rsidRPr="008C7EE4" w:rsidRDefault="00EB08C6" w:rsidP="004F00E5">
      <w:pPr>
        <w:pStyle w:val="Numbering"/>
        <w:numPr>
          <w:ilvl w:val="0"/>
          <w:numId w:val="96"/>
        </w:numPr>
        <w:rPr>
          <w:u w:val="single"/>
        </w:rPr>
      </w:pPr>
      <w:r w:rsidRPr="008C7EE4">
        <w:t>Governance</w:t>
      </w:r>
    </w:p>
    <w:p w:rsidR="00EB08C6" w:rsidRPr="008C7EE4" w:rsidRDefault="00EB08C6" w:rsidP="004F00E5">
      <w:pPr>
        <w:pStyle w:val="Numbering"/>
        <w:numPr>
          <w:ilvl w:val="0"/>
          <w:numId w:val="96"/>
        </w:numPr>
        <w:rPr>
          <w:u w:val="single"/>
        </w:rPr>
      </w:pPr>
      <w:r w:rsidRPr="008C7EE4">
        <w:t>Affiliate Relationships</w:t>
      </w:r>
    </w:p>
    <w:p w:rsidR="00EB08C6" w:rsidRPr="00744294" w:rsidRDefault="00EB08C6" w:rsidP="004F00E5">
      <w:pPr>
        <w:pStyle w:val="Numbering"/>
        <w:numPr>
          <w:ilvl w:val="0"/>
          <w:numId w:val="96"/>
        </w:numPr>
        <w:rPr>
          <w:u w:val="single"/>
        </w:rPr>
      </w:pPr>
      <w:r>
        <w:t>Finance and Accounting</w:t>
      </w:r>
    </w:p>
    <w:p w:rsidR="00EB08C6" w:rsidRPr="008C7EE4" w:rsidRDefault="00EB08C6" w:rsidP="004F00E5">
      <w:pPr>
        <w:pStyle w:val="Numbering"/>
        <w:numPr>
          <w:ilvl w:val="0"/>
          <w:numId w:val="96"/>
        </w:numPr>
        <w:rPr>
          <w:u w:val="single"/>
        </w:rPr>
      </w:pPr>
      <w:r w:rsidRPr="008C7EE4">
        <w:t>Transmission and Distribution</w:t>
      </w:r>
    </w:p>
    <w:p w:rsidR="00EB08C6" w:rsidRPr="008C7EE4" w:rsidRDefault="00EB08C6" w:rsidP="004F00E5">
      <w:pPr>
        <w:pStyle w:val="Numbering"/>
        <w:numPr>
          <w:ilvl w:val="0"/>
          <w:numId w:val="96"/>
        </w:numPr>
        <w:rPr>
          <w:u w:val="single"/>
        </w:rPr>
      </w:pPr>
      <w:r w:rsidRPr="008C7EE4">
        <w:t>Emergency Response</w:t>
      </w:r>
    </w:p>
    <w:p w:rsidR="00EB08C6" w:rsidRDefault="00EB08C6" w:rsidP="004F00E5">
      <w:pPr>
        <w:pStyle w:val="Numbering"/>
        <w:numPr>
          <w:ilvl w:val="0"/>
          <w:numId w:val="96"/>
        </w:numPr>
      </w:pPr>
      <w:r>
        <w:t>Support Services</w:t>
      </w:r>
    </w:p>
    <w:p w:rsidR="00EB08C6" w:rsidRPr="008C7EE4" w:rsidRDefault="00EB08C6" w:rsidP="004F00E5">
      <w:pPr>
        <w:pStyle w:val="Numbering"/>
        <w:numPr>
          <w:ilvl w:val="1"/>
          <w:numId w:val="97"/>
        </w:numPr>
        <w:ind w:left="1440"/>
      </w:pPr>
      <w:r>
        <w:t>Technical Development and Improvement</w:t>
      </w:r>
    </w:p>
    <w:p w:rsidR="00EB08C6" w:rsidRPr="008C7EE4" w:rsidRDefault="00EB08C6" w:rsidP="004F00E5">
      <w:pPr>
        <w:pStyle w:val="Numbering"/>
        <w:numPr>
          <w:ilvl w:val="1"/>
          <w:numId w:val="97"/>
        </w:numPr>
        <w:ind w:left="1440"/>
        <w:rPr>
          <w:u w:val="single"/>
        </w:rPr>
      </w:pPr>
      <w:r w:rsidRPr="008C7EE4">
        <w:t>Supply Chain</w:t>
      </w:r>
    </w:p>
    <w:p w:rsidR="00EB08C6" w:rsidRPr="008C7EE4" w:rsidRDefault="00EB08C6" w:rsidP="004F00E5">
      <w:pPr>
        <w:pStyle w:val="Numbering"/>
        <w:numPr>
          <w:ilvl w:val="1"/>
          <w:numId w:val="97"/>
        </w:numPr>
        <w:ind w:left="1440"/>
        <w:rPr>
          <w:u w:val="single"/>
        </w:rPr>
      </w:pPr>
      <w:r w:rsidRPr="008C7EE4">
        <w:t>Transportation</w:t>
      </w:r>
    </w:p>
    <w:p w:rsidR="00EB08C6" w:rsidRPr="008C7EE4" w:rsidRDefault="00EB08C6" w:rsidP="004F00E5">
      <w:pPr>
        <w:pStyle w:val="Numbering"/>
        <w:numPr>
          <w:ilvl w:val="0"/>
          <w:numId w:val="96"/>
        </w:numPr>
        <w:rPr>
          <w:u w:val="single"/>
        </w:rPr>
      </w:pPr>
      <w:r w:rsidRPr="008C7EE4">
        <w:t>Customer Services</w:t>
      </w:r>
    </w:p>
    <w:p w:rsidR="00EB08C6" w:rsidRPr="00744294" w:rsidRDefault="00EB08C6" w:rsidP="004F00E5">
      <w:pPr>
        <w:pStyle w:val="Numbering"/>
        <w:numPr>
          <w:ilvl w:val="0"/>
          <w:numId w:val="96"/>
        </w:numPr>
        <w:rPr>
          <w:u w:val="single"/>
        </w:rPr>
      </w:pPr>
      <w:r w:rsidRPr="008C7EE4">
        <w:t>Customer Assistance Programs</w:t>
      </w:r>
    </w:p>
    <w:p w:rsidR="00EB08C6" w:rsidRPr="008C7EE4" w:rsidRDefault="00EB08C6" w:rsidP="004F00E5">
      <w:pPr>
        <w:pStyle w:val="Numbering"/>
        <w:numPr>
          <w:ilvl w:val="0"/>
          <w:numId w:val="96"/>
        </w:numPr>
        <w:rPr>
          <w:u w:val="single"/>
        </w:rPr>
      </w:pPr>
      <w:r w:rsidRPr="008C7EE4">
        <w:t>Information Technology and Systems</w:t>
      </w:r>
    </w:p>
    <w:p w:rsidR="00EB08C6" w:rsidRPr="008C7EE4" w:rsidRDefault="00EB08C6" w:rsidP="004F00E5">
      <w:pPr>
        <w:pStyle w:val="Numbering"/>
        <w:numPr>
          <w:ilvl w:val="0"/>
          <w:numId w:val="96"/>
        </w:numPr>
        <w:rPr>
          <w:u w:val="single"/>
        </w:rPr>
      </w:pPr>
      <w:r w:rsidRPr="008C7EE4">
        <w:t>Human Resources</w:t>
      </w:r>
    </w:p>
    <w:p w:rsidR="00EB08C6" w:rsidRPr="008C7EE4" w:rsidRDefault="00EB08C6" w:rsidP="004F00E5">
      <w:pPr>
        <w:pStyle w:val="Numbering"/>
        <w:numPr>
          <w:ilvl w:val="0"/>
          <w:numId w:val="96"/>
        </w:numPr>
        <w:rPr>
          <w:u w:val="single"/>
        </w:rPr>
      </w:pPr>
      <w:r w:rsidRPr="008C7EE4">
        <w:t>Executive Compensation</w:t>
      </w:r>
    </w:p>
    <w:p w:rsidR="00EB08C6" w:rsidRPr="008C7EE4" w:rsidRDefault="00EB08C6" w:rsidP="004F00E5">
      <w:pPr>
        <w:pStyle w:val="Numbering"/>
        <w:numPr>
          <w:ilvl w:val="0"/>
          <w:numId w:val="96"/>
        </w:numPr>
        <w:rPr>
          <w:u w:val="single"/>
        </w:rPr>
      </w:pPr>
      <w:r>
        <w:t>Diversity and Equal Employment Opportunity</w:t>
      </w:r>
    </w:p>
    <w:p w:rsidR="00EB08C6" w:rsidRPr="008C7EE4" w:rsidRDefault="00EB08C6" w:rsidP="004F00E5">
      <w:pPr>
        <w:pStyle w:val="Numbering"/>
        <w:numPr>
          <w:ilvl w:val="0"/>
          <w:numId w:val="96"/>
        </w:numPr>
      </w:pPr>
      <w:r w:rsidRPr="008C7EE4">
        <w:t>Staffing Planning Process</w:t>
      </w:r>
    </w:p>
    <w:p w:rsidR="00EB08C6" w:rsidRPr="008C7EE4" w:rsidRDefault="00EB08C6" w:rsidP="004F00E5">
      <w:pPr>
        <w:pStyle w:val="Numbering"/>
        <w:numPr>
          <w:ilvl w:val="0"/>
          <w:numId w:val="96"/>
        </w:numPr>
      </w:pPr>
      <w:r w:rsidRPr="008C7EE4">
        <w:t>Merger Synergy Opportunities</w:t>
      </w:r>
    </w:p>
    <w:p w:rsidR="00EB08C6" w:rsidRDefault="00EB08C6" w:rsidP="004F00E5">
      <w:pPr>
        <w:pStyle w:val="Heading2"/>
        <w:numPr>
          <w:ilvl w:val="0"/>
          <w:numId w:val="94"/>
        </w:numPr>
        <w:rPr>
          <w:bCs/>
        </w:rPr>
      </w:pPr>
      <w:bookmarkStart w:id="9" w:name="_Toc464551971"/>
      <w:r>
        <w:rPr>
          <w:u w:color="000000"/>
        </w:rPr>
        <w:t>Functional Area</w:t>
      </w:r>
      <w:r>
        <w:rPr>
          <w:spacing w:val="-29"/>
          <w:u w:color="000000"/>
        </w:rPr>
        <w:t xml:space="preserve"> </w:t>
      </w:r>
      <w:r>
        <w:rPr>
          <w:u w:color="000000"/>
        </w:rPr>
        <w:t>Ratings</w:t>
      </w:r>
      <w:bookmarkEnd w:id="7"/>
      <w:bookmarkEnd w:id="9"/>
    </w:p>
    <w:p w:rsidR="00EB08C6" w:rsidRDefault="00EB08C6" w:rsidP="008236C1">
      <w:r>
        <w:t>For the functions of the Company that were selected for examination, the V&amp;A audit team rated its actual performance level relative to</w:t>
      </w:r>
      <w:r>
        <w:rPr>
          <w:spacing w:val="-32"/>
        </w:rPr>
        <w:t xml:space="preserve"> </w:t>
      </w:r>
      <w:r>
        <w:t xml:space="preserve">the expected performance level at the time of the Management Audit. This expected performance level is the state at which each area or function should be operating given the </w:t>
      </w:r>
      <w:r>
        <w:rPr>
          <w:spacing w:val="-3"/>
        </w:rPr>
        <w:t xml:space="preserve">utility’s </w:t>
      </w:r>
      <w:r>
        <w:t>resources and general operating environment.  Expected performance is not a “cutting edge” operating condition; rather, it is management of an area or function such that it produces reasonably expected operating</w:t>
      </w:r>
      <w:r>
        <w:rPr>
          <w:spacing w:val="-1"/>
        </w:rPr>
        <w:t xml:space="preserve"> </w:t>
      </w:r>
      <w:r>
        <w:t>results.</w:t>
      </w:r>
    </w:p>
    <w:p w:rsidR="00EB08C6" w:rsidRDefault="00EB08C6" w:rsidP="008236C1">
      <w:r>
        <w:t>Presented below are the evaluative categories utilized to rate each function</w:t>
      </w:r>
      <w:r>
        <w:rPr>
          <w:spacing w:val="-3"/>
        </w:rPr>
        <w:t xml:space="preserve">’s </w:t>
      </w:r>
      <w:r>
        <w:t>actual operating or performance level relative to its expected performance level:</w:t>
      </w:r>
    </w:p>
    <w:p w:rsidR="00EB08C6" w:rsidRDefault="00EB08C6" w:rsidP="008236C1">
      <w:pPr>
        <w:pStyle w:val="Bullet"/>
        <w:rPr>
          <w:rFonts w:hAnsi="Times New Roman"/>
          <w:szCs w:val="26"/>
        </w:rPr>
      </w:pPr>
      <w:r>
        <w:t>Meets Expected Performance</w:t>
      </w:r>
      <w:r>
        <w:rPr>
          <w:spacing w:val="-15"/>
        </w:rPr>
        <w:t xml:space="preserve"> </w:t>
      </w:r>
      <w:r>
        <w:t>Level</w:t>
      </w:r>
    </w:p>
    <w:p w:rsidR="00EB08C6" w:rsidRDefault="00EB08C6" w:rsidP="008236C1">
      <w:pPr>
        <w:pStyle w:val="Bullet"/>
        <w:rPr>
          <w:rFonts w:hAnsi="Times New Roman"/>
          <w:szCs w:val="26"/>
        </w:rPr>
      </w:pPr>
      <w:r>
        <w:t>Minor Improvement</w:t>
      </w:r>
      <w:r>
        <w:rPr>
          <w:spacing w:val="-13"/>
        </w:rPr>
        <w:t xml:space="preserve"> </w:t>
      </w:r>
      <w:r>
        <w:t>Necessary</w:t>
      </w:r>
    </w:p>
    <w:p w:rsidR="00EB08C6" w:rsidRDefault="00EB08C6" w:rsidP="008236C1">
      <w:pPr>
        <w:pStyle w:val="Bullet"/>
        <w:rPr>
          <w:rFonts w:hAnsi="Times New Roman"/>
          <w:szCs w:val="26"/>
        </w:rPr>
      </w:pPr>
      <w:r>
        <w:t>Moderate Improvement</w:t>
      </w:r>
      <w:r>
        <w:rPr>
          <w:spacing w:val="-16"/>
        </w:rPr>
        <w:t xml:space="preserve"> </w:t>
      </w:r>
      <w:r>
        <w:t>Necessary</w:t>
      </w:r>
    </w:p>
    <w:p w:rsidR="00EB08C6" w:rsidRDefault="00EB08C6" w:rsidP="008236C1">
      <w:pPr>
        <w:pStyle w:val="Bullet"/>
        <w:rPr>
          <w:rFonts w:hAnsi="Times New Roman"/>
          <w:szCs w:val="26"/>
        </w:rPr>
      </w:pPr>
      <w:r>
        <w:t>Significant Improvement</w:t>
      </w:r>
      <w:r>
        <w:rPr>
          <w:spacing w:val="-14"/>
        </w:rPr>
        <w:t xml:space="preserve"> </w:t>
      </w:r>
      <w:r>
        <w:t>Necessary</w:t>
      </w:r>
    </w:p>
    <w:p w:rsidR="00EB08C6" w:rsidRDefault="00EB08C6" w:rsidP="008236C1">
      <w:pPr>
        <w:pStyle w:val="Bullet"/>
        <w:rPr>
          <w:rFonts w:hAnsi="Times New Roman"/>
          <w:szCs w:val="26"/>
        </w:rPr>
      </w:pPr>
      <w:r>
        <w:t>Major Improvement</w:t>
      </w:r>
      <w:r>
        <w:rPr>
          <w:spacing w:val="-13"/>
        </w:rPr>
        <w:t xml:space="preserve"> </w:t>
      </w:r>
      <w:r>
        <w:t>Necessary</w:t>
      </w:r>
    </w:p>
    <w:p w:rsidR="00EB08C6" w:rsidRDefault="00EB08C6" w:rsidP="008236C1">
      <w:pPr>
        <w:pStyle w:val="Normal-aftertable"/>
      </w:pPr>
      <w:r>
        <w:t>The V&amp;A team’s ratings for the functions studied are shown in the following exhibit.</w:t>
      </w:r>
    </w:p>
    <w:p w:rsidR="00845B25" w:rsidRDefault="00845B25">
      <w:pPr>
        <w:spacing w:after="0"/>
        <w:jc w:val="left"/>
        <w:rPr>
          <w:b/>
        </w:rPr>
      </w:pPr>
      <w:r>
        <w:br w:type="page"/>
      </w:r>
    </w:p>
    <w:p w:rsidR="00EB08C6" w:rsidRDefault="0077443B" w:rsidP="0077443B">
      <w:pPr>
        <w:pStyle w:val="Caption"/>
      </w:pPr>
      <w:bookmarkStart w:id="10" w:name="_Toc464552924"/>
      <w:r>
        <w:lastRenderedPageBreak/>
        <w:t xml:space="preserve">Exhibit </w:t>
      </w:r>
      <w:r w:rsidR="00CB2B2A">
        <w:fldChar w:fldCharType="begin"/>
      </w:r>
      <w:r w:rsidR="00EC053E">
        <w:instrText xml:space="preserve"> STYLEREF 1 \s </w:instrText>
      </w:r>
      <w:r w:rsidR="00CB2B2A">
        <w:fldChar w:fldCharType="separate"/>
      </w:r>
      <w:r w:rsidR="00CA3BDB">
        <w:rPr>
          <w:noProof/>
        </w:rPr>
        <w:t>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8C7C69">
        <w:br/>
      </w:r>
      <w:r w:rsidR="00EB08C6">
        <w:t>Evaluative Ratings</w:t>
      </w:r>
      <w:bookmarkEnd w:id="10"/>
    </w:p>
    <w:tbl>
      <w:tblPr>
        <w:tblW w:w="0" w:type="auto"/>
        <w:jc w:val="center"/>
        <w:tblBorders>
          <w:top w:val="single" w:sz="4" w:space="0" w:color="auto"/>
          <w:left w:val="single" w:sz="4" w:space="0" w:color="auto"/>
          <w:bottom w:val="single" w:sz="4" w:space="0" w:color="auto"/>
          <w:right w:val="single" w:sz="4" w:space="0" w:color="auto"/>
        </w:tblBorders>
        <w:tblCellMar>
          <w:left w:w="72" w:type="dxa"/>
          <w:right w:w="72" w:type="dxa"/>
        </w:tblCellMar>
        <w:tblLook w:val="01E0"/>
      </w:tblPr>
      <w:tblGrid>
        <w:gridCol w:w="900"/>
        <w:gridCol w:w="1872"/>
        <w:gridCol w:w="1253"/>
        <w:gridCol w:w="1359"/>
        <w:gridCol w:w="1377"/>
        <w:gridCol w:w="1384"/>
        <w:gridCol w:w="1359"/>
      </w:tblGrid>
      <w:tr w:rsidR="00C301B4" w:rsidRPr="00C66048" w:rsidTr="00C301B4">
        <w:trPr>
          <w:cantSplit/>
          <w:trHeight w:val="20"/>
          <w:tblHeader/>
          <w:jc w:val="center"/>
        </w:trPr>
        <w:tc>
          <w:tcPr>
            <w:tcW w:w="0" w:type="auto"/>
            <w:tcBorders>
              <w:bottom w:val="single" w:sz="4" w:space="0" w:color="auto"/>
              <w:right w:val="single" w:sz="4" w:space="0" w:color="auto"/>
            </w:tcBorders>
            <w:shd w:val="clear" w:color="auto" w:fill="A5CD7E"/>
            <w:vAlign w:val="center"/>
          </w:tcPr>
          <w:p w:rsidR="00EB08C6" w:rsidRDefault="00EB08C6" w:rsidP="00CD350B">
            <w:pPr>
              <w:pStyle w:val="Normal-aftertable"/>
              <w:jc w:val="center"/>
              <w:rPr>
                <w:b/>
                <w:sz w:val="20"/>
                <w:szCs w:val="20"/>
              </w:rPr>
            </w:pPr>
            <w:r>
              <w:rPr>
                <w:b/>
                <w:sz w:val="20"/>
                <w:szCs w:val="20"/>
              </w:rPr>
              <w:t>Chapter</w:t>
            </w:r>
          </w:p>
        </w:tc>
        <w:tc>
          <w:tcPr>
            <w:tcW w:w="1872" w:type="dxa"/>
            <w:tcBorders>
              <w:bottom w:val="single" w:sz="4" w:space="0" w:color="auto"/>
              <w:right w:val="single" w:sz="4" w:space="0" w:color="auto"/>
            </w:tcBorders>
            <w:shd w:val="clear" w:color="auto" w:fill="A5CD7E"/>
            <w:vAlign w:val="center"/>
          </w:tcPr>
          <w:p w:rsidR="00EB08C6" w:rsidRPr="00C66048" w:rsidRDefault="00EB08C6" w:rsidP="00CD350B">
            <w:pPr>
              <w:pStyle w:val="Normal-aftertable"/>
              <w:jc w:val="center"/>
              <w:rPr>
                <w:b/>
                <w:sz w:val="18"/>
                <w:szCs w:val="18"/>
                <w:u w:val="single"/>
              </w:rPr>
            </w:pPr>
            <w:r>
              <w:rPr>
                <w:b/>
                <w:sz w:val="20"/>
                <w:szCs w:val="20"/>
              </w:rPr>
              <w:t>Function</w:t>
            </w:r>
          </w:p>
        </w:tc>
        <w:tc>
          <w:tcPr>
            <w:tcW w:w="1253" w:type="dxa"/>
            <w:tcBorders>
              <w:top w:val="single" w:sz="4" w:space="0" w:color="auto"/>
              <w:left w:val="single" w:sz="4" w:space="0" w:color="auto"/>
              <w:bottom w:val="single" w:sz="4" w:space="0" w:color="auto"/>
              <w:right w:val="single" w:sz="4" w:space="0" w:color="auto"/>
            </w:tcBorders>
            <w:shd w:val="clear" w:color="auto" w:fill="A5CD7E"/>
            <w:vAlign w:val="center"/>
          </w:tcPr>
          <w:p w:rsidR="00EB08C6" w:rsidRPr="00204DAB" w:rsidRDefault="00EB08C6" w:rsidP="00CD350B">
            <w:pPr>
              <w:pStyle w:val="Normal-aftertable"/>
              <w:jc w:val="center"/>
              <w:rPr>
                <w:b/>
                <w:sz w:val="18"/>
                <w:szCs w:val="18"/>
              </w:rPr>
            </w:pPr>
            <w:r w:rsidRPr="00204DAB">
              <w:rPr>
                <w:b/>
                <w:sz w:val="18"/>
                <w:szCs w:val="18"/>
              </w:rPr>
              <w:t>Meets Expected Performance Level</w:t>
            </w:r>
          </w:p>
        </w:tc>
        <w:tc>
          <w:tcPr>
            <w:tcW w:w="0" w:type="auto"/>
            <w:tcBorders>
              <w:top w:val="single" w:sz="4" w:space="0" w:color="auto"/>
              <w:left w:val="single" w:sz="4" w:space="0" w:color="auto"/>
              <w:bottom w:val="single" w:sz="4" w:space="0" w:color="auto"/>
              <w:right w:val="single" w:sz="4" w:space="0" w:color="auto"/>
            </w:tcBorders>
            <w:shd w:val="clear" w:color="auto" w:fill="A5CD7E"/>
            <w:vAlign w:val="center"/>
          </w:tcPr>
          <w:p w:rsidR="00EB08C6" w:rsidRPr="00204DAB" w:rsidRDefault="00EB08C6" w:rsidP="00CD350B">
            <w:pPr>
              <w:pStyle w:val="Normal-aftertable"/>
              <w:jc w:val="center"/>
              <w:rPr>
                <w:b/>
                <w:sz w:val="18"/>
                <w:szCs w:val="18"/>
              </w:rPr>
            </w:pPr>
            <w:r w:rsidRPr="00204DAB">
              <w:rPr>
                <w:b/>
                <w:sz w:val="18"/>
                <w:szCs w:val="18"/>
              </w:rPr>
              <w:t>Minor Improvement Necessary</w:t>
            </w:r>
          </w:p>
        </w:tc>
        <w:tc>
          <w:tcPr>
            <w:tcW w:w="0" w:type="auto"/>
            <w:tcBorders>
              <w:top w:val="single" w:sz="4" w:space="0" w:color="auto"/>
              <w:left w:val="single" w:sz="4" w:space="0" w:color="auto"/>
              <w:bottom w:val="single" w:sz="4" w:space="0" w:color="auto"/>
              <w:right w:val="single" w:sz="4" w:space="0" w:color="auto"/>
            </w:tcBorders>
            <w:shd w:val="clear" w:color="auto" w:fill="A5CD7E"/>
            <w:vAlign w:val="center"/>
          </w:tcPr>
          <w:p w:rsidR="00EB08C6" w:rsidRPr="00204DAB" w:rsidRDefault="00EB08C6" w:rsidP="00CD350B">
            <w:pPr>
              <w:pStyle w:val="Normal-aftertable"/>
              <w:jc w:val="center"/>
              <w:rPr>
                <w:b/>
                <w:sz w:val="18"/>
                <w:szCs w:val="18"/>
              </w:rPr>
            </w:pPr>
            <w:r w:rsidRPr="00204DAB">
              <w:rPr>
                <w:b/>
                <w:sz w:val="18"/>
                <w:szCs w:val="18"/>
              </w:rPr>
              <w:t>Moderate Improvement Necessary</w:t>
            </w:r>
          </w:p>
        </w:tc>
        <w:tc>
          <w:tcPr>
            <w:tcW w:w="0" w:type="auto"/>
            <w:tcBorders>
              <w:top w:val="single" w:sz="4" w:space="0" w:color="auto"/>
              <w:left w:val="single" w:sz="4" w:space="0" w:color="auto"/>
              <w:bottom w:val="single" w:sz="4" w:space="0" w:color="auto"/>
              <w:right w:val="single" w:sz="4" w:space="0" w:color="auto"/>
            </w:tcBorders>
            <w:shd w:val="clear" w:color="auto" w:fill="A5CD7E"/>
            <w:vAlign w:val="center"/>
          </w:tcPr>
          <w:p w:rsidR="00EB08C6" w:rsidRPr="00204DAB" w:rsidRDefault="00EB08C6" w:rsidP="00CD350B">
            <w:pPr>
              <w:pStyle w:val="Normal-aftertable"/>
              <w:jc w:val="center"/>
              <w:rPr>
                <w:b/>
                <w:sz w:val="18"/>
                <w:szCs w:val="18"/>
              </w:rPr>
            </w:pPr>
            <w:r w:rsidRPr="00204DAB">
              <w:rPr>
                <w:b/>
                <w:sz w:val="18"/>
                <w:szCs w:val="18"/>
              </w:rPr>
              <w:t>Significant Improvement Necessary</w:t>
            </w:r>
          </w:p>
        </w:tc>
        <w:tc>
          <w:tcPr>
            <w:tcW w:w="0" w:type="auto"/>
            <w:tcBorders>
              <w:top w:val="single" w:sz="4" w:space="0" w:color="auto"/>
              <w:left w:val="single" w:sz="4" w:space="0" w:color="auto"/>
              <w:bottom w:val="single" w:sz="4" w:space="0" w:color="auto"/>
              <w:right w:val="single" w:sz="4" w:space="0" w:color="auto"/>
            </w:tcBorders>
            <w:shd w:val="clear" w:color="auto" w:fill="A5CD7E"/>
            <w:vAlign w:val="center"/>
          </w:tcPr>
          <w:p w:rsidR="00EB08C6" w:rsidRPr="00204DAB" w:rsidRDefault="00EB08C6" w:rsidP="00CD350B">
            <w:pPr>
              <w:pStyle w:val="Normal-aftertable"/>
              <w:jc w:val="center"/>
              <w:rPr>
                <w:b/>
                <w:sz w:val="18"/>
                <w:szCs w:val="18"/>
              </w:rPr>
            </w:pPr>
            <w:r w:rsidRPr="00204DAB">
              <w:rPr>
                <w:b/>
                <w:sz w:val="18"/>
                <w:szCs w:val="18"/>
              </w:rPr>
              <w:t>Major Improvement Necessary</w:t>
            </w: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II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Executive Management</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III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sidRPr="002F4E52">
              <w:rPr>
                <w:sz w:val="20"/>
                <w:szCs w:val="20"/>
              </w:rPr>
              <w:t>Governance</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IV</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sidRPr="002F4E52">
              <w:rPr>
                <w:sz w:val="20"/>
                <w:szCs w:val="20"/>
              </w:rPr>
              <w:t>Affiliate Relations</w:t>
            </w:r>
            <w:r>
              <w:rPr>
                <w:sz w:val="20"/>
                <w:szCs w:val="20"/>
              </w:rPr>
              <w:t>hips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V</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Pr>
                <w:sz w:val="20"/>
                <w:szCs w:val="20"/>
              </w:rPr>
              <w:t>Finance and Accounting</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VI-A</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sidRPr="00C301B4">
              <w:rPr>
                <w:sz w:val="20"/>
                <w:szCs w:val="20"/>
              </w:rPr>
              <w:t>Transmission &amp; Distribution –</w:t>
            </w:r>
            <w:r>
              <w:rPr>
                <w:sz w:val="20"/>
                <w:szCs w:val="20"/>
              </w:rPr>
              <w:br/>
            </w:r>
            <w:r w:rsidR="00EB08C6">
              <w:rPr>
                <w:sz w:val="20"/>
                <w:szCs w:val="20"/>
              </w:rPr>
              <w:t>Transmission and Substations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VI-B</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sidRPr="00C301B4">
              <w:rPr>
                <w:sz w:val="20"/>
                <w:szCs w:val="20"/>
              </w:rPr>
              <w:t>Transmission &amp; Distribution –</w:t>
            </w:r>
            <w:r>
              <w:rPr>
                <w:sz w:val="20"/>
                <w:szCs w:val="20"/>
              </w:rPr>
              <w:br/>
            </w:r>
            <w:r w:rsidR="00EB08C6">
              <w:rPr>
                <w:sz w:val="20"/>
                <w:szCs w:val="20"/>
              </w:rPr>
              <w:t>Distribution Operations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9961AC"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VII-A</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Emergency Response –</w:t>
            </w:r>
            <w:r>
              <w:rPr>
                <w:sz w:val="20"/>
                <w:szCs w:val="20"/>
              </w:rPr>
              <w:br/>
            </w:r>
            <w:r w:rsidR="00EB08C6">
              <w:rPr>
                <w:sz w:val="20"/>
                <w:szCs w:val="20"/>
              </w:rPr>
              <w:t>Protective Services Emergency Management</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VII-B</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Emergency Response –</w:t>
            </w:r>
            <w:r>
              <w:rPr>
                <w:sz w:val="20"/>
                <w:szCs w:val="20"/>
              </w:rPr>
              <w:br/>
            </w:r>
            <w:r w:rsidR="00EB08C6">
              <w:rPr>
                <w:sz w:val="20"/>
                <w:szCs w:val="20"/>
              </w:rPr>
              <w:t>PPL EU System Damage and Storm Response</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VII-C</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Emergency Response –</w:t>
            </w:r>
            <w:r>
              <w:rPr>
                <w:sz w:val="20"/>
                <w:szCs w:val="20"/>
              </w:rPr>
              <w:br/>
            </w:r>
            <w:r w:rsidR="00EB08C6">
              <w:rPr>
                <w:sz w:val="20"/>
                <w:szCs w:val="20"/>
              </w:rPr>
              <w:t>Cyber Security</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9961AC"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VII-D</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Emergency Response –</w:t>
            </w:r>
            <w:r w:rsidR="00EB08C6">
              <w:rPr>
                <w:sz w:val="20"/>
                <w:szCs w:val="20"/>
              </w:rPr>
              <w:t>Compliance With Requirements of the Pennsylvania Code</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Default="00EB08C6" w:rsidP="008236C1">
            <w:pPr>
              <w:pStyle w:val="Normal-aftertable"/>
              <w:spacing w:before="0" w:after="0"/>
              <w:jc w:val="center"/>
              <w:rPr>
                <w:sz w:val="20"/>
                <w:szCs w:val="20"/>
              </w:rPr>
            </w:pPr>
            <w:r>
              <w:rPr>
                <w:sz w:val="20"/>
                <w:szCs w:val="20"/>
              </w:rPr>
              <w:t>VIII-A</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C301B4">
            <w:pPr>
              <w:pStyle w:val="Normal-aftertable"/>
              <w:spacing w:before="0" w:after="0"/>
              <w:jc w:val="center"/>
              <w:rPr>
                <w:sz w:val="20"/>
                <w:szCs w:val="20"/>
              </w:rPr>
            </w:pPr>
            <w:r>
              <w:rPr>
                <w:sz w:val="20"/>
                <w:szCs w:val="20"/>
              </w:rPr>
              <w:t xml:space="preserve">Support Services – </w:t>
            </w:r>
            <w:r w:rsidR="00EB08C6">
              <w:rPr>
                <w:sz w:val="20"/>
                <w:szCs w:val="20"/>
              </w:rPr>
              <w:t>Technical Development and Improvement</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VIII-B</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 xml:space="preserve">Support Services – </w:t>
            </w:r>
            <w:r w:rsidR="00EB08C6" w:rsidRPr="002F4E52">
              <w:rPr>
                <w:sz w:val="20"/>
                <w:szCs w:val="20"/>
              </w:rPr>
              <w:t>Supply Chain</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VIII-C</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C301B4" w:rsidP="008236C1">
            <w:pPr>
              <w:pStyle w:val="Normal-aftertable"/>
              <w:spacing w:before="0" w:after="0"/>
              <w:jc w:val="center"/>
              <w:rPr>
                <w:sz w:val="20"/>
                <w:szCs w:val="20"/>
              </w:rPr>
            </w:pPr>
            <w:r>
              <w:rPr>
                <w:sz w:val="20"/>
                <w:szCs w:val="20"/>
              </w:rPr>
              <w:t xml:space="preserve">Support Services – </w:t>
            </w:r>
            <w:r w:rsidR="00EB08C6" w:rsidRPr="002F4E52">
              <w:rPr>
                <w:sz w:val="20"/>
                <w:szCs w:val="20"/>
              </w:rPr>
              <w:t>Transportation</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9961AC"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IX</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Customer Services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sidRPr="002F4E52">
              <w:rPr>
                <w:sz w:val="20"/>
                <w:szCs w:val="20"/>
              </w:rPr>
              <w:t>Customer Assistance Programs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lastRenderedPageBreak/>
              <w:t>XI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sidRPr="002F4E52">
              <w:rPr>
                <w:sz w:val="20"/>
                <w:szCs w:val="20"/>
              </w:rPr>
              <w:t>Information Technology and Systems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XII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Human Resources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XIII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Executive Compensation</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XIV</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Diversity/EEO</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XV</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u w:val="single"/>
              </w:rPr>
            </w:pPr>
            <w:r w:rsidRPr="002F4E52">
              <w:rPr>
                <w:sz w:val="20"/>
                <w:szCs w:val="20"/>
              </w:rPr>
              <w:t>Staffing Planning Process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r w:rsidR="00C301B4" w:rsidRPr="00C66048" w:rsidTr="00C301B4">
        <w:trPr>
          <w:cantSplit/>
          <w:trHeight w:val="20"/>
          <w:jc w:val="center"/>
        </w:trPr>
        <w:tc>
          <w:tcPr>
            <w:tcW w:w="0" w:type="auto"/>
            <w:tcBorders>
              <w:top w:val="single" w:sz="4" w:space="0" w:color="auto"/>
              <w:bottom w:val="single" w:sz="4" w:space="0" w:color="auto"/>
              <w:right w:val="single" w:sz="4" w:space="0" w:color="auto"/>
            </w:tcBorders>
            <w:vAlign w:val="center"/>
          </w:tcPr>
          <w:p w:rsidR="00EB08C6" w:rsidRPr="002F4E52" w:rsidRDefault="00EB08C6" w:rsidP="008236C1">
            <w:pPr>
              <w:pStyle w:val="Normal-aftertable"/>
              <w:spacing w:before="0" w:after="0"/>
              <w:jc w:val="center"/>
              <w:rPr>
                <w:sz w:val="20"/>
                <w:szCs w:val="20"/>
              </w:rPr>
            </w:pPr>
            <w:r>
              <w:rPr>
                <w:sz w:val="20"/>
                <w:szCs w:val="20"/>
              </w:rPr>
              <w:t>XVI</w:t>
            </w:r>
          </w:p>
        </w:tc>
        <w:tc>
          <w:tcPr>
            <w:tcW w:w="1872" w:type="dxa"/>
            <w:tcBorders>
              <w:top w:val="single" w:sz="4" w:space="0" w:color="auto"/>
              <w:bottom w:val="single" w:sz="4" w:space="0" w:color="auto"/>
              <w:right w:val="single" w:sz="4" w:space="0" w:color="auto"/>
            </w:tcBorders>
            <w:shd w:val="clear" w:color="auto" w:fill="auto"/>
            <w:vAlign w:val="center"/>
          </w:tcPr>
          <w:p w:rsidR="00EB08C6" w:rsidRPr="002F4E52" w:rsidRDefault="00EB08C6" w:rsidP="008236C1">
            <w:pPr>
              <w:pStyle w:val="Normal-aftertable"/>
              <w:spacing w:before="0" w:after="0"/>
              <w:jc w:val="center"/>
              <w:rPr>
                <w:sz w:val="20"/>
                <w:szCs w:val="20"/>
              </w:rPr>
            </w:pPr>
            <w:r w:rsidRPr="002F4E52">
              <w:rPr>
                <w:sz w:val="20"/>
                <w:szCs w:val="20"/>
              </w:rPr>
              <w:t>Merger Synergy Opportunities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r>
              <w:rPr>
                <w:sz w:val="18"/>
                <w:szCs w:val="18"/>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B08C6" w:rsidRPr="00C66048" w:rsidRDefault="00EB08C6" w:rsidP="008236C1">
            <w:pPr>
              <w:pStyle w:val="Normal-aftertable"/>
              <w:spacing w:before="0" w:after="0"/>
              <w:jc w:val="center"/>
              <w:rPr>
                <w:sz w:val="18"/>
                <w:szCs w:val="18"/>
              </w:rPr>
            </w:pPr>
          </w:p>
        </w:tc>
      </w:tr>
    </w:tbl>
    <w:p w:rsidR="00EB08C6" w:rsidRDefault="00EB08C6" w:rsidP="004F00E5">
      <w:pPr>
        <w:pStyle w:val="Heading2"/>
        <w:numPr>
          <w:ilvl w:val="0"/>
          <w:numId w:val="94"/>
        </w:numPr>
        <w:rPr>
          <w:bCs/>
        </w:rPr>
      </w:pPr>
      <w:bookmarkStart w:id="11" w:name="_TOC_250016"/>
      <w:bookmarkStart w:id="12" w:name="_Toc464551972"/>
      <w:r>
        <w:rPr>
          <w:u w:color="000000"/>
        </w:rPr>
        <w:t>findings and Recommendations</w:t>
      </w:r>
      <w:r>
        <w:rPr>
          <w:spacing w:val="-19"/>
          <w:u w:color="000000"/>
        </w:rPr>
        <w:t xml:space="preserve"> </w:t>
      </w:r>
      <w:r>
        <w:rPr>
          <w:u w:color="000000"/>
        </w:rPr>
        <w:t>Summary</w:t>
      </w:r>
      <w:bookmarkEnd w:id="11"/>
      <w:bookmarkEnd w:id="12"/>
    </w:p>
    <w:p w:rsidR="00EB08C6" w:rsidRDefault="00EB08C6" w:rsidP="008236C1">
      <w:pPr>
        <w:pStyle w:val="Heading30"/>
      </w:pPr>
      <w:r>
        <w:t>Findings and Recommendations</w:t>
      </w:r>
    </w:p>
    <w:p w:rsidR="00EB08C6" w:rsidRDefault="00EB08C6" w:rsidP="008236C1">
      <w:pPr>
        <w:rPr>
          <w:rFonts w:ascii="Times New Roman" w:hAnsi="Times New Roman"/>
          <w:sz w:val="26"/>
          <w:szCs w:val="26"/>
        </w:rPr>
      </w:pPr>
      <w:r>
        <w:t>Each report chapter</w:t>
      </w:r>
      <w:r w:rsidRPr="00F03970">
        <w:t xml:space="preserve"> </w:t>
      </w:r>
      <w:r>
        <w:t>contains relevant background information, findings,</w:t>
      </w:r>
      <w:r w:rsidRPr="00F03970">
        <w:t xml:space="preserve"> and recommenda</w:t>
      </w:r>
      <w:r>
        <w:t>tions</w:t>
      </w:r>
      <w:r w:rsidRPr="00F03970">
        <w:t xml:space="preserve">.  </w:t>
      </w:r>
      <w:r>
        <w:t>This section contains a summarization of all audit findings and recommendations from each chapter.  A full discussion of each finding and recommendation is contained in its respective report chapter. The following table</w:t>
      </w:r>
      <w:r w:rsidRPr="00F03970">
        <w:t xml:space="preserve"> summarizes the </w:t>
      </w:r>
      <w:r>
        <w:t xml:space="preserve">findings and </w:t>
      </w:r>
      <w:r w:rsidRPr="00F03970">
        <w:t xml:space="preserve">recommendations with </w:t>
      </w:r>
      <w:r>
        <w:t xml:space="preserve">one of </w:t>
      </w:r>
      <w:r w:rsidRPr="00F03970">
        <w:t>the following priority assessments</w:t>
      </w:r>
      <w:r>
        <w:rPr>
          <w:rFonts w:ascii="Times New Roman"/>
          <w:sz w:val="26"/>
        </w:rPr>
        <w:t xml:space="preserve"> </w:t>
      </w:r>
      <w:r w:rsidRPr="002F4E52">
        <w:t>for implementation</w:t>
      </w:r>
      <w:r>
        <w:t xml:space="preserve"> of each recommendation</w:t>
      </w:r>
      <w:r>
        <w:rPr>
          <w:rFonts w:ascii="Times New Roman"/>
          <w:sz w:val="26"/>
        </w:rPr>
        <w:t>:</w:t>
      </w:r>
    </w:p>
    <w:p w:rsidR="00EB08C6" w:rsidRPr="00A90A22" w:rsidRDefault="00EB08C6" w:rsidP="008236C1">
      <w:pPr>
        <w:pStyle w:val="Bullet"/>
      </w:pPr>
      <w:r w:rsidRPr="00A90A22">
        <w:t>High – Implementation of the recommendation</w:t>
      </w:r>
      <w:r w:rsidRPr="00A90A22">
        <w:rPr>
          <w:spacing w:val="-26"/>
        </w:rPr>
        <w:t xml:space="preserve"> </w:t>
      </w:r>
      <w:r w:rsidRPr="00A90A22">
        <w:t>would result in significant cost savings, major service improvements, and/or substantial improvements in management practices and performance.  These recommendations should be implemented as soon as</w:t>
      </w:r>
      <w:r w:rsidRPr="00A90A22">
        <w:rPr>
          <w:spacing w:val="-11"/>
        </w:rPr>
        <w:t xml:space="preserve"> </w:t>
      </w:r>
      <w:r w:rsidRPr="00A90A22">
        <w:t>practical.</w:t>
      </w:r>
    </w:p>
    <w:p w:rsidR="00EB08C6" w:rsidRPr="00A90A22" w:rsidRDefault="00EB08C6" w:rsidP="008236C1">
      <w:pPr>
        <w:pStyle w:val="Bullet"/>
      </w:pPr>
      <w:r w:rsidRPr="00A90A22">
        <w:rPr>
          <w:szCs w:val="24"/>
        </w:rPr>
        <w:t>Medium</w:t>
      </w:r>
      <w:r w:rsidRPr="00A90A22">
        <w:rPr>
          <w:sz w:val="28"/>
        </w:rPr>
        <w:t xml:space="preserve"> </w:t>
      </w:r>
      <w:r w:rsidRPr="00A90A22">
        <w:t>– Implementation of the recommendation would result in important cost savings, service improvements, and/or</w:t>
      </w:r>
      <w:r w:rsidRPr="00A90A22">
        <w:rPr>
          <w:spacing w:val="-18"/>
        </w:rPr>
        <w:t xml:space="preserve"> </w:t>
      </w:r>
      <w:r w:rsidRPr="00A90A22">
        <w:t>meaningful improvements in management practices and performance.  Implementation of these recommendations should begin within 12</w:t>
      </w:r>
      <w:r w:rsidRPr="00A90A22">
        <w:rPr>
          <w:spacing w:val="-11"/>
        </w:rPr>
        <w:t xml:space="preserve"> </w:t>
      </w:r>
      <w:r w:rsidRPr="00A90A22">
        <w:t>months.</w:t>
      </w:r>
    </w:p>
    <w:p w:rsidR="00EB08C6" w:rsidRPr="00A90A22" w:rsidRDefault="00EB08C6" w:rsidP="008236C1">
      <w:pPr>
        <w:pStyle w:val="Bullet"/>
      </w:pPr>
      <w:r w:rsidRPr="00A90A22">
        <w:t>Low – Implementation of the recommendation could potentially enhance cost controls, service improvements, and/or management practices</w:t>
      </w:r>
      <w:r w:rsidRPr="00A90A22">
        <w:rPr>
          <w:spacing w:val="-12"/>
        </w:rPr>
        <w:t xml:space="preserve"> </w:t>
      </w:r>
      <w:r w:rsidRPr="00A90A22">
        <w:t>and performance.  Implementation of these recommendations should begin within 18 months.</w:t>
      </w:r>
    </w:p>
    <w:p w:rsidR="00EB08C6" w:rsidRDefault="00EB08C6" w:rsidP="008236C1">
      <w:r>
        <w:t>These priorities were assigned based on the Audit team’s assessment of</w:t>
      </w:r>
      <w:r>
        <w:rPr>
          <w:spacing w:val="-35"/>
        </w:rPr>
        <w:t xml:space="preserve"> </w:t>
      </w:r>
      <w:r>
        <w:t>the potential impact of the recommendations and the Company’s available</w:t>
      </w:r>
      <w:r>
        <w:rPr>
          <w:spacing w:val="-22"/>
        </w:rPr>
        <w:t xml:space="preserve"> </w:t>
      </w:r>
      <w:r>
        <w:t>resources.</w:t>
      </w:r>
    </w:p>
    <w:p w:rsidR="000D142C" w:rsidRDefault="000D142C">
      <w:pPr>
        <w:spacing w:after="0"/>
        <w:jc w:val="left"/>
        <w:rPr>
          <w:b/>
          <w:bCs/>
          <w:szCs w:val="18"/>
        </w:rPr>
      </w:pPr>
      <w:r>
        <w:br w:type="page"/>
      </w:r>
    </w:p>
    <w:p w:rsidR="00EB08C6" w:rsidRDefault="008C7C69" w:rsidP="008C7C69">
      <w:pPr>
        <w:pStyle w:val="Caption"/>
      </w:pPr>
      <w:bookmarkStart w:id="13" w:name="_Toc464552925"/>
      <w:r>
        <w:lastRenderedPageBreak/>
        <w:t xml:space="preserve">Exhibit </w:t>
      </w:r>
      <w:r w:rsidR="00CB2B2A">
        <w:fldChar w:fldCharType="begin"/>
      </w:r>
      <w:r w:rsidR="00EC053E">
        <w:instrText xml:space="preserve"> STYLEREF 1 \s </w:instrText>
      </w:r>
      <w:r w:rsidR="00CB2B2A">
        <w:fldChar w:fldCharType="separate"/>
      </w:r>
      <w:r w:rsidR="00CA3BDB">
        <w:rPr>
          <w:noProof/>
        </w:rPr>
        <w:t>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br/>
      </w:r>
      <w:r w:rsidR="00EB08C6">
        <w:t>Findings and Recommendations Summary</w:t>
      </w:r>
      <w:bookmarkEnd w:id="13"/>
    </w:p>
    <w:tbl>
      <w:tblPr>
        <w:tblStyle w:val="TableGrid"/>
        <w:tblW w:w="4907" w:type="pct"/>
        <w:jc w:val="center"/>
        <w:tblCellMar>
          <w:top w:w="14" w:type="dxa"/>
          <w:left w:w="115" w:type="dxa"/>
          <w:bottom w:w="14" w:type="dxa"/>
          <w:right w:w="115" w:type="dxa"/>
        </w:tblCellMar>
        <w:tblLook w:val="04A0"/>
      </w:tblPr>
      <w:tblGrid>
        <w:gridCol w:w="4160"/>
        <w:gridCol w:w="9"/>
        <w:gridCol w:w="4006"/>
        <w:gridCol w:w="51"/>
        <w:gridCol w:w="1186"/>
      </w:tblGrid>
      <w:tr w:rsidR="00EB08C6" w:rsidRPr="00B63D34" w:rsidTr="000D142C">
        <w:trPr>
          <w:cantSplit/>
          <w:tblHeader/>
          <w:jc w:val="center"/>
        </w:trPr>
        <w:tc>
          <w:tcPr>
            <w:tcW w:w="2210" w:type="pct"/>
            <w:shd w:val="clear" w:color="auto" w:fill="A5CD7E"/>
            <w:noWrap/>
            <w:vAlign w:val="center"/>
            <w:hideMark/>
          </w:tcPr>
          <w:p w:rsidR="00EB08C6" w:rsidRPr="00B63D34" w:rsidRDefault="00EB08C6" w:rsidP="00E319FB">
            <w:pPr>
              <w:spacing w:before="120"/>
              <w:jc w:val="center"/>
              <w:rPr>
                <w:b/>
                <w:bCs/>
              </w:rPr>
            </w:pPr>
            <w:r w:rsidRPr="00B63D34">
              <w:rPr>
                <w:b/>
                <w:bCs/>
              </w:rPr>
              <w:t>Findings</w:t>
            </w:r>
          </w:p>
        </w:tc>
        <w:tc>
          <w:tcPr>
            <w:tcW w:w="2133" w:type="pct"/>
            <w:gridSpan w:val="2"/>
            <w:shd w:val="clear" w:color="auto" w:fill="A5CD7E"/>
            <w:noWrap/>
            <w:vAlign w:val="center"/>
            <w:hideMark/>
          </w:tcPr>
          <w:p w:rsidR="00EB08C6" w:rsidRPr="00B63D34" w:rsidRDefault="00EB08C6" w:rsidP="00E319FB">
            <w:pPr>
              <w:spacing w:before="120"/>
              <w:jc w:val="center"/>
              <w:rPr>
                <w:b/>
                <w:bCs/>
              </w:rPr>
            </w:pPr>
            <w:r w:rsidRPr="00B63D34">
              <w:rPr>
                <w:b/>
                <w:bCs/>
              </w:rPr>
              <w:t>Recommendations</w:t>
            </w:r>
          </w:p>
        </w:tc>
        <w:tc>
          <w:tcPr>
            <w:tcW w:w="656" w:type="pct"/>
            <w:gridSpan w:val="2"/>
            <w:shd w:val="clear" w:color="auto" w:fill="A5CD7E"/>
            <w:noWrap/>
            <w:vAlign w:val="center"/>
            <w:hideMark/>
          </w:tcPr>
          <w:p w:rsidR="00EB08C6" w:rsidRPr="00B63D34" w:rsidRDefault="00EB08C6" w:rsidP="00E319FB">
            <w:pPr>
              <w:spacing w:before="120"/>
              <w:jc w:val="center"/>
              <w:rPr>
                <w:b/>
                <w:bCs/>
              </w:rPr>
            </w:pPr>
            <w:r w:rsidRPr="00B63D34">
              <w:rPr>
                <w:b/>
                <w:bCs/>
              </w:rPr>
              <w:t>Priority</w:t>
            </w:r>
          </w:p>
        </w:tc>
      </w:tr>
      <w:tr w:rsidR="00EB08C6" w:rsidRPr="00B63D34" w:rsidTr="000D142C">
        <w:trPr>
          <w:cantSplit/>
          <w:trHeight w:val="456"/>
          <w:jc w:val="center"/>
        </w:trPr>
        <w:tc>
          <w:tcPr>
            <w:tcW w:w="5000" w:type="pct"/>
            <w:gridSpan w:val="5"/>
            <w:vAlign w:val="center"/>
          </w:tcPr>
          <w:p w:rsidR="00EB08C6" w:rsidRPr="00AD734B" w:rsidRDefault="00EB08C6" w:rsidP="008236C1">
            <w:pPr>
              <w:spacing w:after="0"/>
              <w:jc w:val="left"/>
              <w:rPr>
                <w:b/>
              </w:rPr>
            </w:pPr>
            <w:r w:rsidRPr="00AD734B">
              <w:rPr>
                <w:b/>
              </w:rPr>
              <w:t xml:space="preserve">Chapter II – Executive Management </w:t>
            </w:r>
          </w:p>
        </w:tc>
      </w:tr>
      <w:tr w:rsidR="00EB08C6" w:rsidRPr="00B63D34" w:rsidTr="000D142C">
        <w:trPr>
          <w:cantSplit/>
          <w:trHeight w:val="1173"/>
          <w:jc w:val="center"/>
        </w:trPr>
        <w:tc>
          <w:tcPr>
            <w:tcW w:w="2215" w:type="pct"/>
            <w:gridSpan w:val="2"/>
            <w:vAlign w:val="center"/>
            <w:hideMark/>
          </w:tcPr>
          <w:p w:rsidR="00EB08C6" w:rsidRPr="00B63D34" w:rsidRDefault="00EB08C6" w:rsidP="008236C1">
            <w:pPr>
              <w:pStyle w:val="FRTableNumbering"/>
            </w:pPr>
            <w:r>
              <w:t>1.</w:t>
            </w:r>
            <w:r>
              <w:rPr>
                <w:rFonts w:eastAsiaTheme="minorHAnsi"/>
              </w:rPr>
              <w:t xml:space="preserve"> </w:t>
            </w:r>
            <w:r>
              <w:rPr>
                <w:rFonts w:eastAsiaTheme="minorHAnsi"/>
              </w:rPr>
              <w:tab/>
            </w:r>
            <w:r w:rsidRPr="006449DA">
              <w:t>The PPL EU President and senior management team demonstrate positive leadership of the organization.</w:t>
            </w:r>
          </w:p>
        </w:tc>
        <w:tc>
          <w:tcPr>
            <w:tcW w:w="2155" w:type="pct"/>
            <w:gridSpan w:val="2"/>
            <w:vAlign w:val="center"/>
            <w:hideMark/>
          </w:tcPr>
          <w:p w:rsidR="00EB08C6" w:rsidRPr="00B63D34" w:rsidRDefault="00EB08C6" w:rsidP="008236C1">
            <w:pPr>
              <w:spacing w:after="0"/>
              <w:jc w:val="left"/>
            </w:pPr>
          </w:p>
        </w:tc>
        <w:tc>
          <w:tcPr>
            <w:tcW w:w="630" w:type="pct"/>
            <w:vAlign w:val="center"/>
            <w:hideMark/>
          </w:tcPr>
          <w:p w:rsidR="00EB08C6" w:rsidRPr="00B63D34" w:rsidRDefault="00EB08C6" w:rsidP="008236C1">
            <w:pPr>
              <w:spacing w:after="0"/>
              <w:jc w:val="center"/>
            </w:pPr>
          </w:p>
        </w:tc>
      </w:tr>
      <w:tr w:rsidR="00EB08C6" w:rsidRPr="00B63D34" w:rsidTr="000D142C">
        <w:trPr>
          <w:cantSplit/>
          <w:trHeight w:val="886"/>
          <w:jc w:val="center"/>
        </w:trPr>
        <w:tc>
          <w:tcPr>
            <w:tcW w:w="2215" w:type="pct"/>
            <w:gridSpan w:val="2"/>
            <w:vAlign w:val="center"/>
          </w:tcPr>
          <w:p w:rsidR="00EB08C6" w:rsidRPr="006449DA" w:rsidRDefault="00EB08C6" w:rsidP="008236C1">
            <w:pPr>
              <w:pStyle w:val="FRTableNumbering"/>
            </w:pPr>
            <w:r>
              <w:t>2.</w:t>
            </w:r>
            <w:r w:rsidRPr="009A7B2F">
              <w:t xml:space="preserve"> </w:t>
            </w:r>
            <w:r w:rsidRPr="009A7B2F">
              <w:tab/>
            </w:r>
            <w:r w:rsidRPr="006449DA">
              <w:t>PPL EU has a well-developed corporate performance management program.</w:t>
            </w:r>
          </w:p>
        </w:tc>
        <w:tc>
          <w:tcPr>
            <w:tcW w:w="2155" w:type="pct"/>
            <w:gridSpan w:val="2"/>
            <w:vAlign w:val="center"/>
          </w:tcPr>
          <w:p w:rsidR="00EB08C6" w:rsidRPr="00B63D34" w:rsidRDefault="00EB08C6" w:rsidP="008236C1">
            <w:pPr>
              <w:spacing w:after="0"/>
              <w:jc w:val="left"/>
            </w:pPr>
          </w:p>
        </w:tc>
        <w:tc>
          <w:tcPr>
            <w:tcW w:w="630" w:type="pct"/>
            <w:vAlign w:val="center"/>
          </w:tcPr>
          <w:p w:rsidR="00EB08C6" w:rsidRPr="00B63D34" w:rsidRDefault="00EB08C6" w:rsidP="008236C1">
            <w:pPr>
              <w:spacing w:after="0"/>
              <w:jc w:val="center"/>
            </w:pPr>
          </w:p>
        </w:tc>
      </w:tr>
      <w:tr w:rsidR="00EB08C6" w:rsidRPr="00B63D34" w:rsidTr="00014490">
        <w:trPr>
          <w:cantSplit/>
          <w:trHeight w:val="1344"/>
          <w:jc w:val="center"/>
        </w:trPr>
        <w:tc>
          <w:tcPr>
            <w:tcW w:w="2215" w:type="pct"/>
            <w:gridSpan w:val="2"/>
            <w:vAlign w:val="center"/>
          </w:tcPr>
          <w:p w:rsidR="00EB08C6" w:rsidRPr="006449DA" w:rsidRDefault="00EB08C6" w:rsidP="00827683">
            <w:pPr>
              <w:pStyle w:val="FRTableNumbering"/>
            </w:pPr>
            <w:r>
              <w:t>3.</w:t>
            </w:r>
            <w:r w:rsidRPr="009A7B2F">
              <w:t xml:space="preserve"> </w:t>
            </w:r>
            <w:r w:rsidRPr="009A7B2F">
              <w:tab/>
            </w:r>
            <w:r w:rsidRPr="006449DA">
              <w:t xml:space="preserve">PPL EU’s operating costs (less purchased power) have escalated over the past </w:t>
            </w:r>
            <w:r w:rsidR="001537F5">
              <w:t xml:space="preserve">five years </w:t>
            </w:r>
          </w:p>
        </w:tc>
        <w:tc>
          <w:tcPr>
            <w:tcW w:w="2155" w:type="pct"/>
            <w:gridSpan w:val="2"/>
            <w:vAlign w:val="center"/>
          </w:tcPr>
          <w:p w:rsidR="00EB08C6" w:rsidRPr="001725B1" w:rsidRDefault="00EB08C6" w:rsidP="00827683">
            <w:pPr>
              <w:pStyle w:val="FRTableNumbering"/>
            </w:pPr>
            <w:r w:rsidRPr="001725B1">
              <w:t>1.</w:t>
            </w:r>
            <w:r w:rsidRPr="00431E7E">
              <w:t xml:space="preserve"> </w:t>
            </w:r>
            <w:r w:rsidRPr="00431E7E">
              <w:tab/>
            </w:r>
            <w:r w:rsidR="001537F5">
              <w:t xml:space="preserve">PPL EU should </w:t>
            </w:r>
            <w:r w:rsidR="00335D28">
              <w:t>ensure</w:t>
            </w:r>
            <w:r w:rsidR="001537F5">
              <w:t xml:space="preserve"> its non-purchased power operating costs </w:t>
            </w:r>
            <w:r w:rsidR="00827683">
              <w:t xml:space="preserve">are comparable </w:t>
            </w:r>
            <w:r w:rsidR="001537F5">
              <w:t>to its Pennsylvania peers. (See Finding 3)</w:t>
            </w:r>
          </w:p>
        </w:tc>
        <w:tc>
          <w:tcPr>
            <w:tcW w:w="630" w:type="pct"/>
            <w:vAlign w:val="center"/>
          </w:tcPr>
          <w:p w:rsidR="00EB08C6" w:rsidRPr="00B63D34" w:rsidRDefault="00EB08C6" w:rsidP="008236C1">
            <w:pPr>
              <w:spacing w:after="0"/>
              <w:jc w:val="center"/>
            </w:pPr>
            <w:r>
              <w:t>Low</w:t>
            </w:r>
          </w:p>
        </w:tc>
      </w:tr>
      <w:tr w:rsidR="00EB08C6" w:rsidRPr="00B63D34" w:rsidTr="000D142C">
        <w:trPr>
          <w:cantSplit/>
          <w:trHeight w:val="1218"/>
          <w:jc w:val="center"/>
        </w:trPr>
        <w:tc>
          <w:tcPr>
            <w:tcW w:w="2215" w:type="pct"/>
            <w:gridSpan w:val="2"/>
            <w:vAlign w:val="center"/>
          </w:tcPr>
          <w:p w:rsidR="00EB08C6" w:rsidRPr="006449DA" w:rsidRDefault="00EB08C6" w:rsidP="008236C1">
            <w:pPr>
              <w:pStyle w:val="FRTableNumbering"/>
            </w:pPr>
            <w:r>
              <w:t>4.</w:t>
            </w:r>
            <w:r w:rsidRPr="009A7B2F">
              <w:t xml:space="preserve"> </w:t>
            </w:r>
            <w:r w:rsidRPr="009A7B2F">
              <w:tab/>
            </w:r>
            <w:r w:rsidRPr="006449DA">
              <w:t>Neither PPL Corporation nor PPL EU employ a strategic planning process or develop a strategic plan.</w:t>
            </w:r>
          </w:p>
        </w:tc>
        <w:tc>
          <w:tcPr>
            <w:tcW w:w="2155" w:type="pct"/>
            <w:gridSpan w:val="2"/>
            <w:vAlign w:val="center"/>
          </w:tcPr>
          <w:p w:rsidR="00EB08C6" w:rsidRPr="00B63D34" w:rsidRDefault="00EB08C6" w:rsidP="008236C1">
            <w:pPr>
              <w:pStyle w:val="FRTableNumbering"/>
            </w:pPr>
            <w:r>
              <w:t>2.</w:t>
            </w:r>
            <w:r w:rsidRPr="009A7B2F">
              <w:t xml:space="preserve"> </w:t>
            </w:r>
            <w:r w:rsidRPr="009A7B2F">
              <w:tab/>
            </w:r>
            <w:r w:rsidRPr="006449DA">
              <w:t>Develop and implement a PPL EU strategic planning process and develop a PPL EU strategic plan.  (See Finding 4)</w:t>
            </w:r>
          </w:p>
        </w:tc>
        <w:tc>
          <w:tcPr>
            <w:tcW w:w="630" w:type="pct"/>
            <w:vAlign w:val="center"/>
          </w:tcPr>
          <w:p w:rsidR="00EB08C6" w:rsidRPr="00B63D34" w:rsidRDefault="00EB08C6" w:rsidP="008236C1">
            <w:pPr>
              <w:spacing w:after="0"/>
              <w:jc w:val="center"/>
            </w:pPr>
            <w:r>
              <w:t>Medium</w:t>
            </w:r>
          </w:p>
        </w:tc>
      </w:tr>
      <w:tr w:rsidR="00EB08C6" w:rsidRPr="00B63D34" w:rsidTr="000D142C">
        <w:trPr>
          <w:cantSplit/>
          <w:trHeight w:val="2308"/>
          <w:jc w:val="center"/>
        </w:trPr>
        <w:tc>
          <w:tcPr>
            <w:tcW w:w="2215" w:type="pct"/>
            <w:gridSpan w:val="2"/>
            <w:tcBorders>
              <w:bottom w:val="single" w:sz="12" w:space="0" w:color="auto"/>
            </w:tcBorders>
            <w:vAlign w:val="center"/>
          </w:tcPr>
          <w:p w:rsidR="00EB08C6" w:rsidRPr="006449DA" w:rsidRDefault="00EB08C6" w:rsidP="008236C1">
            <w:pPr>
              <w:pStyle w:val="FRTableNumbering"/>
            </w:pPr>
            <w:r>
              <w:t>5.</w:t>
            </w:r>
            <w:r w:rsidRPr="009A7B2F">
              <w:t xml:space="preserve"> </w:t>
            </w:r>
            <w:r w:rsidRPr="009A7B2F">
              <w:tab/>
            </w:r>
            <w:r>
              <w:t xml:space="preserve">Although </w:t>
            </w:r>
            <w:r w:rsidRPr="00A4650E">
              <w:t>PPL EU</w:t>
            </w:r>
            <w:r>
              <w:t xml:space="preserve"> management</w:t>
            </w:r>
            <w:r w:rsidRPr="00A4650E">
              <w:t xml:space="preserve"> has</w:t>
            </w:r>
            <w:r>
              <w:t xml:space="preserve"> taken aggressive measures to improve employee safety performance, 2015 safety performance declined fro</w:t>
            </w:r>
            <w:r w:rsidR="001537F5">
              <w:t xml:space="preserve">m 2014 results and none of the </w:t>
            </w:r>
            <w:r>
              <w:t>2015 PPL EU safety performance targets were met except one</w:t>
            </w:r>
            <w:r w:rsidRPr="00A4650E">
              <w:t>.</w:t>
            </w:r>
          </w:p>
        </w:tc>
        <w:tc>
          <w:tcPr>
            <w:tcW w:w="2155" w:type="pct"/>
            <w:gridSpan w:val="2"/>
            <w:tcBorders>
              <w:bottom w:val="single" w:sz="12" w:space="0" w:color="auto"/>
            </w:tcBorders>
            <w:vAlign w:val="center"/>
          </w:tcPr>
          <w:p w:rsidR="00EB08C6" w:rsidRPr="00B63D34" w:rsidRDefault="00EB08C6" w:rsidP="008236C1">
            <w:pPr>
              <w:pStyle w:val="FRTableNumbering"/>
            </w:pPr>
            <w:r>
              <w:t>3.</w:t>
            </w:r>
            <w:r w:rsidRPr="009A7B2F">
              <w:t xml:space="preserve"> </w:t>
            </w:r>
            <w:r w:rsidRPr="009A7B2F">
              <w:tab/>
            </w:r>
            <w:r w:rsidRPr="006449DA">
              <w:t>Enhance the PPL EU safety program to achieve greater work place safety and employee safety awareness and involvement. (See Finding 5)</w:t>
            </w:r>
          </w:p>
        </w:tc>
        <w:tc>
          <w:tcPr>
            <w:tcW w:w="630" w:type="pct"/>
            <w:tcBorders>
              <w:bottom w:val="single" w:sz="12" w:space="0" w:color="auto"/>
            </w:tcBorders>
            <w:vAlign w:val="center"/>
          </w:tcPr>
          <w:p w:rsidR="00EB08C6" w:rsidRPr="00B63D34" w:rsidRDefault="00EB08C6" w:rsidP="008236C1">
            <w:pPr>
              <w:spacing w:after="0"/>
              <w:jc w:val="center"/>
            </w:pPr>
            <w:r>
              <w:t>High</w:t>
            </w:r>
          </w:p>
        </w:tc>
      </w:tr>
      <w:tr w:rsidR="00EB08C6" w:rsidRPr="00B63D34" w:rsidTr="000D142C">
        <w:trPr>
          <w:cantSplit/>
          <w:trHeight w:val="316"/>
          <w:jc w:val="center"/>
        </w:trPr>
        <w:tc>
          <w:tcPr>
            <w:tcW w:w="5000" w:type="pct"/>
            <w:gridSpan w:val="5"/>
            <w:tcBorders>
              <w:top w:val="single" w:sz="12" w:space="0" w:color="auto"/>
            </w:tcBorders>
            <w:vAlign w:val="center"/>
          </w:tcPr>
          <w:p w:rsidR="00EB08C6" w:rsidRPr="00B63D34" w:rsidRDefault="00EB08C6" w:rsidP="008236C1">
            <w:pPr>
              <w:spacing w:after="0"/>
              <w:jc w:val="left"/>
            </w:pPr>
            <w:r w:rsidRPr="00AD734B">
              <w:rPr>
                <w:b/>
              </w:rPr>
              <w:t>Chapter II</w:t>
            </w:r>
            <w:r>
              <w:rPr>
                <w:b/>
              </w:rPr>
              <w:t>I</w:t>
            </w:r>
            <w:r w:rsidRPr="00AD734B">
              <w:rPr>
                <w:b/>
              </w:rPr>
              <w:t xml:space="preserve"> – </w:t>
            </w:r>
            <w:r>
              <w:rPr>
                <w:b/>
              </w:rPr>
              <w:t>Governance</w:t>
            </w:r>
          </w:p>
        </w:tc>
      </w:tr>
      <w:tr w:rsidR="00EB08C6" w:rsidRPr="00B63D34" w:rsidTr="000D142C">
        <w:trPr>
          <w:cantSplit/>
          <w:trHeight w:val="696"/>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473E32">
              <w:t>PPL Corporation is well governed.</w:t>
            </w:r>
          </w:p>
        </w:tc>
        <w:tc>
          <w:tcPr>
            <w:tcW w:w="2133" w:type="pct"/>
            <w:gridSpan w:val="2"/>
            <w:vAlign w:val="center"/>
            <w:hideMark/>
          </w:tcPr>
          <w:p w:rsidR="00EB08C6" w:rsidRPr="00B63D34" w:rsidRDefault="00EB08C6" w:rsidP="008236C1">
            <w:pPr>
              <w:spacing w:after="0"/>
              <w:jc w:val="left"/>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474"/>
          <w:jc w:val="center"/>
        </w:trPr>
        <w:tc>
          <w:tcPr>
            <w:tcW w:w="2210" w:type="pct"/>
            <w:vAlign w:val="center"/>
          </w:tcPr>
          <w:p w:rsidR="00EB08C6" w:rsidRDefault="00EB08C6" w:rsidP="008236C1">
            <w:pPr>
              <w:pStyle w:val="FRTableNumbering"/>
            </w:pPr>
            <w:r>
              <w:t>2.</w:t>
            </w:r>
            <w:r w:rsidRPr="009A7B2F">
              <w:t xml:space="preserve"> </w:t>
            </w:r>
            <w:r w:rsidRPr="009A7B2F">
              <w:tab/>
            </w:r>
            <w:r w:rsidRPr="00473E32">
              <w:t>The PPL Corporation Audit Committee is effective.</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94"/>
          <w:jc w:val="center"/>
        </w:trPr>
        <w:tc>
          <w:tcPr>
            <w:tcW w:w="2210" w:type="pct"/>
            <w:vAlign w:val="center"/>
          </w:tcPr>
          <w:p w:rsidR="00EB08C6" w:rsidRDefault="00EB08C6" w:rsidP="008236C1">
            <w:pPr>
              <w:pStyle w:val="FRTableNumbering"/>
            </w:pPr>
            <w:r>
              <w:t>3.</w:t>
            </w:r>
            <w:r w:rsidRPr="009A7B2F">
              <w:t xml:space="preserve"> </w:t>
            </w:r>
            <w:r w:rsidRPr="009A7B2F">
              <w:tab/>
            </w:r>
            <w:r w:rsidRPr="00473E32">
              <w:t>PPL Electric Utilities Corporation (PPL EU) governance policies, practices, and procedures comply with the Sarbanes-Oxley Act of 2002.</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48"/>
          <w:jc w:val="center"/>
        </w:trPr>
        <w:tc>
          <w:tcPr>
            <w:tcW w:w="2210" w:type="pct"/>
            <w:vAlign w:val="center"/>
          </w:tcPr>
          <w:p w:rsidR="00EB08C6" w:rsidRDefault="00EB08C6" w:rsidP="008236C1">
            <w:pPr>
              <w:pStyle w:val="FRTableNumbering"/>
            </w:pPr>
            <w:r>
              <w:lastRenderedPageBreak/>
              <w:t>4.</w:t>
            </w:r>
            <w:r w:rsidRPr="009A7B2F">
              <w:t xml:space="preserve"> </w:t>
            </w:r>
            <w:r w:rsidRPr="009A7B2F">
              <w:tab/>
            </w:r>
            <w:r w:rsidRPr="00473E32">
              <w:t>The PPL EU Board is closely associated with the PPL Corporation Board and other PPL affiliates.</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95"/>
          <w:jc w:val="center"/>
        </w:trPr>
        <w:tc>
          <w:tcPr>
            <w:tcW w:w="2210" w:type="pct"/>
            <w:vAlign w:val="center"/>
          </w:tcPr>
          <w:p w:rsidR="00EB08C6" w:rsidRDefault="00EB08C6" w:rsidP="008236C1">
            <w:pPr>
              <w:pStyle w:val="FRTableNumbering"/>
            </w:pPr>
            <w:r>
              <w:t>5.</w:t>
            </w:r>
            <w:r w:rsidRPr="009A7B2F">
              <w:t xml:space="preserve"> </w:t>
            </w:r>
            <w:r w:rsidRPr="009A7B2F">
              <w:tab/>
            </w:r>
            <w:r w:rsidRPr="00473E32">
              <w:t>PPL Corporation and PPL EU have taken reasonable steps to comply with the PUC’s regulations and Code of Conduct at 52 Pa. Code Sections 54.121-123 as to interactions with unregulated affiliates.</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74"/>
          <w:jc w:val="center"/>
        </w:trPr>
        <w:tc>
          <w:tcPr>
            <w:tcW w:w="2210" w:type="pct"/>
            <w:vAlign w:val="center"/>
          </w:tcPr>
          <w:p w:rsidR="00EB08C6" w:rsidRDefault="00EB08C6" w:rsidP="008236C1">
            <w:pPr>
              <w:pStyle w:val="FRTableNumbering"/>
            </w:pPr>
            <w:r>
              <w:t>6.</w:t>
            </w:r>
            <w:r w:rsidRPr="009A7B2F">
              <w:t xml:space="preserve"> </w:t>
            </w:r>
            <w:r w:rsidRPr="009A7B2F">
              <w:tab/>
            </w:r>
            <w:r w:rsidRPr="00473E32">
              <w:t>The PPL EU Board operated for a substantial period of time with fewer Directors than required by the PPL EU Bylaws</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95"/>
          <w:jc w:val="center"/>
        </w:trPr>
        <w:tc>
          <w:tcPr>
            <w:tcW w:w="2210" w:type="pct"/>
            <w:vAlign w:val="center"/>
          </w:tcPr>
          <w:p w:rsidR="00EB08C6" w:rsidRDefault="00EB08C6" w:rsidP="008236C1">
            <w:pPr>
              <w:pStyle w:val="FRTableNumbering"/>
            </w:pPr>
            <w:r>
              <w:t>7.</w:t>
            </w:r>
            <w:r w:rsidRPr="009A7B2F">
              <w:t xml:space="preserve"> </w:t>
            </w:r>
            <w:r w:rsidRPr="009A7B2F">
              <w:tab/>
            </w:r>
            <w:r w:rsidRPr="00473E32">
              <w:t>Substantial emphasis is placed on ethics and conflict of interest policies and enforcement by the PPL Corporation and PPL EU Boards.</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98"/>
          <w:jc w:val="center"/>
        </w:trPr>
        <w:tc>
          <w:tcPr>
            <w:tcW w:w="2210" w:type="pct"/>
            <w:vAlign w:val="center"/>
          </w:tcPr>
          <w:p w:rsidR="00EB08C6" w:rsidRDefault="00EB08C6" w:rsidP="008236C1">
            <w:pPr>
              <w:pStyle w:val="FRTableNumbering"/>
            </w:pPr>
            <w:r>
              <w:t>8.</w:t>
            </w:r>
            <w:r w:rsidRPr="009A7B2F">
              <w:t xml:space="preserve"> </w:t>
            </w:r>
            <w:r w:rsidRPr="009A7B2F">
              <w:tab/>
            </w:r>
            <w:r w:rsidRPr="00473E32">
              <w:t>PPL Corporation places considerable emphasis on employee safety and has achieved improvement in its safety record.</w:t>
            </w:r>
          </w:p>
        </w:tc>
        <w:tc>
          <w:tcPr>
            <w:tcW w:w="2133" w:type="pct"/>
            <w:gridSpan w:val="2"/>
            <w:vAlign w:val="center"/>
          </w:tcPr>
          <w:p w:rsidR="00EB08C6" w:rsidRPr="00B63D34" w:rsidRDefault="00EB08C6" w:rsidP="008236C1">
            <w:pPr>
              <w:spacing w:after="0"/>
              <w:jc w:val="left"/>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34"/>
          <w:jc w:val="center"/>
        </w:trPr>
        <w:tc>
          <w:tcPr>
            <w:tcW w:w="2210" w:type="pct"/>
            <w:vAlign w:val="center"/>
          </w:tcPr>
          <w:p w:rsidR="00EB08C6" w:rsidRDefault="00EB08C6" w:rsidP="008236C1">
            <w:pPr>
              <w:pStyle w:val="FRTableNumbering"/>
            </w:pPr>
            <w:r>
              <w:t>9.</w:t>
            </w:r>
            <w:r w:rsidRPr="009A7B2F">
              <w:t xml:space="preserve"> </w:t>
            </w:r>
            <w:r w:rsidRPr="009A7B2F">
              <w:tab/>
            </w:r>
            <w:r w:rsidRPr="00473E32">
              <w:t>The Company has an effective policy in place for selection and rotation of its external auditor.</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74"/>
          <w:jc w:val="center"/>
        </w:trPr>
        <w:tc>
          <w:tcPr>
            <w:tcW w:w="2210" w:type="pct"/>
            <w:vAlign w:val="center"/>
          </w:tcPr>
          <w:p w:rsidR="00EB08C6" w:rsidRDefault="00EB08C6" w:rsidP="008236C1">
            <w:pPr>
              <w:pStyle w:val="FRTableNumbering"/>
            </w:pPr>
            <w:r>
              <w:t>10.</w:t>
            </w:r>
            <w:r w:rsidRPr="009A7B2F">
              <w:tab/>
            </w:r>
            <w:r w:rsidRPr="00473E32">
              <w:t>The Company has an effective policy in place for the control of audit and non-audit services provided by the external audit firm and other audit firms.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51"/>
          <w:jc w:val="center"/>
        </w:trPr>
        <w:tc>
          <w:tcPr>
            <w:tcW w:w="2210" w:type="pct"/>
            <w:vAlign w:val="center"/>
          </w:tcPr>
          <w:p w:rsidR="00EB08C6" w:rsidRDefault="00EB08C6" w:rsidP="008236C1">
            <w:pPr>
              <w:pStyle w:val="FRTableNumbering"/>
            </w:pPr>
            <w:r>
              <w:t>11.</w:t>
            </w:r>
            <w:r w:rsidRPr="009A7B2F">
              <w:tab/>
            </w:r>
            <w:r w:rsidRPr="00473E32">
              <w:t>The internal audit function effectively supports the Board and management in identifying risks and concerns.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8A01E5">
        <w:trPr>
          <w:cantSplit/>
          <w:trHeight w:val="1194"/>
          <w:jc w:val="center"/>
        </w:trPr>
        <w:tc>
          <w:tcPr>
            <w:tcW w:w="2210" w:type="pct"/>
            <w:tcBorders>
              <w:bottom w:val="single" w:sz="4" w:space="0" w:color="auto"/>
            </w:tcBorders>
            <w:vAlign w:val="center"/>
          </w:tcPr>
          <w:p w:rsidR="00EB08C6" w:rsidRDefault="00EB08C6" w:rsidP="008236C1">
            <w:pPr>
              <w:pStyle w:val="FRTableNumbering"/>
            </w:pPr>
            <w:r>
              <w:t>12.</w:t>
            </w:r>
            <w:r w:rsidRPr="009A7B2F">
              <w:tab/>
            </w:r>
            <w:r w:rsidRPr="00473E32">
              <w:t>Since the Talen spinoff and the accompanying sale of the generation assets and functions, risk to PPL has been diminished greatly</w:t>
            </w:r>
            <w:r>
              <w:t>.</w:t>
            </w:r>
          </w:p>
        </w:tc>
        <w:tc>
          <w:tcPr>
            <w:tcW w:w="2133" w:type="pct"/>
            <w:gridSpan w:val="2"/>
            <w:tcBorders>
              <w:bottom w:val="single" w:sz="4" w:space="0" w:color="auto"/>
            </w:tcBorders>
            <w:vAlign w:val="center"/>
          </w:tcPr>
          <w:p w:rsidR="00EB08C6" w:rsidRPr="00431E7E" w:rsidRDefault="00EB08C6" w:rsidP="008236C1">
            <w:pPr>
              <w:spacing w:after="0"/>
              <w:jc w:val="left"/>
              <w:rPr>
                <w:szCs w:val="24"/>
              </w:rPr>
            </w:pPr>
          </w:p>
        </w:tc>
        <w:tc>
          <w:tcPr>
            <w:tcW w:w="656" w:type="pct"/>
            <w:gridSpan w:val="2"/>
            <w:tcBorders>
              <w:bottom w:val="single" w:sz="4" w:space="0" w:color="auto"/>
            </w:tcBorders>
            <w:vAlign w:val="center"/>
          </w:tcPr>
          <w:p w:rsidR="00EB08C6" w:rsidRPr="00B63D34" w:rsidRDefault="00EB08C6" w:rsidP="008236C1">
            <w:pPr>
              <w:spacing w:after="0"/>
              <w:jc w:val="center"/>
            </w:pPr>
          </w:p>
        </w:tc>
      </w:tr>
      <w:tr w:rsidR="00EB08C6" w:rsidRPr="00BC0362" w:rsidTr="000D142C">
        <w:trPr>
          <w:cantSplit/>
          <w:trHeight w:val="384"/>
          <w:jc w:val="center"/>
        </w:trPr>
        <w:tc>
          <w:tcPr>
            <w:tcW w:w="5000" w:type="pct"/>
            <w:gridSpan w:val="5"/>
            <w:vAlign w:val="center"/>
          </w:tcPr>
          <w:p w:rsidR="00EB08C6" w:rsidRPr="00BC0362" w:rsidRDefault="00EB08C6" w:rsidP="008236C1">
            <w:pPr>
              <w:spacing w:after="0"/>
              <w:jc w:val="left"/>
              <w:rPr>
                <w:b/>
              </w:rPr>
            </w:pPr>
            <w:r>
              <w:rPr>
                <w:b/>
              </w:rPr>
              <w:lastRenderedPageBreak/>
              <w:t xml:space="preserve">Chapter </w:t>
            </w:r>
            <w:r w:rsidRPr="00AD734B">
              <w:rPr>
                <w:b/>
              </w:rPr>
              <w:t>I</w:t>
            </w:r>
            <w:r>
              <w:rPr>
                <w:b/>
              </w:rPr>
              <w:t>V</w:t>
            </w:r>
            <w:r w:rsidRPr="00AD734B">
              <w:rPr>
                <w:b/>
              </w:rPr>
              <w:t xml:space="preserve"> –</w:t>
            </w:r>
            <w:r>
              <w:rPr>
                <w:b/>
              </w:rPr>
              <w:t xml:space="preserve"> </w:t>
            </w:r>
            <w:r w:rsidRPr="003B7452">
              <w:rPr>
                <w:b/>
              </w:rPr>
              <w:t>Affiliate Relationships</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sidRPr="00AD734B">
              <w:rPr>
                <w:b/>
              </w:rPr>
              <w:t>I</w:t>
            </w:r>
            <w:r>
              <w:rPr>
                <w:b/>
              </w:rPr>
              <w:t>V-A</w:t>
            </w:r>
            <w:r w:rsidRPr="00AD734B">
              <w:rPr>
                <w:b/>
              </w:rPr>
              <w:t xml:space="preserve"> – </w:t>
            </w:r>
            <w:r w:rsidRPr="003B7452">
              <w:rPr>
                <w:b/>
              </w:rPr>
              <w:t>PPL EU Affiliate Relationships</w:t>
            </w:r>
          </w:p>
        </w:tc>
      </w:tr>
      <w:tr w:rsidR="00EB08C6" w:rsidRPr="00B63D34" w:rsidTr="000D142C">
        <w:trPr>
          <w:cantSplit/>
          <w:trHeight w:val="2568"/>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341FF0">
              <w:t>PPL EU has insufficient documentation and oversight of affiliate relationships.</w:t>
            </w:r>
          </w:p>
        </w:tc>
        <w:tc>
          <w:tcPr>
            <w:tcW w:w="2133" w:type="pct"/>
            <w:gridSpan w:val="2"/>
            <w:vAlign w:val="center"/>
            <w:hideMark/>
          </w:tcPr>
          <w:p w:rsidR="00EB08C6" w:rsidRPr="00B63D34" w:rsidRDefault="00EB08C6" w:rsidP="008236C1">
            <w:pPr>
              <w:pStyle w:val="FRTableNumbering"/>
            </w:pPr>
            <w:r>
              <w:t>1.</w:t>
            </w:r>
            <w:r w:rsidRPr="009A7B2F">
              <w:t xml:space="preserve"> </w:t>
            </w:r>
            <w:r w:rsidRPr="009A7B2F">
              <w:tab/>
            </w:r>
            <w:r w:rsidRPr="00341FF0">
              <w:t>Assign responsibility to the appropriate unit within the PPL EUS Financial and Regulatory group to ensure correct affiliate relationships and transactions, follow regulatory compliance, and adhere to good management practices.  (See Finding 1)</w:t>
            </w:r>
          </w:p>
        </w:tc>
        <w:tc>
          <w:tcPr>
            <w:tcW w:w="656" w:type="pct"/>
            <w:gridSpan w:val="2"/>
            <w:vAlign w:val="center"/>
            <w:hideMark/>
          </w:tcPr>
          <w:p w:rsidR="00EB08C6" w:rsidRPr="00B63D34" w:rsidRDefault="00EB08C6" w:rsidP="008236C1">
            <w:pPr>
              <w:spacing w:after="0"/>
              <w:jc w:val="center"/>
            </w:pPr>
            <w:r>
              <w:t>Medium</w:t>
            </w:r>
          </w:p>
        </w:tc>
      </w:tr>
      <w:tr w:rsidR="00EB08C6" w:rsidRPr="00B63D34" w:rsidTr="000D142C">
        <w:trPr>
          <w:cantSplit/>
          <w:trHeight w:val="654"/>
          <w:jc w:val="center"/>
        </w:trPr>
        <w:tc>
          <w:tcPr>
            <w:tcW w:w="2210" w:type="pct"/>
            <w:vAlign w:val="center"/>
          </w:tcPr>
          <w:p w:rsidR="00EB08C6" w:rsidRPr="00341FF0" w:rsidRDefault="00EB08C6" w:rsidP="008236C1">
            <w:pPr>
              <w:pStyle w:val="FRTableNumbering"/>
            </w:pPr>
            <w:r>
              <w:t>2.</w:t>
            </w:r>
            <w:r w:rsidRPr="009A7B2F">
              <w:t xml:space="preserve"> </w:t>
            </w:r>
            <w:r w:rsidRPr="009A7B2F">
              <w:tab/>
            </w:r>
            <w:r w:rsidRPr="00341FF0">
              <w:t>There are functional overlaps between PPL SC and PPL EUS that may contribute to redundant work.</w:t>
            </w:r>
          </w:p>
        </w:tc>
        <w:tc>
          <w:tcPr>
            <w:tcW w:w="2133" w:type="pct"/>
            <w:gridSpan w:val="2"/>
            <w:vMerge w:val="restart"/>
            <w:vAlign w:val="center"/>
          </w:tcPr>
          <w:p w:rsidR="00EB08C6" w:rsidRPr="00B63D34" w:rsidRDefault="00EB08C6" w:rsidP="008236C1">
            <w:pPr>
              <w:pStyle w:val="FRTableNumbering"/>
            </w:pPr>
            <w:r>
              <w:t>2.</w:t>
            </w:r>
            <w:r w:rsidRPr="009A7B2F">
              <w:t xml:space="preserve"> </w:t>
            </w:r>
            <w:r w:rsidRPr="009A7B2F">
              <w:tab/>
            </w:r>
            <w:r w:rsidRPr="00341FF0">
              <w:t>Consolidate PPL EUS into PPL SC and PPL EU and recast PPL SC as the PPL Corporation leadership function.  (See Findings 2 and 3)</w:t>
            </w:r>
          </w:p>
        </w:tc>
        <w:tc>
          <w:tcPr>
            <w:tcW w:w="656" w:type="pct"/>
            <w:gridSpan w:val="2"/>
            <w:vMerge w:val="restart"/>
            <w:vAlign w:val="center"/>
          </w:tcPr>
          <w:p w:rsidR="00EB08C6" w:rsidRPr="00B63D34" w:rsidRDefault="00EB08C6" w:rsidP="008236C1">
            <w:pPr>
              <w:spacing w:after="0"/>
              <w:jc w:val="center"/>
            </w:pPr>
            <w:r>
              <w:t>High</w:t>
            </w:r>
          </w:p>
        </w:tc>
      </w:tr>
      <w:tr w:rsidR="00EB08C6" w:rsidRPr="00B63D34" w:rsidTr="000D142C">
        <w:trPr>
          <w:cantSplit/>
          <w:trHeight w:val="681"/>
          <w:jc w:val="center"/>
        </w:trPr>
        <w:tc>
          <w:tcPr>
            <w:tcW w:w="2210" w:type="pct"/>
            <w:vAlign w:val="center"/>
          </w:tcPr>
          <w:p w:rsidR="00EB08C6" w:rsidRPr="00341FF0" w:rsidRDefault="00EB08C6" w:rsidP="008236C1">
            <w:pPr>
              <w:pStyle w:val="FRTableNumbering"/>
            </w:pPr>
            <w:r>
              <w:t>3.</w:t>
            </w:r>
            <w:r w:rsidRPr="009A7B2F">
              <w:t xml:space="preserve"> </w:t>
            </w:r>
            <w:r w:rsidRPr="009A7B2F">
              <w:tab/>
            </w:r>
            <w:r w:rsidRPr="00341FF0">
              <w:t>There is no designated PPL Corporation level authority by function.</w:t>
            </w:r>
          </w:p>
        </w:tc>
        <w:tc>
          <w:tcPr>
            <w:tcW w:w="2133" w:type="pct"/>
            <w:gridSpan w:val="2"/>
            <w:vMerge/>
            <w:vAlign w:val="center"/>
          </w:tcPr>
          <w:p w:rsidR="00EB08C6" w:rsidRPr="00341FF0" w:rsidRDefault="00EB08C6" w:rsidP="008236C1">
            <w:pPr>
              <w:pStyle w:val="FRTableNumbering"/>
            </w:pPr>
          </w:p>
        </w:tc>
        <w:tc>
          <w:tcPr>
            <w:tcW w:w="656" w:type="pct"/>
            <w:gridSpan w:val="2"/>
            <w:vMerge/>
            <w:vAlign w:val="center"/>
          </w:tcPr>
          <w:p w:rsidR="00EB08C6" w:rsidRPr="00B63D34" w:rsidRDefault="00EB08C6" w:rsidP="008236C1">
            <w:pPr>
              <w:spacing w:after="0"/>
              <w:jc w:val="center"/>
            </w:pPr>
          </w:p>
        </w:tc>
      </w:tr>
      <w:tr w:rsidR="00EB08C6" w:rsidRPr="00B63D34" w:rsidTr="000D142C">
        <w:trPr>
          <w:cantSplit/>
          <w:trHeight w:val="1488"/>
          <w:jc w:val="center"/>
        </w:trPr>
        <w:tc>
          <w:tcPr>
            <w:tcW w:w="2210" w:type="pct"/>
            <w:vAlign w:val="center"/>
          </w:tcPr>
          <w:p w:rsidR="00EB08C6" w:rsidRPr="00341FF0" w:rsidRDefault="00EB08C6" w:rsidP="008236C1">
            <w:pPr>
              <w:pStyle w:val="FRTableNumbering"/>
            </w:pPr>
            <w:r>
              <w:t>4.</w:t>
            </w:r>
            <w:r w:rsidRPr="009A7B2F">
              <w:t xml:space="preserve"> </w:t>
            </w:r>
            <w:r w:rsidRPr="009A7B2F">
              <w:tab/>
            </w:r>
            <w:r w:rsidRPr="00341FF0">
              <w:t>PPL EU’s relationship with CEP Commerce, CEP Lending, PPL Energy Funding, and CEP Reserves appears to be a defacto and obscure cash pool.</w:t>
            </w:r>
          </w:p>
        </w:tc>
        <w:tc>
          <w:tcPr>
            <w:tcW w:w="2133" w:type="pct"/>
            <w:gridSpan w:val="2"/>
            <w:vAlign w:val="center"/>
          </w:tcPr>
          <w:p w:rsidR="00EB08C6" w:rsidRPr="00341FF0" w:rsidRDefault="00EB08C6" w:rsidP="008236C1">
            <w:pPr>
              <w:pStyle w:val="FRTableNumbering"/>
            </w:pPr>
            <w:r>
              <w:t>3.</w:t>
            </w:r>
            <w:r w:rsidRPr="009A7B2F">
              <w:t xml:space="preserve"> </w:t>
            </w:r>
            <w:r w:rsidRPr="009A7B2F">
              <w:tab/>
            </w:r>
            <w:r w:rsidRPr="00F57907">
              <w:t>Consider</w:t>
            </w:r>
            <w:r w:rsidRPr="00341FF0">
              <w:t xml:space="preserve"> establishing a conventional corporate money pool and cease the CEP Commerce and CEP Lending relationships.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64"/>
          <w:jc w:val="center"/>
        </w:trPr>
        <w:tc>
          <w:tcPr>
            <w:tcW w:w="2210" w:type="pct"/>
            <w:vAlign w:val="center"/>
          </w:tcPr>
          <w:p w:rsidR="00EB08C6" w:rsidRPr="00341FF0" w:rsidRDefault="00EB08C6" w:rsidP="008236C1">
            <w:pPr>
              <w:pStyle w:val="FRTableNumbering"/>
            </w:pPr>
            <w:r>
              <w:t>5.</w:t>
            </w:r>
            <w:r w:rsidRPr="009A7B2F">
              <w:t xml:space="preserve"> </w:t>
            </w:r>
            <w:r w:rsidRPr="009A7B2F">
              <w:tab/>
            </w:r>
            <w:r w:rsidRPr="00341FF0">
              <w:t>Although PPL Corporation has greatly reduced PPL EU’s exposure to affiliate relationships, it could further reduce PPL EU’s exposure to affiliate relationships and streamline its corporate organization structure</w:t>
            </w:r>
          </w:p>
        </w:tc>
        <w:tc>
          <w:tcPr>
            <w:tcW w:w="2133" w:type="pct"/>
            <w:gridSpan w:val="2"/>
            <w:vAlign w:val="center"/>
          </w:tcPr>
          <w:p w:rsidR="00EB08C6" w:rsidRPr="00B63D34" w:rsidRDefault="00EB08C6" w:rsidP="008236C1">
            <w:pPr>
              <w:pStyle w:val="FRTableNumbering"/>
            </w:pPr>
            <w:r>
              <w:t>4.</w:t>
            </w:r>
            <w:r w:rsidRPr="009A7B2F">
              <w:t xml:space="preserve"> </w:t>
            </w:r>
            <w:r w:rsidRPr="009A7B2F">
              <w:tab/>
            </w:r>
            <w:r w:rsidRPr="00341FF0">
              <w:t>PPL Corporation should consider further reducing PPL EU’s exposure to affiliate relationships and streamline the corporate organization structure.  (See Finding</w:t>
            </w:r>
            <w:r>
              <w:t> </w:t>
            </w:r>
            <w:r w:rsidRPr="00341FF0">
              <w:t>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sidRPr="00AD734B">
              <w:rPr>
                <w:b/>
              </w:rPr>
              <w:t>I</w:t>
            </w:r>
            <w:r>
              <w:rPr>
                <w:b/>
              </w:rPr>
              <w:t>V-B</w:t>
            </w:r>
            <w:r w:rsidRPr="00AD734B">
              <w:rPr>
                <w:b/>
              </w:rPr>
              <w:t xml:space="preserve"> – </w:t>
            </w:r>
            <w:r w:rsidRPr="003B7452">
              <w:rPr>
                <w:b/>
              </w:rPr>
              <w:t>Affiliate Governance</w:t>
            </w:r>
          </w:p>
        </w:tc>
      </w:tr>
      <w:tr w:rsidR="00EB08C6" w:rsidRPr="00B63D34" w:rsidTr="000D142C">
        <w:trPr>
          <w:cantSplit/>
          <w:trHeight w:val="1824"/>
          <w:jc w:val="center"/>
        </w:trPr>
        <w:tc>
          <w:tcPr>
            <w:tcW w:w="2210" w:type="pct"/>
            <w:vAlign w:val="center"/>
          </w:tcPr>
          <w:p w:rsidR="00EB08C6" w:rsidRPr="00B63D34" w:rsidRDefault="00EB08C6" w:rsidP="008236C1">
            <w:pPr>
              <w:pStyle w:val="FRTableNumbering"/>
            </w:pPr>
            <w:r>
              <w:t>1.</w:t>
            </w:r>
            <w:r w:rsidRPr="009A7B2F">
              <w:t xml:space="preserve"> </w:t>
            </w:r>
            <w:r w:rsidRPr="009A7B2F">
              <w:tab/>
            </w:r>
            <w:r w:rsidRPr="00341FF0">
              <w:t>The PPL EU Transmission and Substations Vice President also serves as the new TransLink President which creates a conflict of interest or an appearance of a conflict of interest.</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0C05F9">
              <w:t xml:space="preserve">Have the TransLink President be a different individual </w:t>
            </w:r>
            <w:r w:rsidRPr="00341FF0">
              <w:t>than the PPL Transmission and Substations Vice President and have the TransLink President report to a non-PPL EU executive.  (See Finding 1)</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84"/>
          <w:jc w:val="center"/>
        </w:trPr>
        <w:tc>
          <w:tcPr>
            <w:tcW w:w="5000" w:type="pct"/>
            <w:gridSpan w:val="5"/>
            <w:vAlign w:val="center"/>
          </w:tcPr>
          <w:p w:rsidR="00EB08C6" w:rsidRPr="00B63D34" w:rsidRDefault="00EB08C6" w:rsidP="000D142C">
            <w:pPr>
              <w:pageBreakBefore/>
              <w:spacing w:after="0"/>
              <w:jc w:val="left"/>
            </w:pPr>
            <w:r w:rsidRPr="00AD734B">
              <w:rPr>
                <w:b/>
              </w:rPr>
              <w:lastRenderedPageBreak/>
              <w:t>I</w:t>
            </w:r>
            <w:r>
              <w:rPr>
                <w:b/>
              </w:rPr>
              <w:t>V-C</w:t>
            </w:r>
            <w:r w:rsidRPr="00AD734B">
              <w:rPr>
                <w:b/>
              </w:rPr>
              <w:t xml:space="preserve"> – </w:t>
            </w:r>
            <w:r w:rsidRPr="003B7452">
              <w:rPr>
                <w:b/>
              </w:rPr>
              <w:t>Affiliate Transactions</w:t>
            </w:r>
          </w:p>
        </w:tc>
      </w:tr>
      <w:tr w:rsidR="00EB08C6" w:rsidRPr="00B63D34" w:rsidTr="000D142C">
        <w:trPr>
          <w:cantSplit/>
          <w:trHeight w:val="1128"/>
          <w:jc w:val="center"/>
        </w:trPr>
        <w:tc>
          <w:tcPr>
            <w:tcW w:w="2210" w:type="pct"/>
            <w:vAlign w:val="center"/>
          </w:tcPr>
          <w:p w:rsidR="00EB08C6" w:rsidRPr="00982D66" w:rsidRDefault="00EB08C6" w:rsidP="008236C1">
            <w:pPr>
              <w:pStyle w:val="FRTableNumbering"/>
            </w:pPr>
            <w:r>
              <w:t>1.</w:t>
            </w:r>
            <w:r w:rsidRPr="009A7B2F">
              <w:t xml:space="preserve"> </w:t>
            </w:r>
            <w:r w:rsidRPr="009A7B2F">
              <w:tab/>
            </w:r>
            <w:r w:rsidRPr="00982D66">
              <w:t xml:space="preserve">PPL EU has substantial payments </w:t>
            </w:r>
            <w:r>
              <w:t xml:space="preserve">to </w:t>
            </w:r>
            <w:r w:rsidRPr="00982D66">
              <w:t>affiliated service companies and they increased dramatically in 2015.</w:t>
            </w:r>
          </w:p>
        </w:tc>
        <w:tc>
          <w:tcPr>
            <w:tcW w:w="2133" w:type="pct"/>
            <w:gridSpan w:val="2"/>
            <w:vAlign w:val="center"/>
          </w:tcPr>
          <w:p w:rsidR="00EB08C6" w:rsidRPr="00136A05" w:rsidRDefault="00EB08C6" w:rsidP="008236C1">
            <w:pPr>
              <w:pStyle w:val="FRTableNumbering"/>
            </w:pPr>
            <w:r>
              <w:t>1.</w:t>
            </w:r>
            <w:r w:rsidRPr="009A7B2F">
              <w:t xml:space="preserve"> </w:t>
            </w:r>
            <w:r w:rsidRPr="009A7B2F">
              <w:tab/>
            </w:r>
            <w:r w:rsidRPr="00136A05">
              <w:t>Track and document all PPL EU affiliate transactions.  (See Finding</w:t>
            </w:r>
            <w:r>
              <w:t> </w:t>
            </w:r>
            <w:r w:rsidRPr="00136A05">
              <w:t>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322"/>
          <w:jc w:val="center"/>
        </w:trPr>
        <w:tc>
          <w:tcPr>
            <w:tcW w:w="2210" w:type="pct"/>
            <w:vAlign w:val="center"/>
          </w:tcPr>
          <w:p w:rsidR="00EB08C6" w:rsidRPr="00982D66" w:rsidRDefault="00EB08C6" w:rsidP="008236C1">
            <w:pPr>
              <w:pStyle w:val="FRTableNumbering"/>
            </w:pPr>
            <w:r>
              <w:t>2.</w:t>
            </w:r>
            <w:r w:rsidRPr="009A7B2F">
              <w:t xml:space="preserve"> </w:t>
            </w:r>
            <w:r w:rsidRPr="009A7B2F">
              <w:tab/>
            </w:r>
            <w:r w:rsidRPr="00982D66">
              <w:t>PPL EU transactions with the non-service company affiliates are not regularly tracked and documented.</w:t>
            </w:r>
          </w:p>
        </w:tc>
        <w:tc>
          <w:tcPr>
            <w:tcW w:w="2133" w:type="pct"/>
            <w:gridSpan w:val="2"/>
            <w:vAlign w:val="center"/>
          </w:tcPr>
          <w:p w:rsidR="00EB08C6" w:rsidRPr="00136A05" w:rsidRDefault="00EB08C6" w:rsidP="008236C1">
            <w:pPr>
              <w:pStyle w:val="FRTableNumbering"/>
            </w:pPr>
            <w:r>
              <w:t>2.</w:t>
            </w:r>
            <w:r w:rsidRPr="009A7B2F">
              <w:t xml:space="preserve"> </w:t>
            </w:r>
            <w:r w:rsidRPr="009A7B2F">
              <w:tab/>
            </w:r>
            <w:r w:rsidRPr="00136A05">
              <w:t>Implement controls to increase the amount of PPL SC direct charges and decrease the amount of indirect charges to PPL EU.  (See Finding</w:t>
            </w:r>
            <w:r>
              <w:t> </w:t>
            </w:r>
            <w:r w:rsidRPr="00136A05">
              <w:t>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444"/>
          <w:jc w:val="center"/>
        </w:trPr>
        <w:tc>
          <w:tcPr>
            <w:tcW w:w="2210" w:type="pct"/>
            <w:vAlign w:val="center"/>
          </w:tcPr>
          <w:p w:rsidR="00EB08C6" w:rsidRPr="00982D66" w:rsidRDefault="00EB08C6" w:rsidP="008236C1">
            <w:pPr>
              <w:pStyle w:val="FRTableNumbering"/>
            </w:pPr>
            <w:r>
              <w:t>3.</w:t>
            </w:r>
            <w:r w:rsidRPr="009A7B2F">
              <w:t xml:space="preserve"> </w:t>
            </w:r>
            <w:r w:rsidRPr="009A7B2F">
              <w:tab/>
            </w:r>
            <w:r w:rsidRPr="00982D66">
              <w:t>Indirect charges as a percentage of total charges by PPL SC to PPL EU increased significantly in 2015.</w:t>
            </w:r>
          </w:p>
        </w:tc>
        <w:tc>
          <w:tcPr>
            <w:tcW w:w="2133" w:type="pct"/>
            <w:gridSpan w:val="2"/>
            <w:vAlign w:val="center"/>
          </w:tcPr>
          <w:p w:rsidR="00EB08C6" w:rsidRPr="00136A05" w:rsidRDefault="00EB08C6" w:rsidP="008236C1">
            <w:pPr>
              <w:pStyle w:val="FRTableNumbering"/>
            </w:pPr>
            <w:r>
              <w:t>3.</w:t>
            </w:r>
            <w:r w:rsidRPr="009A7B2F">
              <w:t xml:space="preserve"> </w:t>
            </w:r>
            <w:r w:rsidRPr="009A7B2F">
              <w:tab/>
            </w:r>
            <w:r w:rsidRPr="00136A05">
              <w:t>Analyze the 2015 increase in PPL EU payment amounts to the service companies and reduce the amounts paid going forward.  (See Finding 1 and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489"/>
          <w:jc w:val="center"/>
        </w:trPr>
        <w:tc>
          <w:tcPr>
            <w:tcW w:w="2210" w:type="pct"/>
            <w:vAlign w:val="center"/>
          </w:tcPr>
          <w:p w:rsidR="00EB08C6" w:rsidRPr="00982D66" w:rsidRDefault="00EB08C6" w:rsidP="008236C1">
            <w:pPr>
              <w:pStyle w:val="FRTableNumbering"/>
            </w:pPr>
            <w:r>
              <w:t>4.</w:t>
            </w:r>
            <w:r w:rsidRPr="009A7B2F">
              <w:t xml:space="preserve"> </w:t>
            </w:r>
            <w:r w:rsidRPr="009A7B2F">
              <w:tab/>
            </w:r>
            <w:r w:rsidRPr="00982D66">
              <w:t>The PPL EUS actual charges to PPL EU in 2015 were substantially over budget.</w:t>
            </w:r>
          </w:p>
        </w:tc>
        <w:tc>
          <w:tcPr>
            <w:tcW w:w="2133" w:type="pct"/>
            <w:gridSpan w:val="2"/>
            <w:vAlign w:val="center"/>
          </w:tcPr>
          <w:p w:rsidR="00EB08C6" w:rsidRPr="00136A05" w:rsidRDefault="00EB08C6" w:rsidP="008236C1">
            <w:pPr>
              <w:pStyle w:val="FRTableNumbering"/>
            </w:pPr>
            <w:r>
              <w:t>4.</w:t>
            </w:r>
            <w:r w:rsidRPr="009A7B2F">
              <w:t xml:space="preserve"> </w:t>
            </w:r>
            <w:r w:rsidRPr="009A7B2F">
              <w:tab/>
            </w:r>
            <w:r w:rsidRPr="00136A05">
              <w:t>Analyze the 2015 negative budget variances for charges from PPL EUS to PPL EU and implement measures to prevent recurrence.  (</w:t>
            </w:r>
            <w:r w:rsidRPr="00750960">
              <w:t xml:space="preserve">See Finding </w:t>
            </w:r>
            <w:r>
              <w:t>4</w:t>
            </w:r>
            <w:r w:rsidRPr="00136A05">
              <w:t>)</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0D142C">
            <w:pPr>
              <w:spacing w:after="0"/>
              <w:jc w:val="left"/>
            </w:pPr>
            <w:r w:rsidRPr="00AD734B">
              <w:rPr>
                <w:b/>
              </w:rPr>
              <w:t>I</w:t>
            </w:r>
            <w:r>
              <w:rPr>
                <w:b/>
              </w:rPr>
              <w:t>V-D</w:t>
            </w:r>
            <w:r w:rsidRPr="00AD734B">
              <w:rPr>
                <w:b/>
              </w:rPr>
              <w:t xml:space="preserve"> – </w:t>
            </w:r>
            <w:r w:rsidRPr="003B7452">
              <w:rPr>
                <w:b/>
              </w:rPr>
              <w:t>Service Level Agreements With Affiliates</w:t>
            </w:r>
          </w:p>
        </w:tc>
      </w:tr>
      <w:tr w:rsidR="00EB08C6" w:rsidRPr="00B63D34" w:rsidTr="000D142C">
        <w:trPr>
          <w:cantSplit/>
          <w:trHeight w:val="1356"/>
          <w:jc w:val="center"/>
        </w:trPr>
        <w:tc>
          <w:tcPr>
            <w:tcW w:w="2210" w:type="pct"/>
            <w:vAlign w:val="center"/>
          </w:tcPr>
          <w:p w:rsidR="00EB08C6" w:rsidRPr="00136A05" w:rsidRDefault="00EB08C6" w:rsidP="008236C1">
            <w:pPr>
              <w:pStyle w:val="FRTableNumbering"/>
            </w:pPr>
            <w:r>
              <w:t>1.</w:t>
            </w:r>
            <w:r w:rsidRPr="009A7B2F">
              <w:t xml:space="preserve"> </w:t>
            </w:r>
            <w:r w:rsidRPr="009A7B2F">
              <w:tab/>
            </w:r>
            <w:r w:rsidRPr="00136A05">
              <w:t>It is impractical to have one service level agreement cover all of the affiliate relationships.</w:t>
            </w:r>
          </w:p>
        </w:tc>
        <w:tc>
          <w:tcPr>
            <w:tcW w:w="2133" w:type="pct"/>
            <w:gridSpan w:val="2"/>
            <w:vAlign w:val="center"/>
          </w:tcPr>
          <w:p w:rsidR="00EB08C6" w:rsidRPr="00136A05" w:rsidRDefault="00EB08C6" w:rsidP="008236C1">
            <w:pPr>
              <w:pStyle w:val="FRTableNumbering"/>
            </w:pPr>
            <w:r>
              <w:t>1.</w:t>
            </w:r>
            <w:r w:rsidRPr="009A7B2F">
              <w:t xml:space="preserve"> </w:t>
            </w:r>
            <w:r w:rsidRPr="009A7B2F">
              <w:tab/>
            </w:r>
            <w:r w:rsidRPr="00136A05">
              <w:t>Negotiate comprehensive, arms-length service level agreements for each affiliate relationship and submit them to the PUC for approval.  (See Finding 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374"/>
          <w:jc w:val="center"/>
        </w:trPr>
        <w:tc>
          <w:tcPr>
            <w:tcW w:w="2210" w:type="pct"/>
            <w:vAlign w:val="center"/>
          </w:tcPr>
          <w:p w:rsidR="00EB08C6" w:rsidRPr="00136A05" w:rsidRDefault="00EB08C6" w:rsidP="008236C1">
            <w:pPr>
              <w:pStyle w:val="FRTableNumbering"/>
            </w:pPr>
            <w:r>
              <w:t>2.</w:t>
            </w:r>
            <w:r w:rsidRPr="009A7B2F">
              <w:t xml:space="preserve"> </w:t>
            </w:r>
            <w:r w:rsidRPr="009A7B2F">
              <w:tab/>
            </w:r>
            <w:r w:rsidRPr="00136A05">
              <w:t xml:space="preserve">The PPL Corporation and PPL EU Services Agreement </w:t>
            </w:r>
            <w:proofErr w:type="gramStart"/>
            <w:r w:rsidRPr="00136A05">
              <w:t>does</w:t>
            </w:r>
            <w:proofErr w:type="gramEnd"/>
            <w:r w:rsidRPr="00136A05">
              <w:t xml:space="preserve"> not allow for “market priced” affiliate transactions yet some transactions appear to be market priced.</w:t>
            </w:r>
          </w:p>
        </w:tc>
        <w:tc>
          <w:tcPr>
            <w:tcW w:w="2133" w:type="pct"/>
            <w:gridSpan w:val="2"/>
            <w:vAlign w:val="center"/>
          </w:tcPr>
          <w:p w:rsidR="00EB08C6" w:rsidRPr="00136A05" w:rsidRDefault="00EB08C6" w:rsidP="008236C1">
            <w:pPr>
              <w:pStyle w:val="FRTableNumbering"/>
            </w:pPr>
            <w:r>
              <w:t>2.</w:t>
            </w:r>
            <w:r w:rsidRPr="009A7B2F">
              <w:t xml:space="preserve"> </w:t>
            </w:r>
            <w:r w:rsidRPr="009A7B2F">
              <w:tab/>
            </w:r>
            <w:r w:rsidRPr="00136A05">
              <w:t>Apply asymmetric pricing of affiliate transactions allowing for market pricing of affiliate transactions when it benefits PPL EU.  (See Finding 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400"/>
          <w:jc w:val="center"/>
        </w:trPr>
        <w:tc>
          <w:tcPr>
            <w:tcW w:w="2210" w:type="pct"/>
            <w:vAlign w:val="center"/>
          </w:tcPr>
          <w:p w:rsidR="00EB08C6" w:rsidRPr="00136A05" w:rsidRDefault="00EB08C6" w:rsidP="008236C1">
            <w:pPr>
              <w:pStyle w:val="FRTableNumbering"/>
            </w:pPr>
            <w:r>
              <w:t>3.</w:t>
            </w:r>
            <w:r w:rsidRPr="009A7B2F">
              <w:t xml:space="preserve"> </w:t>
            </w:r>
            <w:r w:rsidRPr="009A7B2F">
              <w:tab/>
            </w:r>
            <w:r w:rsidRPr="00136A05">
              <w:t>Although PPL EU has mutual aid transactions with its affiliate LG&amp;E, the only LKE mutual aid agreement is with KU doing business as Old Dominion alone.</w:t>
            </w:r>
          </w:p>
        </w:tc>
        <w:tc>
          <w:tcPr>
            <w:tcW w:w="2133" w:type="pct"/>
            <w:gridSpan w:val="2"/>
            <w:vAlign w:val="center"/>
          </w:tcPr>
          <w:p w:rsidR="00EB08C6" w:rsidRPr="00136A05" w:rsidRDefault="00EB08C6" w:rsidP="008236C1">
            <w:pPr>
              <w:pStyle w:val="FRTableNumbering"/>
            </w:pPr>
            <w:r>
              <w:t>3.</w:t>
            </w:r>
            <w:r w:rsidRPr="009A7B2F">
              <w:t xml:space="preserve"> </w:t>
            </w:r>
            <w:r w:rsidRPr="009A7B2F">
              <w:tab/>
            </w:r>
            <w:r w:rsidRPr="00136A05">
              <w:t>Negotiate a mutual aid agreement with LG&amp;E.  (See Finding 3)</w:t>
            </w:r>
          </w:p>
        </w:tc>
        <w:tc>
          <w:tcPr>
            <w:tcW w:w="656" w:type="pct"/>
            <w:gridSpan w:val="2"/>
            <w:vAlign w:val="center"/>
          </w:tcPr>
          <w:p w:rsidR="00EB08C6" w:rsidRPr="00B63D34" w:rsidRDefault="00EB08C6" w:rsidP="008236C1">
            <w:pPr>
              <w:spacing w:after="0"/>
              <w:jc w:val="center"/>
            </w:pPr>
            <w:r>
              <w:t>Low</w:t>
            </w: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sidRPr="00AD734B">
              <w:rPr>
                <w:b/>
              </w:rPr>
              <w:lastRenderedPageBreak/>
              <w:t>I</w:t>
            </w:r>
            <w:r>
              <w:rPr>
                <w:b/>
              </w:rPr>
              <w:t>V-E</w:t>
            </w:r>
            <w:r w:rsidRPr="00AD734B">
              <w:rPr>
                <w:b/>
              </w:rPr>
              <w:t xml:space="preserve"> – </w:t>
            </w:r>
            <w:r w:rsidRPr="00E06DB7">
              <w:rPr>
                <w:b/>
              </w:rPr>
              <w:t>Standards Of Integrity</w:t>
            </w:r>
          </w:p>
        </w:tc>
      </w:tr>
      <w:tr w:rsidR="00EB08C6" w:rsidRPr="00B63D34" w:rsidTr="000D142C">
        <w:trPr>
          <w:cantSplit/>
          <w:trHeight w:val="600"/>
          <w:jc w:val="center"/>
        </w:trPr>
        <w:tc>
          <w:tcPr>
            <w:tcW w:w="2210" w:type="pct"/>
            <w:vAlign w:val="center"/>
          </w:tcPr>
          <w:p w:rsidR="00EB08C6" w:rsidRPr="00B63D34" w:rsidRDefault="00EB08C6" w:rsidP="008236C1">
            <w:pPr>
              <w:pStyle w:val="FRTableNumbering"/>
            </w:pPr>
            <w:r>
              <w:t>1.</w:t>
            </w:r>
            <w:r w:rsidRPr="009A7B2F">
              <w:t xml:space="preserve"> </w:t>
            </w:r>
            <w:r w:rsidRPr="009A7B2F">
              <w:tab/>
            </w:r>
            <w:r w:rsidRPr="00136A05">
              <w:t>The PPL Corporation Standards of Integrity relative to affiliate relationships and transactions can be improved.</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136A05">
              <w:t>Add a specific section on affiliate relationship and transaction policies to the Standards of Integrity and include them in the annual employee training and acknowledgement. (See Finding 1)</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sidRPr="00AD734B">
              <w:rPr>
                <w:b/>
              </w:rPr>
              <w:t>I</w:t>
            </w:r>
            <w:r>
              <w:rPr>
                <w:b/>
              </w:rPr>
              <w:t>V-F</w:t>
            </w:r>
            <w:r w:rsidRPr="00AD734B">
              <w:rPr>
                <w:b/>
              </w:rPr>
              <w:t xml:space="preserve"> – </w:t>
            </w:r>
            <w:r w:rsidRPr="00E06DB7">
              <w:rPr>
                <w:b/>
              </w:rPr>
              <w:t>Pricing Of Affiliate Transactions</w:t>
            </w:r>
          </w:p>
        </w:tc>
      </w:tr>
      <w:tr w:rsidR="00EB08C6" w:rsidRPr="00B63D34" w:rsidTr="000D142C">
        <w:trPr>
          <w:cantSplit/>
          <w:trHeight w:val="1479"/>
          <w:jc w:val="center"/>
        </w:trPr>
        <w:tc>
          <w:tcPr>
            <w:tcW w:w="2210" w:type="pct"/>
            <w:vAlign w:val="center"/>
          </w:tcPr>
          <w:p w:rsidR="00EB08C6" w:rsidRPr="00136A05" w:rsidRDefault="00EB08C6" w:rsidP="008236C1">
            <w:pPr>
              <w:pStyle w:val="FRTableNumbering"/>
            </w:pPr>
            <w:r>
              <w:t>1.</w:t>
            </w:r>
            <w:r w:rsidRPr="009A7B2F">
              <w:t xml:space="preserve"> </w:t>
            </w:r>
            <w:r w:rsidRPr="009A7B2F">
              <w:tab/>
            </w:r>
            <w:r w:rsidRPr="00136A05">
              <w:t>Having a PPL Corporation Cost Allocation and Transfer Pricing Manual is a good practice; however, it should cover all subsidiaries.</w:t>
            </w:r>
          </w:p>
        </w:tc>
        <w:tc>
          <w:tcPr>
            <w:tcW w:w="2133" w:type="pct"/>
            <w:gridSpan w:val="2"/>
            <w:vAlign w:val="center"/>
          </w:tcPr>
          <w:p w:rsidR="00EB08C6" w:rsidRPr="00136A05" w:rsidRDefault="00EB08C6" w:rsidP="008236C1">
            <w:pPr>
              <w:pStyle w:val="FRTableNumbering"/>
            </w:pPr>
            <w:r>
              <w:t>1.</w:t>
            </w:r>
            <w:r w:rsidRPr="009A7B2F">
              <w:t xml:space="preserve"> </w:t>
            </w:r>
            <w:r w:rsidRPr="009A7B2F">
              <w:tab/>
            </w:r>
            <w:r w:rsidRPr="00136A05">
              <w:t>Revise the PPL Corporation Cost Allocation Manual to correct its deficiencies and have it cover LKE as well.  (See Findings 1 and 2)</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1758"/>
          <w:jc w:val="center"/>
        </w:trPr>
        <w:tc>
          <w:tcPr>
            <w:tcW w:w="2210" w:type="pct"/>
            <w:vAlign w:val="center"/>
          </w:tcPr>
          <w:p w:rsidR="00EB08C6" w:rsidRPr="00136A05" w:rsidRDefault="00EB08C6" w:rsidP="008236C1">
            <w:pPr>
              <w:pStyle w:val="FRTableNumbering"/>
            </w:pPr>
            <w:r>
              <w:t>2.</w:t>
            </w:r>
            <w:r w:rsidRPr="009A7B2F">
              <w:t xml:space="preserve"> </w:t>
            </w:r>
            <w:r w:rsidRPr="009A7B2F">
              <w:tab/>
            </w:r>
            <w:r w:rsidRPr="00136A05">
              <w:t>The PPL Corporation Cost Allocation Manual has several weaknesses.</w:t>
            </w:r>
          </w:p>
        </w:tc>
        <w:tc>
          <w:tcPr>
            <w:tcW w:w="2133" w:type="pct"/>
            <w:gridSpan w:val="2"/>
            <w:vAlign w:val="center"/>
          </w:tcPr>
          <w:p w:rsidR="00EB08C6" w:rsidRPr="00136A05" w:rsidRDefault="00EB08C6" w:rsidP="008236C1">
            <w:pPr>
              <w:pStyle w:val="FRTableNumbering"/>
            </w:pPr>
            <w:r>
              <w:t>2.</w:t>
            </w:r>
            <w:r w:rsidRPr="009A7B2F">
              <w:t xml:space="preserve"> </w:t>
            </w:r>
            <w:r w:rsidRPr="009A7B2F">
              <w:tab/>
            </w:r>
            <w:r w:rsidRPr="00136A05">
              <w:t>Have only one PPL Corporation Cost Allocation Manual and follow it for all transactions priced at fully allocated cost, including PPL EU and its affiliates.  (See Finding 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4278"/>
          <w:jc w:val="center"/>
        </w:trPr>
        <w:tc>
          <w:tcPr>
            <w:tcW w:w="2210" w:type="pct"/>
            <w:vAlign w:val="center"/>
          </w:tcPr>
          <w:p w:rsidR="00EB08C6" w:rsidRPr="00136A05" w:rsidRDefault="00EB08C6" w:rsidP="008236C1">
            <w:pPr>
              <w:pStyle w:val="FRTableNumbering"/>
            </w:pPr>
            <w:r>
              <w:t>3.</w:t>
            </w:r>
            <w:r w:rsidRPr="009A7B2F">
              <w:t xml:space="preserve"> </w:t>
            </w:r>
            <w:r w:rsidRPr="009A7B2F">
              <w:tab/>
            </w:r>
            <w:r w:rsidRPr="00136A05">
              <w:t>PPL Corporation and some of its subsidiaries have in place a tax sharing agreement/policy; however, PPL EU has not signed the agreement and there is no independent verification of the amount of taxes charged to PPL EU.</w:t>
            </w:r>
          </w:p>
        </w:tc>
        <w:tc>
          <w:tcPr>
            <w:tcW w:w="2133" w:type="pct"/>
            <w:gridSpan w:val="2"/>
            <w:vAlign w:val="center"/>
          </w:tcPr>
          <w:p w:rsidR="00EB08C6" w:rsidRPr="00136A05" w:rsidRDefault="00EB08C6" w:rsidP="008236C1">
            <w:pPr>
              <w:pStyle w:val="FRTableNumbering"/>
            </w:pPr>
            <w:r>
              <w:t>3.</w:t>
            </w:r>
            <w:r w:rsidRPr="009A7B2F">
              <w:t xml:space="preserve"> </w:t>
            </w:r>
            <w:r w:rsidRPr="009A7B2F">
              <w:tab/>
            </w:r>
            <w:r w:rsidRPr="00136A05">
              <w:t>PPL EU should engage an independent review of the current PPL Corporation tax sharing agreement from the fairness to PPL EU ratepayers perspective, negotiate revisions to the tax sharing agreement as necessary, have arms-length signatures on the revised agreement by PPL SC and PPL EU, and have an independent verification of the taxes charged or credited to PPL EU at least every three years.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00"/>
          <w:jc w:val="center"/>
        </w:trPr>
        <w:tc>
          <w:tcPr>
            <w:tcW w:w="2210" w:type="pct"/>
            <w:vAlign w:val="center"/>
          </w:tcPr>
          <w:p w:rsidR="00EB08C6" w:rsidRPr="00136A05" w:rsidRDefault="00EB08C6" w:rsidP="008236C1">
            <w:pPr>
              <w:pStyle w:val="FRTableNumbering"/>
            </w:pPr>
            <w:r>
              <w:t>4.</w:t>
            </w:r>
            <w:r w:rsidRPr="009A7B2F">
              <w:tab/>
            </w:r>
            <w:r w:rsidRPr="00136A05">
              <w:t>The extensive use of fixed time allocations and exception time reporting is inappropriate and may result in inaccurate cost accounting.</w:t>
            </w:r>
          </w:p>
        </w:tc>
        <w:tc>
          <w:tcPr>
            <w:tcW w:w="2133" w:type="pct"/>
            <w:gridSpan w:val="2"/>
            <w:vAlign w:val="center"/>
          </w:tcPr>
          <w:p w:rsidR="00EB08C6" w:rsidRPr="00136A05" w:rsidRDefault="00EB08C6" w:rsidP="008236C1">
            <w:pPr>
              <w:pStyle w:val="FRTableNumbering"/>
            </w:pPr>
            <w:r>
              <w:t>4.</w:t>
            </w:r>
            <w:r w:rsidRPr="009A7B2F">
              <w:tab/>
            </w:r>
            <w:r w:rsidRPr="00136A05">
              <w:t>Require positive employee time reporting for all affiliate transaction related cost accounting.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74"/>
          <w:jc w:val="center"/>
        </w:trPr>
        <w:tc>
          <w:tcPr>
            <w:tcW w:w="2210" w:type="pct"/>
            <w:vAlign w:val="center"/>
          </w:tcPr>
          <w:p w:rsidR="00EB08C6" w:rsidRPr="00136A05" w:rsidRDefault="00EB08C6" w:rsidP="008236C1">
            <w:pPr>
              <w:pStyle w:val="FRTableNumbering"/>
            </w:pPr>
            <w:r>
              <w:lastRenderedPageBreak/>
              <w:t>5.</w:t>
            </w:r>
            <w:r w:rsidRPr="009A7B2F">
              <w:tab/>
            </w:r>
            <w:r w:rsidRPr="00136A05">
              <w:t>There is no documentation for affiliate transactions at market rates.</w:t>
            </w:r>
          </w:p>
        </w:tc>
        <w:tc>
          <w:tcPr>
            <w:tcW w:w="2133" w:type="pct"/>
            <w:gridSpan w:val="2"/>
            <w:vAlign w:val="center"/>
          </w:tcPr>
          <w:p w:rsidR="00EB08C6" w:rsidRPr="00136A05" w:rsidRDefault="00EB08C6" w:rsidP="008236C1">
            <w:pPr>
              <w:pStyle w:val="FRTableNumbering"/>
            </w:pPr>
            <w:r>
              <w:t>5.</w:t>
            </w:r>
            <w:r w:rsidRPr="009A7B2F">
              <w:tab/>
            </w:r>
            <w:r w:rsidRPr="00136A05">
              <w:t>Maintain records for regulatory review of the justification and rejustification for all market based prices.  (See Finding 5)</w:t>
            </w:r>
          </w:p>
        </w:tc>
        <w:tc>
          <w:tcPr>
            <w:tcW w:w="656" w:type="pct"/>
            <w:gridSpan w:val="2"/>
            <w:vMerge w:val="restart"/>
            <w:vAlign w:val="center"/>
          </w:tcPr>
          <w:p w:rsidR="00EB08C6" w:rsidRPr="00B63D34" w:rsidRDefault="00EB08C6" w:rsidP="008236C1">
            <w:pPr>
              <w:spacing w:after="0"/>
              <w:jc w:val="center"/>
            </w:pPr>
            <w:r>
              <w:t>Medium</w:t>
            </w:r>
          </w:p>
        </w:tc>
      </w:tr>
      <w:tr w:rsidR="00EB08C6" w:rsidRPr="00B63D34" w:rsidTr="000D142C">
        <w:trPr>
          <w:cantSplit/>
          <w:trHeight w:val="100"/>
          <w:jc w:val="center"/>
        </w:trPr>
        <w:tc>
          <w:tcPr>
            <w:tcW w:w="2210" w:type="pct"/>
            <w:vAlign w:val="center"/>
          </w:tcPr>
          <w:p w:rsidR="00EB08C6" w:rsidRPr="00136A05" w:rsidRDefault="00EB08C6" w:rsidP="008236C1">
            <w:pPr>
              <w:pStyle w:val="FRTableNumbering"/>
            </w:pPr>
            <w:r>
              <w:t>6.</w:t>
            </w:r>
            <w:r w:rsidRPr="009A7B2F">
              <w:tab/>
            </w:r>
            <w:r w:rsidRPr="00136A05">
              <w:t>Affiliate Asset Transfers have been immaterial.</w:t>
            </w:r>
          </w:p>
        </w:tc>
        <w:tc>
          <w:tcPr>
            <w:tcW w:w="2133" w:type="pct"/>
            <w:gridSpan w:val="2"/>
            <w:vAlign w:val="center"/>
          </w:tcPr>
          <w:p w:rsidR="00EB08C6" w:rsidRPr="00431E7E" w:rsidRDefault="00EB08C6" w:rsidP="008236C1">
            <w:pPr>
              <w:spacing w:after="0"/>
              <w:jc w:val="left"/>
              <w:rPr>
                <w:szCs w:val="24"/>
              </w:rPr>
            </w:pPr>
          </w:p>
        </w:tc>
        <w:tc>
          <w:tcPr>
            <w:tcW w:w="656" w:type="pct"/>
            <w:gridSpan w:val="2"/>
            <w:vMerge/>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sidRPr="00AD734B">
              <w:rPr>
                <w:b/>
              </w:rPr>
              <w:t>I</w:t>
            </w:r>
            <w:r>
              <w:rPr>
                <w:b/>
              </w:rPr>
              <w:t>V-G</w:t>
            </w:r>
            <w:r w:rsidRPr="00AD734B">
              <w:rPr>
                <w:b/>
              </w:rPr>
              <w:t xml:space="preserve"> – </w:t>
            </w:r>
            <w:r w:rsidRPr="006A52BE">
              <w:rPr>
                <w:b/>
              </w:rPr>
              <w:t>Value Of Affiliate Relationships</w:t>
            </w:r>
          </w:p>
        </w:tc>
      </w:tr>
      <w:tr w:rsidR="00EB08C6" w:rsidRPr="00B63D34" w:rsidTr="000D142C">
        <w:trPr>
          <w:cantSplit/>
          <w:trHeight w:val="503"/>
          <w:jc w:val="center"/>
        </w:trPr>
        <w:tc>
          <w:tcPr>
            <w:tcW w:w="2210" w:type="pct"/>
            <w:vAlign w:val="center"/>
          </w:tcPr>
          <w:p w:rsidR="00EB08C6" w:rsidRPr="00B63D34" w:rsidRDefault="00EB08C6" w:rsidP="008236C1">
            <w:pPr>
              <w:pStyle w:val="FRTableNumbering"/>
            </w:pPr>
            <w:r>
              <w:t>1.</w:t>
            </w:r>
            <w:r w:rsidRPr="009A7B2F">
              <w:tab/>
            </w:r>
            <w:r w:rsidRPr="00136A05">
              <w:t>Outdated benchmarking studies were provided for two affiliate services.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38"/>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136A05">
              <w:t>Compensation and benefit benchmarking studies are good practices but do not provide adequate cost benchmarking for service company functions.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453"/>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136A05">
              <w:t>Most PPL EU affiliates services do not have current benchmarking studies.</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136A05">
              <w:t>Participate in benchmarking studies for each cost based affiliate service at least once every three years.  (See Finding</w:t>
            </w:r>
            <w:r>
              <w:t> </w:t>
            </w:r>
            <w:r w:rsidRPr="00136A05">
              <w:t>3)</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84"/>
          <w:jc w:val="center"/>
        </w:trPr>
        <w:tc>
          <w:tcPr>
            <w:tcW w:w="5000" w:type="pct"/>
            <w:gridSpan w:val="5"/>
            <w:vAlign w:val="center"/>
          </w:tcPr>
          <w:p w:rsidR="00EB08C6" w:rsidRPr="00B63D34" w:rsidRDefault="00EB08C6" w:rsidP="000D142C">
            <w:pPr>
              <w:spacing w:after="0"/>
              <w:jc w:val="left"/>
            </w:pPr>
            <w:r w:rsidRPr="00AD734B">
              <w:rPr>
                <w:b/>
              </w:rPr>
              <w:t>I</w:t>
            </w:r>
            <w:r>
              <w:rPr>
                <w:b/>
              </w:rPr>
              <w:t>V-H</w:t>
            </w:r>
            <w:r w:rsidRPr="00AD734B">
              <w:rPr>
                <w:b/>
              </w:rPr>
              <w:t xml:space="preserve"> – </w:t>
            </w:r>
            <w:r w:rsidRPr="006A52BE">
              <w:rPr>
                <w:b/>
              </w:rPr>
              <w:t>Ring Fencing</w:t>
            </w:r>
          </w:p>
        </w:tc>
      </w:tr>
      <w:tr w:rsidR="00EB08C6" w:rsidRPr="00B63D34" w:rsidTr="000D142C">
        <w:trPr>
          <w:cantSplit/>
          <w:trHeight w:val="888"/>
          <w:jc w:val="center"/>
        </w:trPr>
        <w:tc>
          <w:tcPr>
            <w:tcW w:w="2210" w:type="pct"/>
            <w:vAlign w:val="center"/>
          </w:tcPr>
          <w:p w:rsidR="00EB08C6" w:rsidRPr="00B63D34" w:rsidRDefault="00EB08C6" w:rsidP="008236C1">
            <w:pPr>
              <w:pStyle w:val="FRTableNumbering"/>
            </w:pPr>
            <w:r>
              <w:t>1.</w:t>
            </w:r>
            <w:r w:rsidRPr="009A7B2F">
              <w:t xml:space="preserve"> </w:t>
            </w:r>
            <w:r w:rsidRPr="009A7B2F">
              <w:tab/>
            </w:r>
            <w:r w:rsidRPr="00136A05">
              <w:t>The Talen spinoff greatly reduced the exposure of PPL EU to affiliate financial and other problems.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24"/>
          <w:jc w:val="center"/>
        </w:trPr>
        <w:tc>
          <w:tcPr>
            <w:tcW w:w="2210" w:type="pct"/>
            <w:vAlign w:val="center"/>
          </w:tcPr>
          <w:p w:rsidR="00EB08C6" w:rsidRDefault="00EB08C6" w:rsidP="008236C1">
            <w:pPr>
              <w:pStyle w:val="FRTableNumbering"/>
            </w:pPr>
            <w:r>
              <w:t>2.</w:t>
            </w:r>
            <w:r w:rsidRPr="009A7B2F">
              <w:t xml:space="preserve"> </w:t>
            </w:r>
            <w:r w:rsidRPr="009A7B2F">
              <w:tab/>
            </w:r>
            <w:r w:rsidRPr="00136A05">
              <w:t>PPL EU has weakened its ring fencing from affiliate risks.</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8D6E60">
              <w:t>Reevaluate prior ring fencing measures and consider enhancing PPL EU ring fencing.  (See Finding</w:t>
            </w:r>
            <w:r>
              <w:t> </w:t>
            </w:r>
            <w:r w:rsidRPr="008D6E60">
              <w:t>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sidRPr="00AD734B">
              <w:rPr>
                <w:b/>
              </w:rPr>
              <w:t>I</w:t>
            </w:r>
            <w:r>
              <w:rPr>
                <w:b/>
              </w:rPr>
              <w:t>V-I</w:t>
            </w:r>
            <w:r w:rsidRPr="00AD734B">
              <w:rPr>
                <w:b/>
              </w:rPr>
              <w:t xml:space="preserve"> – </w:t>
            </w:r>
            <w:r w:rsidRPr="006A52BE">
              <w:rPr>
                <w:b/>
              </w:rPr>
              <w:t>Indirect Affiliate Transactions</w:t>
            </w:r>
          </w:p>
        </w:tc>
      </w:tr>
      <w:tr w:rsidR="00EB08C6" w:rsidRPr="00B63D34" w:rsidTr="000D142C">
        <w:trPr>
          <w:cantSplit/>
          <w:trHeight w:val="1311"/>
          <w:jc w:val="center"/>
        </w:trPr>
        <w:tc>
          <w:tcPr>
            <w:tcW w:w="2210" w:type="pct"/>
            <w:vAlign w:val="center"/>
          </w:tcPr>
          <w:p w:rsidR="00EB08C6" w:rsidRPr="00B63D34" w:rsidRDefault="00EB08C6" w:rsidP="008236C1">
            <w:pPr>
              <w:pStyle w:val="FRTableNumbering"/>
            </w:pPr>
            <w:r w:rsidRPr="008D6E60">
              <w:t>1.</w:t>
            </w:r>
            <w:r w:rsidRPr="008D6E60">
              <w:tab/>
              <w:t xml:space="preserve">Indirect </w:t>
            </w:r>
            <w:proofErr w:type="gramStart"/>
            <w:r w:rsidRPr="008D6E60">
              <w:t>affiliates</w:t>
            </w:r>
            <w:proofErr w:type="gramEnd"/>
            <w:r w:rsidRPr="008D6E60">
              <w:t xml:space="preserve"> present similar risks to PPL EU ratepayers as direct affiliates.</w:t>
            </w:r>
          </w:p>
        </w:tc>
        <w:tc>
          <w:tcPr>
            <w:tcW w:w="2133" w:type="pct"/>
            <w:gridSpan w:val="2"/>
            <w:vAlign w:val="center"/>
          </w:tcPr>
          <w:p w:rsidR="00EB08C6" w:rsidRPr="00B63D34" w:rsidRDefault="00EB08C6" w:rsidP="008236C1">
            <w:pPr>
              <w:pStyle w:val="FRTableNumbering"/>
            </w:pPr>
            <w:r w:rsidRPr="008D6E60">
              <w:t>1.</w:t>
            </w:r>
            <w:r w:rsidRPr="008D6E60">
              <w:tab/>
              <w:t>Voluntarily apply all of the recommended affiliate relationships and transactions good practices in this chapter to the indirect affiliate relationships.  (See Finding 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sidRPr="00AD734B">
              <w:rPr>
                <w:b/>
              </w:rPr>
              <w:lastRenderedPageBreak/>
              <w:t>I</w:t>
            </w:r>
            <w:r>
              <w:rPr>
                <w:b/>
              </w:rPr>
              <w:t>V-J</w:t>
            </w:r>
            <w:r w:rsidRPr="00AD734B">
              <w:rPr>
                <w:b/>
              </w:rPr>
              <w:t xml:space="preserve"> – </w:t>
            </w:r>
            <w:r w:rsidRPr="00A17141">
              <w:rPr>
                <w:b/>
              </w:rPr>
              <w:t>Internal Audits</w:t>
            </w:r>
          </w:p>
        </w:tc>
      </w:tr>
      <w:tr w:rsidR="00EB08C6" w:rsidRPr="00B63D34" w:rsidTr="000D142C">
        <w:trPr>
          <w:cantSplit/>
          <w:trHeight w:val="600"/>
          <w:jc w:val="center"/>
        </w:trPr>
        <w:tc>
          <w:tcPr>
            <w:tcW w:w="2210" w:type="pct"/>
            <w:tcBorders>
              <w:bottom w:val="single" w:sz="12" w:space="0" w:color="auto"/>
            </w:tcBorders>
            <w:vAlign w:val="center"/>
          </w:tcPr>
          <w:p w:rsidR="00EB08C6" w:rsidRPr="008D6E60" w:rsidRDefault="00EB08C6" w:rsidP="008236C1">
            <w:pPr>
              <w:pStyle w:val="FRTableNumbering"/>
            </w:pPr>
            <w:r w:rsidRPr="008D6E60">
              <w:t>1.</w:t>
            </w:r>
            <w:r w:rsidRPr="008D6E60">
              <w:tab/>
              <w:t>There has been no internal audit of PPL SC cost accounting and allocation or any of the affiliate relationships and transactions since 2010.</w:t>
            </w:r>
          </w:p>
        </w:tc>
        <w:tc>
          <w:tcPr>
            <w:tcW w:w="2133" w:type="pct"/>
            <w:gridSpan w:val="2"/>
            <w:tcBorders>
              <w:bottom w:val="single" w:sz="12" w:space="0" w:color="auto"/>
            </w:tcBorders>
            <w:vAlign w:val="center"/>
          </w:tcPr>
          <w:p w:rsidR="00EB08C6" w:rsidRPr="008D6E60" w:rsidRDefault="00EB08C6" w:rsidP="008236C1">
            <w:pPr>
              <w:pStyle w:val="FRTableNumbering"/>
            </w:pPr>
            <w:r w:rsidRPr="008D6E60">
              <w:t>1.</w:t>
            </w:r>
            <w:r w:rsidRPr="008D6E60">
              <w:tab/>
              <w:t>Conduct regular internal audits of affiliate relationships and transactions.  (See Finding 1)</w:t>
            </w:r>
          </w:p>
        </w:tc>
        <w:tc>
          <w:tcPr>
            <w:tcW w:w="656" w:type="pct"/>
            <w:gridSpan w:val="2"/>
            <w:tcBorders>
              <w:bottom w:val="single" w:sz="12" w:space="0" w:color="auto"/>
            </w:tcBorders>
            <w:vAlign w:val="center"/>
          </w:tcPr>
          <w:p w:rsidR="00EB08C6" w:rsidRPr="00B63D34" w:rsidRDefault="00EB08C6" w:rsidP="008236C1">
            <w:pPr>
              <w:spacing w:after="0"/>
              <w:jc w:val="center"/>
            </w:pPr>
            <w:r>
              <w:t>Medium</w:t>
            </w:r>
          </w:p>
        </w:tc>
      </w:tr>
      <w:tr w:rsidR="00EB08C6" w:rsidRPr="00BC0362" w:rsidTr="000D142C">
        <w:trPr>
          <w:cantSplit/>
          <w:trHeight w:val="384"/>
          <w:jc w:val="center"/>
        </w:trPr>
        <w:tc>
          <w:tcPr>
            <w:tcW w:w="5000" w:type="pct"/>
            <w:gridSpan w:val="5"/>
            <w:tcBorders>
              <w:top w:val="single" w:sz="12" w:space="0" w:color="auto"/>
            </w:tcBorders>
            <w:vAlign w:val="center"/>
          </w:tcPr>
          <w:p w:rsidR="00EB08C6" w:rsidRPr="00BC0362" w:rsidRDefault="00EB08C6" w:rsidP="008236C1">
            <w:pPr>
              <w:spacing w:after="0"/>
              <w:jc w:val="left"/>
              <w:rPr>
                <w:b/>
              </w:rPr>
            </w:pPr>
            <w:r>
              <w:rPr>
                <w:b/>
              </w:rPr>
              <w:t>Chapter V – Finance and Accounting</w:t>
            </w:r>
          </w:p>
        </w:tc>
      </w:tr>
      <w:tr w:rsidR="00EB08C6" w:rsidRPr="00B63D34" w:rsidTr="000D142C">
        <w:trPr>
          <w:cantSplit/>
          <w:trHeight w:val="60"/>
          <w:jc w:val="center"/>
        </w:trPr>
        <w:tc>
          <w:tcPr>
            <w:tcW w:w="2210" w:type="pct"/>
            <w:vAlign w:val="center"/>
          </w:tcPr>
          <w:p w:rsidR="00EB08C6" w:rsidRPr="008D6E60" w:rsidRDefault="00EB08C6" w:rsidP="008236C1">
            <w:pPr>
              <w:pStyle w:val="FRTableNumbering"/>
            </w:pPr>
            <w:r>
              <w:t>1.</w:t>
            </w:r>
            <w:r w:rsidRPr="009A7B2F">
              <w:t xml:space="preserve"> </w:t>
            </w:r>
            <w:r w:rsidRPr="009A7B2F">
              <w:tab/>
            </w:r>
            <w:r w:rsidRPr="00B63D34">
              <w:t>The PPL EU forecasting and budgeting processes are performed efficiently and effectively.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13"/>
          <w:jc w:val="center"/>
        </w:trPr>
        <w:tc>
          <w:tcPr>
            <w:tcW w:w="2210" w:type="pct"/>
            <w:vAlign w:val="center"/>
          </w:tcPr>
          <w:p w:rsidR="00EB08C6" w:rsidRPr="008D6E60" w:rsidRDefault="00EB08C6" w:rsidP="008236C1">
            <w:pPr>
              <w:pStyle w:val="FRTableNumbering"/>
            </w:pPr>
            <w:r>
              <w:t>2.</w:t>
            </w:r>
            <w:r w:rsidRPr="009A7B2F">
              <w:t xml:space="preserve"> </w:t>
            </w:r>
            <w:r w:rsidRPr="009A7B2F">
              <w:tab/>
            </w:r>
            <w:r w:rsidRPr="00B63D34">
              <w:t>Budget variance thresholds have not been established.</w:t>
            </w:r>
          </w:p>
        </w:tc>
        <w:tc>
          <w:tcPr>
            <w:tcW w:w="2133" w:type="pct"/>
            <w:gridSpan w:val="2"/>
            <w:vAlign w:val="center"/>
          </w:tcPr>
          <w:p w:rsidR="00EB08C6" w:rsidRPr="008D6E60" w:rsidRDefault="00EB08C6" w:rsidP="008236C1">
            <w:pPr>
              <w:pStyle w:val="FRTableNumbering"/>
            </w:pPr>
            <w:r>
              <w:t>1.</w:t>
            </w:r>
            <w:r w:rsidRPr="009A7B2F">
              <w:t xml:space="preserve"> </w:t>
            </w:r>
            <w:r w:rsidRPr="009A7B2F">
              <w:tab/>
            </w:r>
            <w:r w:rsidRPr="00B63D34">
              <w:t>Establish a budget variance threshold policy.  (See Finding</w:t>
            </w:r>
            <w:r>
              <w:t> </w:t>
            </w:r>
            <w:r w:rsidRPr="00B63D34">
              <w:t>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879"/>
          <w:jc w:val="center"/>
        </w:trPr>
        <w:tc>
          <w:tcPr>
            <w:tcW w:w="2210" w:type="pct"/>
            <w:vAlign w:val="center"/>
          </w:tcPr>
          <w:p w:rsidR="00EB08C6" w:rsidRPr="008D6E60" w:rsidRDefault="00EB08C6" w:rsidP="008236C1">
            <w:pPr>
              <w:pStyle w:val="FRTableNumbering"/>
            </w:pPr>
            <w:r>
              <w:t>3.</w:t>
            </w:r>
            <w:r w:rsidRPr="009A7B2F">
              <w:t xml:space="preserve"> </w:t>
            </w:r>
            <w:r w:rsidRPr="009A7B2F">
              <w:tab/>
            </w:r>
            <w:r w:rsidRPr="00B63D34">
              <w:t>Accounting functions and practices are guided and supported by appropriate documentation.</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8D6E60" w:rsidRDefault="00EB08C6" w:rsidP="008236C1">
            <w:pPr>
              <w:pStyle w:val="FRTableNumbering"/>
            </w:pPr>
            <w:r>
              <w:t>4.</w:t>
            </w:r>
            <w:r w:rsidRPr="009A7B2F">
              <w:t xml:space="preserve"> </w:t>
            </w:r>
            <w:r w:rsidRPr="009A7B2F">
              <w:tab/>
            </w:r>
            <w:r w:rsidRPr="00B63D34">
              <w:t>PPL EU has access to adequate liquidity for its short-term borrowing needs.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38"/>
          <w:jc w:val="center"/>
        </w:trPr>
        <w:tc>
          <w:tcPr>
            <w:tcW w:w="2210" w:type="pct"/>
            <w:vAlign w:val="center"/>
          </w:tcPr>
          <w:p w:rsidR="00EB08C6" w:rsidRPr="008D6E60" w:rsidRDefault="00EB08C6" w:rsidP="008236C1">
            <w:pPr>
              <w:pStyle w:val="FRTableNumbering"/>
            </w:pPr>
            <w:r>
              <w:t>5.</w:t>
            </w:r>
            <w:r w:rsidRPr="009A7B2F">
              <w:t xml:space="preserve"> </w:t>
            </w:r>
            <w:r w:rsidRPr="009A7B2F">
              <w:tab/>
            </w:r>
            <w:r w:rsidRPr="00B63D34">
              <w:t>The degree of emphasis on performance management in the Accounting and Finance area is appropriate for an electric utility.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8D6E60" w:rsidRDefault="00EB08C6" w:rsidP="008236C1">
            <w:pPr>
              <w:pStyle w:val="FRTableNumbering"/>
            </w:pPr>
            <w:r>
              <w:t>6.</w:t>
            </w:r>
            <w:r w:rsidRPr="009A7B2F">
              <w:t xml:space="preserve"> </w:t>
            </w:r>
            <w:r w:rsidRPr="009A7B2F">
              <w:tab/>
            </w:r>
            <w:r w:rsidRPr="00B63D34">
              <w:t>PPL EU’s credit ratings have been upgraded which has resulted in lower borrowing costs.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04"/>
          <w:jc w:val="center"/>
        </w:trPr>
        <w:tc>
          <w:tcPr>
            <w:tcW w:w="2210" w:type="pct"/>
            <w:vAlign w:val="center"/>
          </w:tcPr>
          <w:p w:rsidR="00EB08C6" w:rsidRPr="008D6E60" w:rsidRDefault="00EB08C6" w:rsidP="008236C1">
            <w:pPr>
              <w:pStyle w:val="FRTableNumbering"/>
            </w:pPr>
            <w:r>
              <w:t>7.</w:t>
            </w:r>
            <w:r w:rsidRPr="009A7B2F">
              <w:t xml:space="preserve"> </w:t>
            </w:r>
            <w:r w:rsidRPr="009A7B2F">
              <w:tab/>
            </w:r>
            <w:r w:rsidRPr="00B63D34">
              <w:t>PPL EU has been a net recipient of corporate funds over the past five years.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8D6E60" w:rsidRDefault="00EB08C6" w:rsidP="008236C1">
            <w:pPr>
              <w:pStyle w:val="FRTableNumbering"/>
            </w:pPr>
            <w:r>
              <w:t>8.</w:t>
            </w:r>
            <w:r w:rsidRPr="009A7B2F">
              <w:t xml:space="preserve"> </w:t>
            </w:r>
            <w:r w:rsidRPr="009A7B2F">
              <w:tab/>
            </w:r>
            <w:r w:rsidRPr="00B63D34">
              <w:t>EU’s utilization of a contractor for 10% of its remittance processing helps ensure backup capability.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83"/>
          <w:jc w:val="center"/>
        </w:trPr>
        <w:tc>
          <w:tcPr>
            <w:tcW w:w="2210" w:type="pct"/>
            <w:vAlign w:val="center"/>
          </w:tcPr>
          <w:p w:rsidR="00EB08C6" w:rsidRPr="008D6E60" w:rsidRDefault="00EB08C6" w:rsidP="008236C1">
            <w:pPr>
              <w:pStyle w:val="FRTableNumbering"/>
            </w:pPr>
            <w:r>
              <w:t>9.</w:t>
            </w:r>
            <w:r w:rsidRPr="009A7B2F">
              <w:t xml:space="preserve"> </w:t>
            </w:r>
            <w:r w:rsidRPr="009A7B2F">
              <w:tab/>
            </w:r>
            <w:r w:rsidRPr="00B63D34">
              <w:t>Internal Audit’s utilization of comprehensive audit material improves its effectiveness and efficiency.</w:t>
            </w:r>
          </w:p>
        </w:tc>
        <w:tc>
          <w:tcPr>
            <w:tcW w:w="2133" w:type="pct"/>
            <w:gridSpan w:val="2"/>
            <w:vAlign w:val="center"/>
          </w:tcPr>
          <w:p w:rsidR="00EB08C6" w:rsidRPr="008D6E60"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68"/>
          <w:jc w:val="center"/>
        </w:trPr>
        <w:tc>
          <w:tcPr>
            <w:tcW w:w="2210" w:type="pct"/>
            <w:vAlign w:val="center"/>
          </w:tcPr>
          <w:p w:rsidR="00EB08C6" w:rsidRPr="008D6E60" w:rsidRDefault="00EB08C6" w:rsidP="008236C1">
            <w:pPr>
              <w:pStyle w:val="FRTableNumbering"/>
            </w:pPr>
            <w:r>
              <w:lastRenderedPageBreak/>
              <w:t>10.</w:t>
            </w:r>
            <w:r w:rsidRPr="009A7B2F">
              <w:tab/>
            </w:r>
            <w:r w:rsidRPr="00B63D34">
              <w:t>There have been significant delays in closing construction projects.</w:t>
            </w:r>
          </w:p>
        </w:tc>
        <w:tc>
          <w:tcPr>
            <w:tcW w:w="2133" w:type="pct"/>
            <w:gridSpan w:val="2"/>
            <w:vAlign w:val="center"/>
          </w:tcPr>
          <w:p w:rsidR="00EB08C6" w:rsidRPr="008D6E60" w:rsidRDefault="00EB08C6" w:rsidP="008236C1">
            <w:pPr>
              <w:pStyle w:val="FRTableNumbering"/>
            </w:pPr>
            <w:r>
              <w:t>2.</w:t>
            </w:r>
            <w:r w:rsidRPr="009A7B2F">
              <w:t xml:space="preserve"> </w:t>
            </w:r>
            <w:r w:rsidRPr="009A7B2F">
              <w:tab/>
            </w:r>
            <w:r w:rsidRPr="000115F0">
              <w:t>Develop</w:t>
            </w:r>
            <w:r w:rsidRPr="00B63D34">
              <w:t xml:space="preserve"> a policy and process to review unclassified assets and complete the unitization process to place new assets in proper accounts in a timely manner.  (See Finding 10)</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759"/>
          <w:jc w:val="center"/>
        </w:trPr>
        <w:tc>
          <w:tcPr>
            <w:tcW w:w="2210" w:type="pct"/>
            <w:tcBorders>
              <w:bottom w:val="single" w:sz="12" w:space="0" w:color="auto"/>
            </w:tcBorders>
            <w:vAlign w:val="center"/>
          </w:tcPr>
          <w:p w:rsidR="00EB08C6" w:rsidRPr="008D6E60" w:rsidRDefault="00EB08C6" w:rsidP="008236C1">
            <w:pPr>
              <w:pStyle w:val="FRTableNumbering"/>
            </w:pPr>
            <w:r>
              <w:t>11.</w:t>
            </w:r>
            <w:r w:rsidRPr="009A7B2F">
              <w:tab/>
            </w:r>
            <w:r w:rsidRPr="00B63D34">
              <w:t>Sufficient controls are in place to ensure the accuracy of changes made to customer rates.</w:t>
            </w:r>
          </w:p>
        </w:tc>
        <w:tc>
          <w:tcPr>
            <w:tcW w:w="2133" w:type="pct"/>
            <w:gridSpan w:val="2"/>
            <w:tcBorders>
              <w:bottom w:val="single" w:sz="12" w:space="0" w:color="auto"/>
            </w:tcBorders>
            <w:vAlign w:val="center"/>
          </w:tcPr>
          <w:p w:rsidR="00EB08C6" w:rsidRPr="00431E7E" w:rsidRDefault="00EB08C6" w:rsidP="008236C1">
            <w:pPr>
              <w:spacing w:after="0"/>
              <w:jc w:val="left"/>
              <w:rPr>
                <w:szCs w:val="24"/>
              </w:rPr>
            </w:pPr>
          </w:p>
        </w:tc>
        <w:tc>
          <w:tcPr>
            <w:tcW w:w="656" w:type="pct"/>
            <w:gridSpan w:val="2"/>
            <w:tcBorders>
              <w:bottom w:val="single" w:sz="12" w:space="0" w:color="auto"/>
            </w:tcBorders>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8236C1">
            <w:pPr>
              <w:spacing w:after="0"/>
              <w:jc w:val="left"/>
            </w:pPr>
            <w:r>
              <w:rPr>
                <w:b/>
              </w:rPr>
              <w:t>Chapter VI – Transmission and Distribution</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VI-A – Transmission and Substations</w:t>
            </w:r>
          </w:p>
        </w:tc>
      </w:tr>
      <w:tr w:rsidR="00EB08C6" w:rsidRPr="00B63D34" w:rsidTr="000D142C">
        <w:trPr>
          <w:cantSplit/>
          <w:trHeight w:val="1218"/>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The Transmission Operations Model (TOM) establishes a well-defined</w:t>
            </w:r>
            <w:r>
              <w:t xml:space="preserve"> process for project oversight.</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1228"/>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Standardized construction specifications have been developed for Substation Construction projects.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21"/>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The T&amp;S Asset Management group utilizes robust applications and techno</w:t>
            </w:r>
            <w:r>
              <w:t>logies to manage system assets.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13"/>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 xml:space="preserve">T&amp;S </w:t>
            </w:r>
            <w:proofErr w:type="gramStart"/>
            <w:r w:rsidRPr="00B63D34">
              <w:t>has</w:t>
            </w:r>
            <w:proofErr w:type="gramEnd"/>
            <w:r w:rsidRPr="00B63D34">
              <w:t xml:space="preserve"> developed and maintains a strong</w:t>
            </w:r>
            <w:r>
              <w:t xml:space="preserve"> set of performance indicators.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18"/>
          <w:jc w:val="center"/>
        </w:trPr>
        <w:tc>
          <w:tcPr>
            <w:tcW w:w="2210" w:type="pct"/>
            <w:vAlign w:val="center"/>
          </w:tcPr>
          <w:p w:rsidR="00EB08C6" w:rsidRPr="00B63D34" w:rsidRDefault="00EB08C6" w:rsidP="003D47D8">
            <w:pPr>
              <w:pStyle w:val="FRTableNumbering"/>
            </w:pPr>
            <w:r>
              <w:t>5.</w:t>
            </w:r>
            <w:r w:rsidRPr="009A7B2F">
              <w:t xml:space="preserve"> </w:t>
            </w:r>
            <w:r w:rsidRPr="009A7B2F">
              <w:tab/>
            </w:r>
            <w:r w:rsidRPr="00B63D34">
              <w:t xml:space="preserve">The </w:t>
            </w:r>
            <w:r w:rsidR="00D52196">
              <w:t>Transmission Execu</w:t>
            </w:r>
            <w:r w:rsidR="003D47D8">
              <w:t xml:space="preserve">tion and Accountability Meeting and </w:t>
            </w:r>
            <w:r w:rsidR="00D52196">
              <w:t>Transmission Asset Meeting</w:t>
            </w:r>
            <w:r w:rsidR="003D47D8">
              <w:t xml:space="preserve"> </w:t>
            </w:r>
            <w:r w:rsidRPr="00B63D34">
              <w:t>attendees do not appear to include represe</w:t>
            </w:r>
            <w:r>
              <w:t>ntation from the IT Department.</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B63D34">
              <w:t>Include a representative from the IT Department in TEAM and TAM meetings as needed.  (See Finding</w:t>
            </w:r>
            <w:r>
              <w:t> </w:t>
            </w:r>
            <w:r w:rsidRPr="00B63D34">
              <w:t>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768"/>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A number of the transmission and substation specifications and construction stan</w:t>
            </w:r>
            <w:r>
              <w:t>dards appear to be out of date.</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Adopt a two or three year review cycle for all Transmission Engineering Instructions and Transmission Construction Standards.  (See Finding 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377"/>
          <w:jc w:val="center"/>
        </w:trPr>
        <w:tc>
          <w:tcPr>
            <w:tcW w:w="2210" w:type="pct"/>
            <w:vAlign w:val="center"/>
          </w:tcPr>
          <w:p w:rsidR="00EB08C6" w:rsidRPr="00B63D34" w:rsidRDefault="00EB08C6" w:rsidP="008236C1">
            <w:pPr>
              <w:pStyle w:val="FRTableNumbering"/>
            </w:pPr>
            <w:r>
              <w:lastRenderedPageBreak/>
              <w:t>7.</w:t>
            </w:r>
            <w:r w:rsidRPr="009A7B2F">
              <w:t xml:space="preserve"> </w:t>
            </w:r>
            <w:r w:rsidRPr="009A7B2F">
              <w:tab/>
            </w:r>
            <w:r w:rsidRPr="00B63D34">
              <w:t xml:space="preserve">The Transmission Expansion group has not </w:t>
            </w:r>
            <w:r w:rsidRPr="006962CF">
              <w:t>been</w:t>
            </w:r>
            <w:r w:rsidRPr="00B63D34">
              <w:t xml:space="preserve"> completely integrated into other work units.</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Transfer the remaining Transmission Expansion functions to T&amp;S Project Management or T&amp;S Asset Management.  (See Finding</w:t>
            </w:r>
            <w:r>
              <w:t> </w:t>
            </w:r>
            <w:r w:rsidRPr="00B63D34">
              <w:t>7)</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VI-B – </w:t>
            </w:r>
            <w:r w:rsidRPr="00A17141">
              <w:rPr>
                <w:b/>
              </w:rPr>
              <w:t>Distribution Operations</w:t>
            </w:r>
          </w:p>
        </w:tc>
      </w:tr>
      <w:tr w:rsidR="00EB08C6" w:rsidRPr="00B63D34" w:rsidTr="000D142C">
        <w:trPr>
          <w:cantSplit/>
          <w:trHeight w:val="769"/>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 xml:space="preserve">The Distribution Operating Model (DOM) is a good </w:t>
            </w:r>
            <w:r>
              <w:t>practice for managing programs.</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886"/>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Electric Service Reliability has shown improvement over the past five years.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43"/>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Tree-related outages and equipment failure remai</w:t>
            </w:r>
            <w:r>
              <w:t>n as the top two outage causes.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789"/>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The CEMI Program to reduce the number of customers experienci</w:t>
            </w:r>
            <w:r>
              <w:t>ng multiple outages is working.</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352E09">
              <w:t>Adopt</w:t>
            </w:r>
            <w:r w:rsidRPr="00B63D34">
              <w:t xml:space="preserve"> the reduction in the CEMI</w:t>
            </w:r>
            <w:r w:rsidRPr="00F76050">
              <w:rPr>
                <w:vertAlign w:val="subscript"/>
              </w:rPr>
              <w:t>10</w:t>
            </w:r>
            <w:r w:rsidRPr="00B63D34">
              <w:t xml:space="preserve"> goal to CEMI</w:t>
            </w:r>
            <w:r w:rsidRPr="00F76050">
              <w:rPr>
                <w:vertAlign w:val="subscript"/>
              </w:rPr>
              <w:t>9</w:t>
            </w:r>
            <w:r w:rsidRPr="00B63D34">
              <w:t>.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A well-defined program is in place for the analysis of</w:t>
            </w:r>
            <w:r>
              <w:t xml:space="preserve"> failed distribution equipment.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4"/>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 xml:space="preserve">Distribution Standards is completing a comprehensive review and updating of specifications and </w:t>
            </w:r>
            <w:r>
              <w:t>standards.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01"/>
          <w:jc w:val="center"/>
        </w:trPr>
        <w:tc>
          <w:tcPr>
            <w:tcW w:w="2210" w:type="pct"/>
            <w:vAlign w:val="center"/>
          </w:tcPr>
          <w:p w:rsidR="00EB08C6" w:rsidRPr="00B63D34" w:rsidRDefault="00EB08C6" w:rsidP="008236C1">
            <w:pPr>
              <w:pStyle w:val="FRTableNumbering"/>
            </w:pPr>
            <w:r>
              <w:t>7.</w:t>
            </w:r>
            <w:r w:rsidRPr="009A7B2F">
              <w:t xml:space="preserve"> </w:t>
            </w:r>
            <w:r w:rsidRPr="009A7B2F">
              <w:tab/>
            </w:r>
            <w:r w:rsidRPr="00B63D34">
              <w:t>The deployment of Smart Grid technologies should improve overall distr</w:t>
            </w:r>
            <w:r>
              <w:t>ibution system performance.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8.</w:t>
            </w:r>
            <w:r w:rsidRPr="009A7B2F">
              <w:t xml:space="preserve"> </w:t>
            </w:r>
            <w:r w:rsidRPr="009A7B2F">
              <w:tab/>
            </w:r>
            <w:r w:rsidRPr="00B63D34">
              <w:t>Detailed condition data for lines is being added to the asset management application to drive conditi</w:t>
            </w:r>
            <w:r>
              <w:t>on-based maintenance decisions.</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352E09">
              <w:t>Complete the addition of distribution asset condition to the asset management system.  (See Finding 8)</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9.</w:t>
            </w:r>
            <w:r w:rsidRPr="009A7B2F">
              <w:t xml:space="preserve"> </w:t>
            </w:r>
            <w:r w:rsidRPr="009A7B2F">
              <w:tab/>
            </w:r>
            <w:r w:rsidRPr="00B63D34">
              <w:t>Distribution Operations has implemented a robust</w:t>
            </w:r>
            <w:r>
              <w:t xml:space="preserve"> set of performance indicators.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01"/>
          <w:jc w:val="center"/>
        </w:trPr>
        <w:tc>
          <w:tcPr>
            <w:tcW w:w="2210" w:type="pct"/>
            <w:vAlign w:val="center"/>
          </w:tcPr>
          <w:p w:rsidR="00EB08C6" w:rsidRPr="00B63D34" w:rsidRDefault="00EB08C6" w:rsidP="008236C1">
            <w:pPr>
              <w:pStyle w:val="FRTableNumbering"/>
            </w:pPr>
            <w:r>
              <w:lastRenderedPageBreak/>
              <w:t>10.</w:t>
            </w:r>
            <w:r w:rsidRPr="009A7B2F">
              <w:tab/>
            </w:r>
            <w:r w:rsidRPr="00B63D34">
              <w:t>The transition from paper records to a database for maintenance of relay settings and test</w:t>
            </w:r>
            <w:r>
              <w:t>ing records is a good practice.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11.</w:t>
            </w:r>
            <w:r w:rsidRPr="009A7B2F">
              <w:tab/>
            </w:r>
            <w:r w:rsidRPr="00B63D34">
              <w:t>The enhanced Vegetation Management program appears to be having a generally positive impact on</w:t>
            </w:r>
            <w:r>
              <w:t xml:space="preserve"> reducing tree related outages.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12.</w:t>
            </w:r>
            <w:r w:rsidRPr="009A7B2F">
              <w:tab/>
            </w:r>
            <w:r w:rsidRPr="00B63D34">
              <w:t xml:space="preserve">Implementation of the geospatial application in Vegetation Management will provide more accurate records of transmission </w:t>
            </w:r>
            <w:r>
              <w:t>corridor vegetation conditions.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69"/>
          <w:jc w:val="center"/>
        </w:trPr>
        <w:tc>
          <w:tcPr>
            <w:tcW w:w="2210" w:type="pct"/>
            <w:vAlign w:val="center"/>
          </w:tcPr>
          <w:p w:rsidR="00EB08C6" w:rsidRPr="00B63D34" w:rsidRDefault="00EB08C6" w:rsidP="008236C1">
            <w:pPr>
              <w:pStyle w:val="FRTableNumbering"/>
            </w:pPr>
            <w:r>
              <w:t>13.</w:t>
            </w:r>
            <w:r w:rsidRPr="009A7B2F">
              <w:tab/>
            </w:r>
            <w:r w:rsidRPr="00B63D34">
              <w:t>Implementation of the Universal Outage Alert System is a progressive ste</w:t>
            </w:r>
            <w:r>
              <w:t>p to inform affected customers.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516"/>
          <w:jc w:val="center"/>
        </w:trPr>
        <w:tc>
          <w:tcPr>
            <w:tcW w:w="2210" w:type="pct"/>
            <w:vAlign w:val="center"/>
          </w:tcPr>
          <w:p w:rsidR="00EB08C6" w:rsidRPr="00B63D34" w:rsidRDefault="00EB08C6" w:rsidP="008236C1">
            <w:pPr>
              <w:pStyle w:val="FRTableNumbering"/>
            </w:pPr>
            <w:r>
              <w:t>14.</w:t>
            </w:r>
            <w:r w:rsidRPr="009A7B2F">
              <w:tab/>
            </w:r>
            <w:r>
              <w:t>W</w:t>
            </w:r>
            <w:r w:rsidRPr="00B63D34">
              <w:t>ork orders for substation equipment are currently generated manually and added into th</w:t>
            </w:r>
            <w:r>
              <w:t>e asset management application.</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 xml:space="preserve">Complete the planned linkage of </w:t>
            </w:r>
            <w:r w:rsidRPr="00352E09">
              <w:t>substation</w:t>
            </w:r>
            <w:r w:rsidRPr="00B63D34">
              <w:t xml:space="preserve"> maintenance cycles in the asset management application.  (See Finding 14)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69"/>
          <w:jc w:val="center"/>
        </w:trPr>
        <w:tc>
          <w:tcPr>
            <w:tcW w:w="2210" w:type="pct"/>
            <w:tcBorders>
              <w:bottom w:val="single" w:sz="12" w:space="0" w:color="auto"/>
            </w:tcBorders>
            <w:vAlign w:val="center"/>
          </w:tcPr>
          <w:p w:rsidR="00EB08C6" w:rsidRPr="00B63D34" w:rsidRDefault="00EB08C6" w:rsidP="008236C1">
            <w:pPr>
              <w:pStyle w:val="FRTableNumbering"/>
            </w:pPr>
            <w:r>
              <w:t>15.</w:t>
            </w:r>
            <w:r w:rsidRPr="009A7B2F">
              <w:tab/>
            </w:r>
            <w:r w:rsidRPr="00B63D34">
              <w:t xml:space="preserve">PPL EU has a dedicated troubleshooter </w:t>
            </w:r>
            <w:proofErr w:type="gramStart"/>
            <w:r w:rsidRPr="00B63D34">
              <w:t>organization,</w:t>
            </w:r>
            <w:proofErr w:type="gramEnd"/>
            <w:r w:rsidRPr="00B63D34">
              <w:t xml:space="preserve"> however it is only responsible for responding to outages occurring outside of normal work hours.</w:t>
            </w:r>
          </w:p>
        </w:tc>
        <w:tc>
          <w:tcPr>
            <w:tcW w:w="2133" w:type="pct"/>
            <w:gridSpan w:val="2"/>
            <w:tcBorders>
              <w:bottom w:val="single" w:sz="12" w:space="0" w:color="auto"/>
            </w:tcBorders>
            <w:vAlign w:val="center"/>
          </w:tcPr>
          <w:p w:rsidR="00EB08C6" w:rsidRPr="00B63D34" w:rsidRDefault="00EB08C6" w:rsidP="008236C1">
            <w:pPr>
              <w:pStyle w:val="FRTableNumbering"/>
            </w:pPr>
            <w:r>
              <w:t>4.</w:t>
            </w:r>
            <w:r w:rsidRPr="009A7B2F">
              <w:t xml:space="preserve"> </w:t>
            </w:r>
            <w:r w:rsidRPr="009A7B2F">
              <w:tab/>
            </w:r>
            <w:r w:rsidRPr="00352E09">
              <w:t>Consider</w:t>
            </w:r>
            <w:r w:rsidRPr="00B63D34">
              <w:t xml:space="preserve"> expanding the troubleshooter function to include coverage during the normal work day.  (See Finding 15)</w:t>
            </w:r>
          </w:p>
        </w:tc>
        <w:tc>
          <w:tcPr>
            <w:tcW w:w="656" w:type="pct"/>
            <w:gridSpan w:val="2"/>
            <w:tcBorders>
              <w:bottom w:val="single" w:sz="12" w:space="0" w:color="auto"/>
            </w:tcBorders>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0D142C">
            <w:pPr>
              <w:spacing w:after="0"/>
              <w:jc w:val="left"/>
            </w:pPr>
            <w:r>
              <w:rPr>
                <w:b/>
              </w:rPr>
              <w:t>Chapter VII – Emergency Response</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VII-A – </w:t>
            </w:r>
            <w:r w:rsidRPr="00A17141">
              <w:rPr>
                <w:b/>
              </w:rPr>
              <w:t>Protective Services Emergency Management</w:t>
            </w:r>
          </w:p>
        </w:tc>
      </w:tr>
      <w:tr w:rsidR="00EB08C6" w:rsidRPr="00B63D34" w:rsidTr="000D142C">
        <w:trPr>
          <w:cantSplit/>
          <w:trHeight w:val="1318"/>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The Corporate Business Continuity, Emergency Management, and Corporate Security policies and plans are comprehensive, well structured, and actively maintained.</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978"/>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The enterprise-wide plans are regularly exercised and include the involvement of external</w:t>
            </w:r>
            <w:r>
              <w:t xml:space="preserve"> responders.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534"/>
          <w:jc w:val="center"/>
        </w:trPr>
        <w:tc>
          <w:tcPr>
            <w:tcW w:w="2210" w:type="pct"/>
            <w:vAlign w:val="center"/>
          </w:tcPr>
          <w:p w:rsidR="00EB08C6" w:rsidRPr="00B63D34" w:rsidRDefault="00EB08C6" w:rsidP="008236C1">
            <w:pPr>
              <w:pStyle w:val="FRTableNumbering"/>
            </w:pPr>
            <w:r>
              <w:lastRenderedPageBreak/>
              <w:t>3.</w:t>
            </w:r>
            <w:r w:rsidRPr="009A7B2F">
              <w:t xml:space="preserve"> </w:t>
            </w:r>
            <w:r w:rsidRPr="009A7B2F">
              <w:tab/>
            </w:r>
            <w:r w:rsidRPr="00B63D34">
              <w:t>The Emergency Management Plan does not provide specific guidance for participating in a unified command structure under PEMA in major state-wide emergencies that also imp</w:t>
            </w:r>
            <w:r>
              <w:t>act PPL Corporation facilities.</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00695648">
              <w:t>D</w:t>
            </w:r>
            <w:r w:rsidRPr="00B63D34">
              <w:t>esignate</w:t>
            </w:r>
            <w:r w:rsidR="00695648">
              <w:t xml:space="preserve"> an</w:t>
            </w:r>
            <w:r w:rsidRPr="00B63D34">
              <w:t xml:space="preserve"> individual to fulfill </w:t>
            </w:r>
            <w:r w:rsidR="00F55AA6">
              <w:t xml:space="preserve">the </w:t>
            </w:r>
            <w:r w:rsidRPr="00B63D34">
              <w:t xml:space="preserve">specific role and responsibilities </w:t>
            </w:r>
            <w:r w:rsidR="00F55AA6">
              <w:t>of</w:t>
            </w:r>
            <w:r w:rsidRPr="00B63D34">
              <w:t xml:space="preserve"> interfac</w:t>
            </w:r>
            <w:r w:rsidR="00F55AA6">
              <w:t>ing</w:t>
            </w:r>
            <w:r w:rsidRPr="00B63D34">
              <w:t xml:space="preserve"> with PEMA in a state-wide event.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2263"/>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The business and systems recovery priorities established in the Corporate Business Continuity Plan are not coordinated with the IT cyber security recovery priorities and PPL EU emergency response priorities.</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Complete the efforts to coordinate critical system priorities among PPL SC, IT, and PPL EU and integrate the results into the respective emergency response plans.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VII-B – </w:t>
            </w:r>
            <w:r w:rsidRPr="00A17141">
              <w:rPr>
                <w:b/>
              </w:rPr>
              <w:t>PPL EU System Damage and Storm Response</w:t>
            </w:r>
          </w:p>
        </w:tc>
      </w:tr>
      <w:tr w:rsidR="00EB08C6" w:rsidRPr="00B63D34" w:rsidTr="000D142C">
        <w:trPr>
          <w:cantSplit/>
          <w:trHeight w:val="840"/>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Emergency response roles are well defined and supported by procedures and checklists.</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840"/>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AE5565">
              <w:t xml:space="preserve">Plans are regularly exercised and a training program </w:t>
            </w:r>
            <w:r>
              <w:t>is established for storm roles.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40"/>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AE5565">
              <w:t>Initial training on the National Incident Management System (NIMS) structure has been provided to the individuals who perform the Director of System Emergency (DSE) role, and the Syst</w:t>
            </w:r>
            <w:r>
              <w:t>em Support Director (SSD) role.</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B63D34">
              <w:t>Provide initial training and periodic refresher training on the NIMS structure to the key Emergency Response Plan roles.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840"/>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AE5565">
              <w:t>Three performance scorecards are under development to measure storm response effe</w:t>
            </w:r>
            <w:r>
              <w:t>ctiveness.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43"/>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AE5565">
              <w:t>Emergency Response Plan e</w:t>
            </w:r>
            <w:r>
              <w:t>vent levels need to be revised.</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Modify the number of event levels used in the Emergency Response Plan. (See Finding 5)</w:t>
            </w:r>
          </w:p>
        </w:tc>
        <w:tc>
          <w:tcPr>
            <w:tcW w:w="656" w:type="pct"/>
            <w:gridSpan w:val="2"/>
            <w:vAlign w:val="center"/>
          </w:tcPr>
          <w:p w:rsidR="00EB08C6" w:rsidRPr="00B63D34" w:rsidRDefault="00EB08C6" w:rsidP="008236C1">
            <w:pPr>
              <w:spacing w:after="0"/>
              <w:jc w:val="center"/>
            </w:pPr>
            <w:r>
              <w:t>Low</w:t>
            </w:r>
          </w:p>
        </w:tc>
      </w:tr>
      <w:tr w:rsidR="00EB08C6" w:rsidRPr="00B63D34" w:rsidTr="000D142C">
        <w:trPr>
          <w:cantSplit/>
          <w:trHeight w:val="840"/>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AE5565">
              <w:t>PPL EU currently does not conduct formal after action reviews for</w:t>
            </w:r>
            <w:r w:rsidRPr="00B63D34">
              <w:t xml:space="preserve"> Level 1 or 2 events.</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Conduct formal after action reviews after all activations of the ECC.  (See Finding 6)</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Pr>
                <w:b/>
              </w:rPr>
              <w:lastRenderedPageBreak/>
              <w:t xml:space="preserve">VII-C – </w:t>
            </w:r>
            <w:r w:rsidRPr="00C45B58">
              <w:rPr>
                <w:b/>
              </w:rPr>
              <w:t>Cyber Security</w:t>
            </w:r>
          </w:p>
        </w:tc>
      </w:tr>
      <w:tr w:rsidR="00EB08C6" w:rsidRPr="00B63D34" w:rsidTr="000D142C">
        <w:trPr>
          <w:cantSplit/>
          <w:trHeight w:val="860"/>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IT is actively involved with cyber security programs and trends and has implemented a number of good practices to reduce chances of a serious security breach.</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860"/>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The IT cyber security program has been evaluated by numer</w:t>
            </w:r>
            <w:r>
              <w:t>ous external security entities.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60"/>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The cyber security prevention and response plans are regularly exercised and a training and awareness progra</w:t>
            </w:r>
            <w:r>
              <w:t>m is established for employees.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60"/>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 xml:space="preserve">IAG utilizes a good version control and revision history approach for its cyber security documentation with regular reviews and updates. </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74"/>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There are a large number of recovery plans and security plans that have been developed</w:t>
            </w:r>
            <w:r>
              <w:t xml:space="preserve"> as systems and issues evolved.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4098"/>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Modifications to PPL’s cybersecurity documents are pending based upon lessons learned from the GridEx III exercise.</w:t>
            </w:r>
          </w:p>
        </w:tc>
        <w:tc>
          <w:tcPr>
            <w:tcW w:w="2133" w:type="pct"/>
            <w:gridSpan w:val="2"/>
            <w:vAlign w:val="center"/>
          </w:tcPr>
          <w:p w:rsidR="00EB08C6" w:rsidRDefault="00EB08C6" w:rsidP="008236C1">
            <w:pPr>
              <w:pStyle w:val="FRTableNumbering"/>
              <w:spacing w:after="60"/>
            </w:pPr>
            <w:r>
              <w:t>1.</w:t>
            </w:r>
            <w:r w:rsidRPr="009A7B2F">
              <w:t xml:space="preserve"> </w:t>
            </w:r>
            <w:r w:rsidRPr="009A7B2F">
              <w:tab/>
            </w:r>
            <w:r w:rsidRPr="00B63D34">
              <w:t>Consolidate the business continuity plans for critical applications.  (See Finding 6)</w:t>
            </w:r>
          </w:p>
          <w:p w:rsidR="00EB08C6" w:rsidRDefault="00EB08C6" w:rsidP="008236C1">
            <w:pPr>
              <w:pStyle w:val="FRTableNumbering"/>
              <w:spacing w:after="60"/>
            </w:pPr>
            <w:r>
              <w:t>2.</w:t>
            </w:r>
            <w:r w:rsidRPr="009A7B2F">
              <w:t xml:space="preserve"> </w:t>
            </w:r>
            <w:r w:rsidRPr="009A7B2F">
              <w:tab/>
            </w:r>
            <w:r w:rsidRPr="00B63D34">
              <w:t xml:space="preserve">Complete the updates to PPL’s cybersecurity documents based upon the lessons learned from the GridEx III exercise.  (See Finding </w:t>
            </w:r>
            <w:r>
              <w:t>6</w:t>
            </w:r>
            <w:r w:rsidRPr="00B63D34">
              <w:t>)</w:t>
            </w:r>
          </w:p>
          <w:p w:rsidR="00EB08C6" w:rsidRPr="00B63D34" w:rsidRDefault="00EB08C6" w:rsidP="008236C1">
            <w:pPr>
              <w:pStyle w:val="FRTableNumbering"/>
            </w:pPr>
            <w:r>
              <w:t>3.</w:t>
            </w:r>
            <w:r w:rsidRPr="009A7B2F">
              <w:t xml:space="preserve"> </w:t>
            </w:r>
            <w:r w:rsidRPr="009A7B2F">
              <w:tab/>
            </w:r>
            <w:r w:rsidRPr="00B63D34">
              <w:t>Consider adding a courtesy notification to the PUC in the event of a significant cyber security event to the Corporate Emergency Management Plan.  (</w:t>
            </w:r>
            <w:r>
              <w:t>See Finding 6</w:t>
            </w:r>
            <w:r w:rsidRPr="00B63D34">
              <w:t>)</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Pr>
                <w:b/>
              </w:rPr>
              <w:lastRenderedPageBreak/>
              <w:t xml:space="preserve">VII-D – </w:t>
            </w:r>
            <w:r w:rsidRPr="00C45B58">
              <w:rPr>
                <w:b/>
              </w:rPr>
              <w:t>Compliance with Requirements of the Pennsylvania Code</w:t>
            </w:r>
          </w:p>
        </w:tc>
      </w:tr>
      <w:tr w:rsidR="00EB08C6" w:rsidRPr="00B63D34" w:rsidTr="000D142C">
        <w:trPr>
          <w:cantSplit/>
          <w:trHeight w:val="1025"/>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The PPL Corporation Business Continuity Plan, Emergency Management Plan, and Corporate Security Plan content address at a corporate level the 52 Pa. Code § 101.3 plan requirements.</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1022"/>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The IT cyber security plans meet the requi</w:t>
            </w:r>
            <w:r>
              <w:t>rements of 52 Pa. Code § 101.3.</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489"/>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 xml:space="preserve">Annual self-certification forms regarding PPL EU compliance are submitted to the Commission pursuant to the </w:t>
            </w:r>
            <w:r>
              <w:t>§ 101.4 reporting requirements.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22"/>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The version control of the PPL Corporation emergency plans and policies did not capture annual reviews</w:t>
            </w:r>
            <w:r>
              <w:t xml:space="preserve"> in which no changes were made.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65"/>
          <w:jc w:val="center"/>
        </w:trPr>
        <w:tc>
          <w:tcPr>
            <w:tcW w:w="2210" w:type="pct"/>
            <w:vMerge w:val="restart"/>
            <w:vAlign w:val="center"/>
          </w:tcPr>
          <w:p w:rsidR="00EB08C6" w:rsidRPr="00B63D34" w:rsidRDefault="00EB08C6" w:rsidP="000D142C">
            <w:pPr>
              <w:pStyle w:val="FRTableNumbering"/>
              <w:keepLines w:val="0"/>
            </w:pPr>
            <w:r>
              <w:t>5.</w:t>
            </w:r>
            <w:r w:rsidRPr="009A7B2F">
              <w:t xml:space="preserve"> </w:t>
            </w:r>
            <w:r w:rsidRPr="009A7B2F">
              <w:tab/>
            </w:r>
            <w:r w:rsidRPr="00265625">
              <w:t>PPL EU has not reviewed and updated the Emergency Response Plan annually.</w:t>
            </w:r>
          </w:p>
        </w:tc>
        <w:tc>
          <w:tcPr>
            <w:tcW w:w="2133" w:type="pct"/>
            <w:gridSpan w:val="2"/>
            <w:vAlign w:val="center"/>
          </w:tcPr>
          <w:p w:rsidR="00EB08C6" w:rsidRPr="00B63D34" w:rsidRDefault="00EB08C6" w:rsidP="000D142C">
            <w:pPr>
              <w:pStyle w:val="FRTableNumbering"/>
              <w:keepLines w:val="0"/>
            </w:pPr>
            <w:r>
              <w:t>1.</w:t>
            </w:r>
            <w:r w:rsidRPr="009A7B2F">
              <w:t xml:space="preserve"> </w:t>
            </w:r>
            <w:r w:rsidRPr="009A7B2F">
              <w:tab/>
            </w:r>
            <w:r w:rsidRPr="00BA7076">
              <w:t>Perform</w:t>
            </w:r>
            <w:r w:rsidRPr="00B63D34">
              <w:t xml:space="preserve"> a comprehensive review and update of the PPL EU Emergency Response Plan. (See Finding 5)</w:t>
            </w:r>
          </w:p>
        </w:tc>
        <w:tc>
          <w:tcPr>
            <w:tcW w:w="656" w:type="pct"/>
            <w:gridSpan w:val="2"/>
            <w:vAlign w:val="center"/>
          </w:tcPr>
          <w:p w:rsidR="00EB08C6" w:rsidRPr="00B63D34" w:rsidRDefault="00EB08C6" w:rsidP="000D142C">
            <w:pPr>
              <w:spacing w:after="0"/>
              <w:jc w:val="center"/>
            </w:pPr>
            <w:r>
              <w:t>Medium</w:t>
            </w:r>
          </w:p>
        </w:tc>
      </w:tr>
      <w:tr w:rsidR="00EB08C6" w:rsidRPr="00B63D34" w:rsidTr="000D142C">
        <w:trPr>
          <w:cantSplit/>
          <w:trHeight w:val="1191"/>
          <w:jc w:val="center"/>
        </w:trPr>
        <w:tc>
          <w:tcPr>
            <w:tcW w:w="2210" w:type="pct"/>
            <w:vMerge/>
            <w:vAlign w:val="center"/>
          </w:tcPr>
          <w:p w:rsidR="00EB08C6" w:rsidRPr="00B63D34" w:rsidRDefault="00EB08C6" w:rsidP="008236C1">
            <w:pPr>
              <w:pStyle w:val="FRTableNumbering"/>
            </w:pPr>
          </w:p>
        </w:tc>
        <w:tc>
          <w:tcPr>
            <w:tcW w:w="2133" w:type="pct"/>
            <w:gridSpan w:val="2"/>
            <w:vAlign w:val="center"/>
          </w:tcPr>
          <w:p w:rsidR="00EB08C6" w:rsidRPr="00BA7076" w:rsidRDefault="00EB08C6" w:rsidP="008236C1">
            <w:pPr>
              <w:pStyle w:val="FRTableNumbering"/>
            </w:pPr>
            <w:r>
              <w:t>2.</w:t>
            </w:r>
            <w:r w:rsidRPr="009A7B2F">
              <w:t xml:space="preserve"> </w:t>
            </w:r>
            <w:r w:rsidRPr="009A7B2F">
              <w:tab/>
            </w:r>
            <w:r w:rsidRPr="00B63D34">
              <w:t>Add documentation of plan reviews and revisions to the PPL emergency plans.  (See Finding 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326"/>
          <w:jc w:val="center"/>
        </w:trPr>
        <w:tc>
          <w:tcPr>
            <w:tcW w:w="2210" w:type="pct"/>
            <w:vMerge/>
            <w:vAlign w:val="center"/>
          </w:tcPr>
          <w:p w:rsidR="00EB08C6" w:rsidRPr="00B63D34" w:rsidRDefault="00EB08C6" w:rsidP="008236C1">
            <w:pPr>
              <w:pStyle w:val="FRTableNumbering"/>
            </w:pPr>
          </w:p>
        </w:tc>
        <w:tc>
          <w:tcPr>
            <w:tcW w:w="2133" w:type="pct"/>
            <w:gridSpan w:val="2"/>
            <w:vAlign w:val="center"/>
          </w:tcPr>
          <w:p w:rsidR="00EB08C6" w:rsidRPr="00BA7076" w:rsidRDefault="00EB08C6" w:rsidP="00014490">
            <w:pPr>
              <w:pStyle w:val="FRTableNumbering"/>
            </w:pPr>
            <w:r>
              <w:t>3.</w:t>
            </w:r>
            <w:r w:rsidRPr="009A7B2F">
              <w:t xml:space="preserve"> </w:t>
            </w:r>
            <w:r w:rsidRPr="009A7B2F">
              <w:tab/>
            </w:r>
            <w:r w:rsidRPr="00B63D34">
              <w:t>Develop a summary document defining the action plans and procedures maintained to support compliance with 52 Pa. Code § 101.3 (a). (See Finding</w:t>
            </w:r>
            <w:r w:rsidR="00014490">
              <w:t> </w:t>
            </w:r>
            <w:r w:rsidRPr="00B63D34">
              <w:t>5)</w:t>
            </w:r>
          </w:p>
        </w:tc>
        <w:tc>
          <w:tcPr>
            <w:tcW w:w="656" w:type="pct"/>
            <w:gridSpan w:val="2"/>
            <w:vAlign w:val="center"/>
          </w:tcPr>
          <w:p w:rsidR="00EB08C6" w:rsidRPr="00B63D34" w:rsidRDefault="00EB08C6" w:rsidP="008236C1">
            <w:pPr>
              <w:spacing w:after="0"/>
              <w:jc w:val="center"/>
            </w:pPr>
            <w:r>
              <w:t>Medium</w:t>
            </w:r>
          </w:p>
        </w:tc>
      </w:tr>
      <w:tr w:rsidR="00EB08C6" w:rsidRPr="00B63D34" w:rsidTr="008A01E5">
        <w:trPr>
          <w:cantSplit/>
          <w:trHeight w:val="1022"/>
          <w:jc w:val="center"/>
        </w:trPr>
        <w:tc>
          <w:tcPr>
            <w:tcW w:w="2210" w:type="pct"/>
            <w:tcBorders>
              <w:bottom w:val="single" w:sz="4" w:space="0" w:color="auto"/>
            </w:tcBorders>
            <w:vAlign w:val="center"/>
          </w:tcPr>
          <w:p w:rsidR="00EB08C6" w:rsidRPr="00B63D34" w:rsidRDefault="00EB08C6" w:rsidP="008236C1">
            <w:pPr>
              <w:pStyle w:val="FRTableNumbering"/>
            </w:pPr>
            <w:r>
              <w:t>6.</w:t>
            </w:r>
            <w:r w:rsidRPr="009A7B2F">
              <w:t xml:space="preserve"> </w:t>
            </w:r>
            <w:r w:rsidRPr="009A7B2F">
              <w:tab/>
            </w:r>
            <w:r w:rsidRPr="00B63D34">
              <w:t>PPL EU does not maintain a document defining the action plans and procedures used in compliance of subsection (a) of 52 Pa. Code § 101.3</w:t>
            </w:r>
          </w:p>
        </w:tc>
        <w:tc>
          <w:tcPr>
            <w:tcW w:w="2133" w:type="pct"/>
            <w:gridSpan w:val="2"/>
            <w:tcBorders>
              <w:bottom w:val="single" w:sz="4" w:space="0" w:color="auto"/>
            </w:tcBorders>
            <w:vAlign w:val="center"/>
          </w:tcPr>
          <w:p w:rsidR="00EB08C6" w:rsidRPr="00B63D34" w:rsidRDefault="00EB08C6" w:rsidP="008236C1">
            <w:pPr>
              <w:pStyle w:val="FRTableNumbering"/>
            </w:pPr>
          </w:p>
        </w:tc>
        <w:tc>
          <w:tcPr>
            <w:tcW w:w="656" w:type="pct"/>
            <w:gridSpan w:val="2"/>
            <w:tcBorders>
              <w:bottom w:val="single" w:sz="4" w:space="0" w:color="auto"/>
            </w:tcBorders>
            <w:vAlign w:val="center"/>
          </w:tcPr>
          <w:p w:rsidR="00EB08C6" w:rsidRPr="00B63D34" w:rsidRDefault="00EB08C6" w:rsidP="008236C1">
            <w:pPr>
              <w:spacing w:after="0"/>
              <w:jc w:val="center"/>
            </w:pPr>
          </w:p>
        </w:tc>
      </w:tr>
      <w:tr w:rsidR="00EB08C6" w:rsidRPr="00B63D34" w:rsidTr="008A01E5">
        <w:trPr>
          <w:cantSplit/>
          <w:trHeight w:val="384"/>
          <w:jc w:val="center"/>
        </w:trPr>
        <w:tc>
          <w:tcPr>
            <w:tcW w:w="5000" w:type="pct"/>
            <w:gridSpan w:val="5"/>
            <w:tcBorders>
              <w:top w:val="single" w:sz="4" w:space="0" w:color="auto"/>
            </w:tcBorders>
            <w:vAlign w:val="center"/>
          </w:tcPr>
          <w:p w:rsidR="00EB08C6" w:rsidRPr="00B63D34" w:rsidRDefault="00EB08C6" w:rsidP="000D142C">
            <w:pPr>
              <w:keepNext/>
              <w:spacing w:after="0"/>
              <w:jc w:val="left"/>
            </w:pPr>
            <w:r>
              <w:rPr>
                <w:b/>
              </w:rPr>
              <w:lastRenderedPageBreak/>
              <w:t>Chapter VIII – Support Services</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VIII-A – </w:t>
            </w:r>
            <w:r w:rsidRPr="00C45B58">
              <w:rPr>
                <w:b/>
              </w:rPr>
              <w:t>Technical Development and Improvement</w:t>
            </w:r>
          </w:p>
        </w:tc>
      </w:tr>
      <w:tr w:rsidR="00EB08C6" w:rsidRPr="00B63D34" w:rsidTr="000D142C">
        <w:trPr>
          <w:cantSplit/>
          <w:trHeight w:val="679"/>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Co-locating an instructor with the Control Ce</w:t>
            </w:r>
            <w:r>
              <w:t>nter staffs is a good practice.</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978"/>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Technical Development and Improvement maintains a comprehensive</w:t>
            </w:r>
            <w:r>
              <w:t xml:space="preserve"> set of performance indicators.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31"/>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Implementation of the multiple level safety meetings will help improve safety performan</w:t>
            </w:r>
            <w:r>
              <w:t>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81"/>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Overall PPL EU and Contractor safety performa</w:t>
            </w:r>
            <w:r>
              <w:t>nce has shown some improvement.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23"/>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The PPL EU Motor</w:t>
            </w:r>
            <w:r>
              <w:t xml:space="preserve"> Vehicle Accident Rate is high.</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B63D34">
              <w:t>Analyze the causes of all motor vehicle accidents and develop or modify the defensive driving program to focus on avoidance of all types of vehicle accidents.  (See Finding 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948"/>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The Environmental Compliance group is using a spreadsheet to track permits.</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Convert the Permits spreadsheet to a database.  (See Finding 6)</w:t>
            </w:r>
          </w:p>
        </w:tc>
        <w:tc>
          <w:tcPr>
            <w:tcW w:w="656" w:type="pct"/>
            <w:gridSpan w:val="2"/>
            <w:vAlign w:val="center"/>
          </w:tcPr>
          <w:p w:rsidR="00EB08C6" w:rsidRPr="00B63D34" w:rsidRDefault="00EB08C6" w:rsidP="008236C1">
            <w:pPr>
              <w:spacing w:after="0"/>
              <w:jc w:val="center"/>
            </w:pPr>
            <w:r>
              <w:t>Low</w:t>
            </w:r>
          </w:p>
        </w:tc>
      </w:tr>
      <w:tr w:rsidR="00EB08C6" w:rsidRPr="00B63D34" w:rsidTr="000D142C">
        <w:trPr>
          <w:cantSplit/>
          <w:trHeight w:val="228"/>
          <w:jc w:val="center"/>
        </w:trPr>
        <w:tc>
          <w:tcPr>
            <w:tcW w:w="5000" w:type="pct"/>
            <w:gridSpan w:val="5"/>
            <w:vAlign w:val="center"/>
          </w:tcPr>
          <w:p w:rsidR="00EB08C6" w:rsidRPr="00B63D34" w:rsidRDefault="00EB08C6" w:rsidP="008236C1">
            <w:pPr>
              <w:spacing w:after="0"/>
              <w:jc w:val="left"/>
            </w:pPr>
            <w:r>
              <w:rPr>
                <w:b/>
              </w:rPr>
              <w:t xml:space="preserve">VIII-B – </w:t>
            </w:r>
            <w:r w:rsidRPr="00C45B58">
              <w:rPr>
                <w:b/>
              </w:rPr>
              <w:t>Supply Chain</w:t>
            </w:r>
          </w:p>
        </w:tc>
      </w:tr>
      <w:tr w:rsidR="00EB08C6" w:rsidRPr="00B63D34" w:rsidTr="000D142C">
        <w:trPr>
          <w:cantSplit/>
          <w:trHeight w:val="1866"/>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Although Supply Chain has established a comprehensive set of Performance Indicators for 2015, it has not participated in any recent benchmarking studies to ass</w:t>
            </w:r>
            <w:r>
              <w:t>ess its performance with peers.</w:t>
            </w:r>
          </w:p>
        </w:tc>
        <w:tc>
          <w:tcPr>
            <w:tcW w:w="2133" w:type="pct"/>
            <w:gridSpan w:val="2"/>
            <w:vAlign w:val="center"/>
            <w:hideMark/>
          </w:tcPr>
          <w:p w:rsidR="00EB08C6" w:rsidRPr="00B63D34" w:rsidRDefault="00EB08C6" w:rsidP="00F76050">
            <w:pPr>
              <w:pStyle w:val="FRTableNumbering"/>
            </w:pPr>
            <w:r>
              <w:t>1.</w:t>
            </w:r>
            <w:r w:rsidRPr="009A7B2F">
              <w:t xml:space="preserve"> </w:t>
            </w:r>
            <w:r w:rsidRPr="009A7B2F">
              <w:tab/>
            </w:r>
            <w:r w:rsidRPr="00B63D34">
              <w:t>Participate in a Supply Chain benchmarking study at least every other year.  (See Finding</w:t>
            </w:r>
            <w:r w:rsidR="00F76050">
              <w:t> </w:t>
            </w:r>
            <w:r w:rsidRPr="00B63D34">
              <w:t>1)</w:t>
            </w:r>
          </w:p>
        </w:tc>
        <w:tc>
          <w:tcPr>
            <w:tcW w:w="656" w:type="pct"/>
            <w:gridSpan w:val="2"/>
            <w:vAlign w:val="center"/>
            <w:hideMark/>
          </w:tcPr>
          <w:p w:rsidR="00EB08C6" w:rsidRPr="00B63D34" w:rsidRDefault="00EB08C6" w:rsidP="008236C1">
            <w:pPr>
              <w:spacing w:after="0"/>
              <w:jc w:val="center"/>
            </w:pPr>
            <w:r>
              <w:t>High</w:t>
            </w:r>
          </w:p>
        </w:tc>
      </w:tr>
      <w:tr w:rsidR="00EB08C6" w:rsidRPr="00B63D34" w:rsidTr="000D142C">
        <w:trPr>
          <w:cantSplit/>
          <w:trHeight w:val="796"/>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Supply Chain has contracted with third party logistics p</w:t>
            </w:r>
            <w:r>
              <w:t>roviders for selected products.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82"/>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 xml:space="preserve">PPL inventory turnover was over 3.0 times on an annual basis for </w:t>
            </w:r>
            <w:r>
              <w:t>2013 and 2014 and 2.46 in 2015.</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26"/>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 xml:space="preserve">The level of </w:t>
            </w:r>
            <w:r>
              <w:t>inventory returns has improved.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54"/>
          <w:jc w:val="center"/>
        </w:trPr>
        <w:tc>
          <w:tcPr>
            <w:tcW w:w="2210" w:type="pct"/>
            <w:vAlign w:val="center"/>
          </w:tcPr>
          <w:p w:rsidR="00EB08C6" w:rsidRPr="00B63D34" w:rsidRDefault="00EB08C6" w:rsidP="008236C1">
            <w:pPr>
              <w:pStyle w:val="FRTableNumbering"/>
            </w:pPr>
            <w:r>
              <w:lastRenderedPageBreak/>
              <w:t>5.</w:t>
            </w:r>
            <w:r w:rsidRPr="009A7B2F">
              <w:t xml:space="preserve"> </w:t>
            </w:r>
            <w:r w:rsidRPr="009A7B2F">
              <w:tab/>
            </w:r>
            <w:r w:rsidRPr="00B63D34">
              <w:t>Several materials locations underperformed the 20</w:t>
            </w:r>
            <w:r>
              <w:t>15 Cycle Count Accuracy target.</w:t>
            </w:r>
          </w:p>
        </w:tc>
        <w:tc>
          <w:tcPr>
            <w:tcW w:w="2133" w:type="pct"/>
            <w:gridSpan w:val="2"/>
            <w:vAlign w:val="center"/>
          </w:tcPr>
          <w:p w:rsidR="00EB08C6" w:rsidRPr="00B63D34" w:rsidRDefault="00EB08C6" w:rsidP="00014490">
            <w:pPr>
              <w:pStyle w:val="FRTableNumbering"/>
            </w:pPr>
            <w:r>
              <w:t>2.</w:t>
            </w:r>
            <w:r w:rsidRPr="009A7B2F">
              <w:t xml:space="preserve"> </w:t>
            </w:r>
            <w:r w:rsidRPr="009A7B2F">
              <w:tab/>
            </w:r>
            <w:r w:rsidRPr="00B63D34">
              <w:t>Improve the consistency in materials controls implementation and tracking of materials activity.  (See Finding</w:t>
            </w:r>
            <w:r w:rsidR="00014490">
              <w:t> </w:t>
            </w:r>
            <w:r w:rsidRPr="00B63D34">
              <w:t>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83"/>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Emergency stock and spares are a significant</w:t>
            </w:r>
            <w:r>
              <w:t xml:space="preserve"> percentage of PPL inventory.</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Conduct a comprehensive review of emergency stock and spares at least every two years.  (See Finding</w:t>
            </w:r>
            <w:r>
              <w:t> </w:t>
            </w:r>
            <w:r w:rsidRPr="00B63D34">
              <w:t>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56"/>
          <w:jc w:val="center"/>
        </w:trPr>
        <w:tc>
          <w:tcPr>
            <w:tcW w:w="2210" w:type="pct"/>
            <w:vAlign w:val="center"/>
          </w:tcPr>
          <w:p w:rsidR="00EB08C6" w:rsidRPr="00B63D34" w:rsidRDefault="00EB08C6" w:rsidP="008236C1">
            <w:pPr>
              <w:pStyle w:val="FRTableNumbering"/>
            </w:pPr>
            <w:r>
              <w:t>7.</w:t>
            </w:r>
            <w:r w:rsidRPr="009A7B2F">
              <w:t xml:space="preserve"> </w:t>
            </w:r>
            <w:r w:rsidRPr="009A7B2F">
              <w:tab/>
            </w:r>
            <w:r w:rsidRPr="00B63D34">
              <w:t>Reviews of inventory items with zero usage are not conducted frequently enough.</w:t>
            </w:r>
          </w:p>
        </w:tc>
        <w:tc>
          <w:tcPr>
            <w:tcW w:w="2133" w:type="pct"/>
            <w:gridSpan w:val="2"/>
            <w:vAlign w:val="center"/>
          </w:tcPr>
          <w:p w:rsidR="00EB08C6" w:rsidRPr="00B63D34" w:rsidRDefault="00EB08C6" w:rsidP="008236C1">
            <w:pPr>
              <w:pStyle w:val="FRTableNumbering"/>
            </w:pPr>
            <w:r>
              <w:t>4.</w:t>
            </w:r>
            <w:r w:rsidRPr="009A7B2F">
              <w:t xml:space="preserve"> </w:t>
            </w:r>
            <w:r w:rsidRPr="009A7B2F">
              <w:tab/>
            </w:r>
            <w:r w:rsidRPr="00B63D34">
              <w:t>Decrease the threshold for review of zero use items from three years to no more than two years.  (See Finding 7)</w:t>
            </w:r>
          </w:p>
        </w:tc>
        <w:tc>
          <w:tcPr>
            <w:tcW w:w="656" w:type="pct"/>
            <w:gridSpan w:val="2"/>
            <w:vAlign w:val="center"/>
          </w:tcPr>
          <w:p w:rsidR="00EB08C6" w:rsidRPr="00B63D34" w:rsidRDefault="00EB08C6" w:rsidP="008236C1">
            <w:pPr>
              <w:spacing w:after="0"/>
              <w:jc w:val="center"/>
            </w:pPr>
            <w:r>
              <w:t>Low</w:t>
            </w:r>
          </w:p>
        </w:tc>
      </w:tr>
      <w:tr w:rsidR="00EB08C6" w:rsidRPr="00B63D34" w:rsidTr="000D142C">
        <w:trPr>
          <w:cantSplit/>
          <w:trHeight w:val="291"/>
          <w:jc w:val="center"/>
        </w:trPr>
        <w:tc>
          <w:tcPr>
            <w:tcW w:w="5000" w:type="pct"/>
            <w:gridSpan w:val="5"/>
            <w:vAlign w:val="center"/>
          </w:tcPr>
          <w:p w:rsidR="00EB08C6" w:rsidRPr="00B63D34" w:rsidRDefault="00EB08C6" w:rsidP="008236C1">
            <w:pPr>
              <w:spacing w:after="0"/>
              <w:jc w:val="left"/>
            </w:pPr>
            <w:r>
              <w:rPr>
                <w:b/>
              </w:rPr>
              <w:t>VIII-C – Transportation</w:t>
            </w:r>
          </w:p>
        </w:tc>
      </w:tr>
      <w:tr w:rsidR="00EB08C6" w:rsidRPr="00B63D34" w:rsidTr="000D142C">
        <w:trPr>
          <w:cantSplit/>
          <w:trHeight w:val="741"/>
          <w:jc w:val="center"/>
        </w:trPr>
        <w:tc>
          <w:tcPr>
            <w:tcW w:w="2210" w:type="pct"/>
            <w:vAlign w:val="center"/>
            <w:hideMark/>
          </w:tcPr>
          <w:p w:rsidR="00EB08C6" w:rsidRPr="00172A00" w:rsidRDefault="00EB08C6" w:rsidP="008236C1">
            <w:pPr>
              <w:pStyle w:val="FRTableNumbering"/>
            </w:pPr>
            <w:r w:rsidRPr="00172A00">
              <w:t xml:space="preserve">1. </w:t>
            </w:r>
            <w:r w:rsidRPr="00172A00">
              <w:tab/>
              <w:t>Transportation Services has implemented several good initiatives to reduce costs.</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172A00" w:rsidRDefault="00EB08C6" w:rsidP="008236C1">
            <w:pPr>
              <w:pStyle w:val="FRTableNumbering"/>
            </w:pPr>
            <w:r w:rsidRPr="00172A00">
              <w:t xml:space="preserve">2. </w:t>
            </w:r>
            <w:r w:rsidRPr="00172A00">
              <w:tab/>
              <w:t>Transportation Services maintains a customer focused set of performance measures.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Transportation Services has provided g</w:t>
            </w:r>
            <w:r>
              <w:t>ood overall fleet availability.</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PPL fleet management is per</w:t>
            </w:r>
            <w:r>
              <w:t>forming well compared to peers.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The development of standardized specifications for vehicle</w:t>
            </w:r>
            <w:r>
              <w:t xml:space="preserve"> purchase is largely completed.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The fleet management system application version was updated in</w:t>
            </w:r>
            <w:r>
              <w:t xml:space="preserve"> December 2015.</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59"/>
          <w:jc w:val="center"/>
        </w:trPr>
        <w:tc>
          <w:tcPr>
            <w:tcW w:w="2210" w:type="pct"/>
            <w:vAlign w:val="center"/>
          </w:tcPr>
          <w:p w:rsidR="00EB08C6" w:rsidRPr="00B63D34" w:rsidRDefault="00EB08C6" w:rsidP="008236C1">
            <w:pPr>
              <w:pStyle w:val="FRTableNumbering"/>
            </w:pPr>
            <w:r>
              <w:t>7.</w:t>
            </w:r>
            <w:r w:rsidRPr="009A7B2F">
              <w:t xml:space="preserve"> </w:t>
            </w:r>
            <w:r w:rsidRPr="009A7B2F">
              <w:tab/>
            </w:r>
            <w:r w:rsidRPr="00B63D34">
              <w:t>The PPL fleet age is increasing but the average fleet age generally remains under the replacement consideration trigger.</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B63D34">
              <w:t>Monitor the aging of the vehicle fleet and resulting maintenance and availability implications.  (See Finding 7)</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0D142C">
            <w:pPr>
              <w:pageBreakBefore/>
              <w:spacing w:after="0"/>
              <w:jc w:val="left"/>
            </w:pPr>
            <w:r>
              <w:rPr>
                <w:b/>
              </w:rPr>
              <w:lastRenderedPageBreak/>
              <w:t>Chapter IX – Customer Services</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IX-A – </w:t>
            </w:r>
            <w:r w:rsidRPr="00C45B58">
              <w:rPr>
                <w:b/>
              </w:rPr>
              <w:t>Customer Services Overview</w:t>
            </w:r>
          </w:p>
        </w:tc>
      </w:tr>
      <w:tr w:rsidR="00EB08C6" w:rsidRPr="00B63D34" w:rsidTr="000D142C">
        <w:trPr>
          <w:cantSplit/>
          <w:trHeight w:val="2316"/>
          <w:jc w:val="center"/>
        </w:trPr>
        <w:tc>
          <w:tcPr>
            <w:tcW w:w="2210" w:type="pct"/>
            <w:vAlign w:val="center"/>
            <w:hideMark/>
          </w:tcPr>
          <w:p w:rsidR="00EB08C6" w:rsidRPr="00B63D34" w:rsidRDefault="00EB08C6" w:rsidP="008236C1">
            <w:pPr>
              <w:pStyle w:val="FRTableNumbering"/>
            </w:pPr>
            <w:r w:rsidRPr="00746D90">
              <w:t>1.</w:t>
            </w:r>
            <w:r w:rsidRPr="00746D90">
              <w:tab/>
              <w:t xml:space="preserve">Customer Services has been undergoing significant changes affecting strategies, organizational design, service quality, and staffing configurations that are likely to improve the customer experience and reduce operating costs.  </w:t>
            </w:r>
          </w:p>
        </w:tc>
        <w:tc>
          <w:tcPr>
            <w:tcW w:w="2133" w:type="pct"/>
            <w:gridSpan w:val="2"/>
            <w:vAlign w:val="center"/>
            <w:hideMark/>
          </w:tcPr>
          <w:p w:rsidR="00EB08C6" w:rsidRPr="00431E7E" w:rsidRDefault="00EB08C6" w:rsidP="008236C1">
            <w:pPr>
              <w:spacing w:after="0"/>
              <w:jc w:val="left"/>
              <w:rPr>
                <w:szCs w:val="24"/>
              </w:rPr>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746D90">
              <w:t>2.</w:t>
            </w:r>
            <w:r w:rsidRPr="00746D90">
              <w:tab/>
              <w:t>PPL EU has consistently ranked highest among large utilities in the East Region on the J.D. Power’s Electric Utility Residential Customer Satisfaction Study.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746D90">
              <w:t>3.</w:t>
            </w:r>
            <w:r w:rsidRPr="00746D90">
              <w:tab/>
              <w:t xml:space="preserve">Analyses of unit costs in 2014 showed that certain PPL EU </w:t>
            </w:r>
            <w:r>
              <w:t>c</w:t>
            </w:r>
            <w:r w:rsidRPr="00746D90">
              <w:t>ustomer services costs were higher than industry averages.</w:t>
            </w:r>
          </w:p>
        </w:tc>
        <w:tc>
          <w:tcPr>
            <w:tcW w:w="2133" w:type="pct"/>
            <w:gridSpan w:val="2"/>
            <w:vAlign w:val="center"/>
          </w:tcPr>
          <w:p w:rsidR="00EB08C6" w:rsidRPr="00B63D34" w:rsidRDefault="00EB08C6" w:rsidP="008236C1">
            <w:pPr>
              <w:pStyle w:val="FRTableNumbering"/>
            </w:pPr>
            <w:r w:rsidRPr="00746D90">
              <w:t>1.</w:t>
            </w:r>
            <w:r w:rsidRPr="00746D90">
              <w:tab/>
              <w:t>Incorporate unit costs and service quality metrics into the Customer Services Monthly Performance Indicators Report to improve performance management.  (See Findings 3 and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83"/>
          <w:jc w:val="center"/>
        </w:trPr>
        <w:tc>
          <w:tcPr>
            <w:tcW w:w="2210" w:type="pct"/>
            <w:vAlign w:val="center"/>
          </w:tcPr>
          <w:p w:rsidR="00EB08C6" w:rsidRPr="00B63D34" w:rsidRDefault="00EB08C6" w:rsidP="008236C1">
            <w:pPr>
              <w:pStyle w:val="FRTableNumbering"/>
            </w:pPr>
            <w:r w:rsidRPr="00746D90">
              <w:t>4.</w:t>
            </w:r>
            <w:r w:rsidRPr="00746D90">
              <w:tab/>
              <w:t>The Customer Services Monthly Performance Indicators Report lacks key information to improve performance management.</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18"/>
          <w:jc w:val="center"/>
        </w:trPr>
        <w:tc>
          <w:tcPr>
            <w:tcW w:w="2210" w:type="pct"/>
            <w:vAlign w:val="center"/>
          </w:tcPr>
          <w:p w:rsidR="00EB08C6" w:rsidRPr="00B63D34" w:rsidRDefault="00EB08C6" w:rsidP="003D47D8">
            <w:pPr>
              <w:pStyle w:val="FRTableNumbering"/>
            </w:pPr>
            <w:r w:rsidRPr="00746D90">
              <w:t>5.</w:t>
            </w:r>
            <w:r w:rsidRPr="00746D90">
              <w:tab/>
              <w:t xml:space="preserve">Customer </w:t>
            </w:r>
            <w:r w:rsidR="003D47D8">
              <w:t xml:space="preserve">Services is not meeting its </w:t>
            </w:r>
            <w:r w:rsidR="008A4E85">
              <w:t xml:space="preserve">Days Away, Restricted and Transferred </w:t>
            </w:r>
            <w:r w:rsidR="003D47D8">
              <w:t>S</w:t>
            </w:r>
            <w:r w:rsidRPr="00746D90">
              <w:t>afety target.</w:t>
            </w:r>
          </w:p>
        </w:tc>
        <w:tc>
          <w:tcPr>
            <w:tcW w:w="2133" w:type="pct"/>
            <w:gridSpan w:val="2"/>
            <w:vAlign w:val="center"/>
          </w:tcPr>
          <w:p w:rsidR="00EB08C6" w:rsidRPr="00B63D34" w:rsidRDefault="00EB08C6" w:rsidP="008236C1">
            <w:pPr>
              <w:pStyle w:val="FRTableNumbering"/>
            </w:pPr>
            <w:r w:rsidRPr="00746D90">
              <w:t>2.</w:t>
            </w:r>
            <w:r w:rsidRPr="00746D90">
              <w:tab/>
              <w:t>Identify root causes for each DART incident and act to correct the underlying problems.  (See Finding</w:t>
            </w:r>
            <w:r>
              <w:t> </w:t>
            </w:r>
            <w:r w:rsidRPr="00746D90">
              <w:t>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IX-B – </w:t>
            </w:r>
            <w:r w:rsidRPr="00C45B58">
              <w:rPr>
                <w:b/>
              </w:rPr>
              <w:t xml:space="preserve">Customer </w:t>
            </w:r>
            <w:r>
              <w:rPr>
                <w:b/>
              </w:rPr>
              <w:t>Experience</w:t>
            </w:r>
          </w:p>
        </w:tc>
      </w:tr>
      <w:tr w:rsidR="00EB08C6" w:rsidRPr="00B63D34" w:rsidTr="000D142C">
        <w:trPr>
          <w:cantSplit/>
          <w:trHeight w:val="1164"/>
          <w:jc w:val="center"/>
        </w:trPr>
        <w:tc>
          <w:tcPr>
            <w:tcW w:w="2210" w:type="pct"/>
            <w:vAlign w:val="center"/>
          </w:tcPr>
          <w:p w:rsidR="00EB08C6" w:rsidRPr="00B63D34" w:rsidRDefault="00EB08C6" w:rsidP="008236C1">
            <w:pPr>
              <w:pStyle w:val="FRTableNumbering"/>
            </w:pPr>
            <w:r w:rsidRPr="006608B6">
              <w:t>1.</w:t>
            </w:r>
            <w:r w:rsidRPr="006608B6">
              <w:tab/>
              <w:t>The First Call Resolution and the Alert Message metrics do not yet have targets.</w:t>
            </w:r>
          </w:p>
        </w:tc>
        <w:tc>
          <w:tcPr>
            <w:tcW w:w="2133" w:type="pct"/>
            <w:gridSpan w:val="2"/>
            <w:vAlign w:val="center"/>
          </w:tcPr>
          <w:p w:rsidR="00EB08C6" w:rsidRPr="00B63D34" w:rsidRDefault="00EB08C6" w:rsidP="005974C8">
            <w:pPr>
              <w:pStyle w:val="FRTableNumbering"/>
            </w:pPr>
            <w:r w:rsidRPr="006608B6">
              <w:t>1.</w:t>
            </w:r>
            <w:r w:rsidRPr="006608B6">
              <w:tab/>
              <w:t>Create targets for the First Call Resolution and the Alert Message metrics.  (See Finding</w:t>
            </w:r>
            <w:r w:rsidR="005974C8">
              <w:t> </w:t>
            </w:r>
            <w:r w:rsidRPr="006608B6">
              <w:t>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2.</w:t>
            </w:r>
            <w:r w:rsidRPr="006608B6">
              <w:tab/>
              <w:t>Several call center metrics are near their targets.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lastRenderedPageBreak/>
              <w:t>3.</w:t>
            </w:r>
            <w:r w:rsidRPr="006608B6">
              <w:tab/>
              <w:t>Customer Services implemented an important state-of-the-art tool that should significantly improve the CSRs’ ability to serve the customer.</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4.</w:t>
            </w:r>
            <w:r w:rsidRPr="006608B6">
              <w:tab/>
              <w:t>Major Accounts does not have work management metrics that track the numbers of work units and costs expended to deliver the services.</w:t>
            </w:r>
          </w:p>
        </w:tc>
        <w:tc>
          <w:tcPr>
            <w:tcW w:w="2133" w:type="pct"/>
            <w:gridSpan w:val="2"/>
            <w:vAlign w:val="center"/>
          </w:tcPr>
          <w:p w:rsidR="00EB08C6" w:rsidRPr="00B63D34" w:rsidRDefault="00EB08C6" w:rsidP="008236C1">
            <w:pPr>
              <w:pStyle w:val="FRTableNumbering"/>
            </w:pPr>
            <w:r w:rsidRPr="006608B6">
              <w:t>2.</w:t>
            </w:r>
            <w:r w:rsidRPr="006608B6">
              <w:tab/>
              <w:t>Establish work management and performance metrics and targets for the Major Accounts group.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5.</w:t>
            </w:r>
            <w:r w:rsidRPr="006608B6">
              <w:tab/>
              <w:t>The newly created Customer Experience (digital strategies) team represents a commendable strategy to consolidate a number of necessary responsibilities and skills that are needed to expand and provide a changing multi-channel experience, improve the customer experience, and reduce costs.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6.</w:t>
            </w:r>
            <w:r w:rsidRPr="006608B6">
              <w:tab/>
              <w:t>Customer Services has not measured the cost impacts associated with increasing customer use of the web and IVR channels.</w:t>
            </w:r>
          </w:p>
        </w:tc>
        <w:tc>
          <w:tcPr>
            <w:tcW w:w="2133" w:type="pct"/>
            <w:gridSpan w:val="2"/>
            <w:vAlign w:val="center"/>
          </w:tcPr>
          <w:p w:rsidR="00EB08C6" w:rsidRPr="00B63D34" w:rsidRDefault="00EB08C6" w:rsidP="008236C1">
            <w:pPr>
              <w:pStyle w:val="FRTableNumbering"/>
            </w:pPr>
            <w:r w:rsidRPr="006608B6">
              <w:t>3.</w:t>
            </w:r>
            <w:r w:rsidRPr="006608B6">
              <w:tab/>
              <w:t>Develop and implement appropriate metrics and targets across all existing and new customer contact channels.  (See Finding 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7.</w:t>
            </w:r>
            <w:r w:rsidRPr="006608B6">
              <w:tab/>
              <w:t>Some customers are reluctant to enroll in automated bill payments with credit cards because of fees.</w:t>
            </w:r>
          </w:p>
        </w:tc>
        <w:tc>
          <w:tcPr>
            <w:tcW w:w="2133" w:type="pct"/>
            <w:gridSpan w:val="2"/>
            <w:vAlign w:val="center"/>
          </w:tcPr>
          <w:p w:rsidR="00EB08C6" w:rsidRPr="00B63D34" w:rsidRDefault="00EB08C6" w:rsidP="008236C1">
            <w:pPr>
              <w:pStyle w:val="FRTableNumbering"/>
            </w:pPr>
            <w:r>
              <w:t>4</w:t>
            </w:r>
            <w:r w:rsidRPr="006608B6">
              <w:t>.</w:t>
            </w:r>
            <w:r w:rsidRPr="006608B6">
              <w:tab/>
              <w:t>Reduce barriers to automated bill payments because of credit card fees.  (Finding 7)</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8.</w:t>
            </w:r>
            <w:r w:rsidRPr="006608B6">
              <w:tab/>
              <w:t>Customer Services’ market research program is comprehensive and appropriately focused on process and performance improvement.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t>9.</w:t>
            </w:r>
            <w:r w:rsidRPr="006608B6">
              <w:tab/>
              <w:t>The EE&amp;C Plan’s MWh savings were forecast to exceed the year-end 2015 target while expenditures were at or below budget.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31"/>
          <w:jc w:val="center"/>
        </w:trPr>
        <w:tc>
          <w:tcPr>
            <w:tcW w:w="2210" w:type="pct"/>
            <w:vAlign w:val="center"/>
          </w:tcPr>
          <w:p w:rsidR="00EB08C6" w:rsidRPr="00B63D34" w:rsidRDefault="00EB08C6" w:rsidP="008236C1">
            <w:pPr>
              <w:pStyle w:val="FRTableNumbering"/>
            </w:pPr>
            <w:r w:rsidRPr="006608B6">
              <w:t>10.</w:t>
            </w:r>
            <w:r w:rsidRPr="006608B6">
              <w:tab/>
              <w:t>EE&amp;C Plan Actual MWh saved have exceeded the targets through 2015.</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4"/>
          <w:jc w:val="center"/>
        </w:trPr>
        <w:tc>
          <w:tcPr>
            <w:tcW w:w="2210" w:type="pct"/>
            <w:vAlign w:val="center"/>
          </w:tcPr>
          <w:p w:rsidR="00EB08C6" w:rsidRPr="00B63D34" w:rsidRDefault="00EB08C6" w:rsidP="008236C1">
            <w:pPr>
              <w:pStyle w:val="FRTableNumbering"/>
            </w:pPr>
            <w:r w:rsidRPr="006608B6">
              <w:lastRenderedPageBreak/>
              <w:t>11.</w:t>
            </w:r>
            <w:r w:rsidRPr="006608B6">
              <w:tab/>
              <w:t>Customer Services lacks internal cost performance and other productivity and effectiveness metrics associated with Energy Efficiency and Conservation Plan compliance and performance.</w:t>
            </w:r>
          </w:p>
        </w:tc>
        <w:tc>
          <w:tcPr>
            <w:tcW w:w="2133" w:type="pct"/>
            <w:gridSpan w:val="2"/>
            <w:vAlign w:val="center"/>
          </w:tcPr>
          <w:p w:rsidR="00EB08C6" w:rsidRPr="00B63D34" w:rsidRDefault="00EB08C6" w:rsidP="008236C1">
            <w:pPr>
              <w:pStyle w:val="FRTableNumbering"/>
            </w:pPr>
            <w:r>
              <w:t>5</w:t>
            </w:r>
            <w:r w:rsidRPr="006608B6">
              <w:t>.</w:t>
            </w:r>
            <w:r w:rsidRPr="006608B6">
              <w:tab/>
              <w:t>Develop additional metrics and targets for assessing the effectiveness and efficiency, including unit cost performance, of the Energy Efficiency function.  (See Finding 11)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IX-C – </w:t>
            </w:r>
            <w:r w:rsidRPr="00C45B58">
              <w:rPr>
                <w:b/>
              </w:rPr>
              <w:t>Customer Services Operations</w:t>
            </w: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623E50">
              <w:t>1.</w:t>
            </w:r>
            <w:r w:rsidRPr="00623E50">
              <w:tab/>
              <w:t>The contracting process with PPLSolutions has not been consistently applied nor uniform with regard to contract content.</w:t>
            </w:r>
          </w:p>
        </w:tc>
        <w:tc>
          <w:tcPr>
            <w:tcW w:w="2133" w:type="pct"/>
            <w:gridSpan w:val="2"/>
            <w:vAlign w:val="center"/>
          </w:tcPr>
          <w:p w:rsidR="00EB08C6" w:rsidRPr="00B63D34" w:rsidRDefault="00EB08C6" w:rsidP="008236C1">
            <w:pPr>
              <w:pStyle w:val="FRTableNumbering"/>
            </w:pPr>
            <w:r w:rsidRPr="00623E50">
              <w:t>1.</w:t>
            </w:r>
            <w:r w:rsidRPr="00623E50">
              <w:tab/>
              <w:t xml:space="preserve">Correct contracting deficiencies and establish a contract management </w:t>
            </w:r>
            <w:proofErr w:type="gramStart"/>
            <w:r w:rsidRPr="00623E50">
              <w:t>function</w:t>
            </w:r>
            <w:proofErr w:type="gramEnd"/>
            <w:r w:rsidRPr="00623E50">
              <w:t xml:space="preserve"> within Customer Services.  (See Findings 1, 2, and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623E50">
              <w:t>2.</w:t>
            </w:r>
            <w:r w:rsidRPr="00623E50">
              <w:tab/>
              <w:t>The recently signed contract with PPLSolutions for call center services resolves a number of problems with the previous contracts, but not all.</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623E50">
              <w:t>3.</w:t>
            </w:r>
            <w:r w:rsidRPr="00623E50">
              <w:tab/>
              <w:t>The recently signed contract with an unaffiliated vendor has a number of deficiencies.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623E50">
              <w:t>4.</w:t>
            </w:r>
            <w:r w:rsidRPr="00623E50">
              <w:tab/>
              <w:t>Customer Services has established disaster recovery services for its call center functions.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65"/>
          <w:jc w:val="center"/>
        </w:trPr>
        <w:tc>
          <w:tcPr>
            <w:tcW w:w="2210" w:type="pct"/>
            <w:vAlign w:val="center"/>
          </w:tcPr>
          <w:p w:rsidR="00EB08C6" w:rsidRPr="00B63D34" w:rsidRDefault="00EB08C6" w:rsidP="008236C1">
            <w:pPr>
              <w:pStyle w:val="FRTableNumbering"/>
            </w:pPr>
            <w:r w:rsidRPr="00623E50">
              <w:t>5.</w:t>
            </w:r>
            <w:r w:rsidRPr="00623E50">
              <w:tab/>
              <w:t>The 2016 LIHEAP Portal project will yield significant customer benefits and reduced costs.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0D142C">
            <w:pPr>
              <w:spacing w:after="0"/>
              <w:jc w:val="left"/>
            </w:pPr>
            <w:r>
              <w:rPr>
                <w:b/>
              </w:rPr>
              <w:t xml:space="preserve">IX-D – </w:t>
            </w:r>
            <w:r w:rsidRPr="00C45B58">
              <w:rPr>
                <w:b/>
              </w:rPr>
              <w:t>Regulatory Programs</w:t>
            </w:r>
          </w:p>
        </w:tc>
      </w:tr>
      <w:tr w:rsidR="00EB08C6" w:rsidRPr="00B63D34" w:rsidTr="000D142C">
        <w:trPr>
          <w:cantSplit/>
          <w:trHeight w:val="150"/>
          <w:jc w:val="center"/>
        </w:trPr>
        <w:tc>
          <w:tcPr>
            <w:tcW w:w="2210" w:type="pct"/>
            <w:vAlign w:val="center"/>
          </w:tcPr>
          <w:p w:rsidR="00EB08C6" w:rsidRPr="00B63D34" w:rsidRDefault="00EB08C6" w:rsidP="008236C1">
            <w:pPr>
              <w:pStyle w:val="FRTableNumbering"/>
            </w:pPr>
            <w:r w:rsidRPr="00623E50">
              <w:t>1.</w:t>
            </w:r>
            <w:r w:rsidRPr="00623E50">
              <w:tab/>
              <w:t>A cost comparison measuring the effectiveness of services offered between the Universal Service WRAP program and the Act 129 WRAP program has not been made.</w:t>
            </w:r>
          </w:p>
        </w:tc>
        <w:tc>
          <w:tcPr>
            <w:tcW w:w="2133" w:type="pct"/>
            <w:gridSpan w:val="2"/>
            <w:vAlign w:val="center"/>
          </w:tcPr>
          <w:p w:rsidR="00EB08C6" w:rsidRPr="00B63D34" w:rsidRDefault="00EB08C6" w:rsidP="008236C1">
            <w:pPr>
              <w:pStyle w:val="FRTableNumbering"/>
            </w:pPr>
            <w:r w:rsidRPr="00623E50">
              <w:t>1.</w:t>
            </w:r>
            <w:r w:rsidRPr="00623E50">
              <w:tab/>
              <w:t>Develop unit cost metrics that compare dollars spent per job for both Universal Service WRAP and Act 129 WRAP programs.  (See Findings 1 and</w:t>
            </w:r>
            <w:r>
              <w:t> </w:t>
            </w:r>
            <w:r w:rsidRPr="00623E50">
              <w:t>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50"/>
          <w:jc w:val="center"/>
        </w:trPr>
        <w:tc>
          <w:tcPr>
            <w:tcW w:w="2210" w:type="pct"/>
            <w:vAlign w:val="center"/>
          </w:tcPr>
          <w:p w:rsidR="00EB08C6" w:rsidRPr="00B63D34" w:rsidRDefault="00EB08C6" w:rsidP="008236C1">
            <w:pPr>
              <w:pStyle w:val="FRTableNumbering"/>
            </w:pPr>
            <w:r w:rsidRPr="00623E50">
              <w:t>2.</w:t>
            </w:r>
            <w:r w:rsidRPr="00623E50">
              <w:tab/>
              <w:t>The costs per customer for the Universal Service WRAP have increased significantly in 2014 and 2015.</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50"/>
          <w:jc w:val="center"/>
        </w:trPr>
        <w:tc>
          <w:tcPr>
            <w:tcW w:w="2210" w:type="pct"/>
            <w:vAlign w:val="center"/>
          </w:tcPr>
          <w:p w:rsidR="00EB08C6" w:rsidRPr="00B63D34" w:rsidRDefault="00EB08C6" w:rsidP="008236C1">
            <w:pPr>
              <w:pStyle w:val="FRTableNumbering"/>
            </w:pPr>
            <w:r w:rsidRPr="00623E50">
              <w:lastRenderedPageBreak/>
              <w:t>3.</w:t>
            </w:r>
            <w:r w:rsidRPr="00623E50">
              <w:tab/>
              <w:t>Additional metrics have not been employed to measure or gauge the spending strategies of the PPL EU WRAP programs.</w:t>
            </w:r>
          </w:p>
        </w:tc>
        <w:tc>
          <w:tcPr>
            <w:tcW w:w="2133" w:type="pct"/>
            <w:gridSpan w:val="2"/>
            <w:vAlign w:val="center"/>
          </w:tcPr>
          <w:p w:rsidR="00EB08C6" w:rsidRPr="00B63D34" w:rsidRDefault="00EB08C6" w:rsidP="008236C1">
            <w:pPr>
              <w:pStyle w:val="FRTableNumbering"/>
            </w:pPr>
            <w:r w:rsidRPr="00E53DD7">
              <w:t>2.</w:t>
            </w:r>
            <w:r w:rsidRPr="00E53DD7">
              <w:tab/>
              <w:t>Develop metrics that track and report comparable KWh saved per administrative dollars spent and per job completed for the Universal Service WRAP and Act 129 WRAP programs.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50"/>
          <w:jc w:val="center"/>
        </w:trPr>
        <w:tc>
          <w:tcPr>
            <w:tcW w:w="2210" w:type="pct"/>
            <w:vAlign w:val="center"/>
          </w:tcPr>
          <w:p w:rsidR="00EB08C6" w:rsidRPr="00B63D34" w:rsidRDefault="00EB08C6" w:rsidP="008236C1">
            <w:pPr>
              <w:pStyle w:val="FRTableNumbering"/>
            </w:pPr>
            <w:r w:rsidRPr="00623E50">
              <w:t>4.</w:t>
            </w:r>
            <w:r w:rsidRPr="00623E50">
              <w:tab/>
              <w:t>Customer Services has been failing to meet its 2015 target of maintaining the Justified Informal Complaint Rate below five percent.</w:t>
            </w:r>
          </w:p>
        </w:tc>
        <w:tc>
          <w:tcPr>
            <w:tcW w:w="2133" w:type="pct"/>
            <w:gridSpan w:val="2"/>
            <w:vAlign w:val="center"/>
          </w:tcPr>
          <w:p w:rsidR="00EB08C6" w:rsidRPr="00B63D34" w:rsidRDefault="00EB08C6" w:rsidP="008236C1">
            <w:pPr>
              <w:pStyle w:val="FRTableNumbering"/>
            </w:pPr>
            <w:r w:rsidRPr="00E53DD7">
              <w:t>3.</w:t>
            </w:r>
            <w:r w:rsidRPr="00E53DD7">
              <w:tab/>
              <w:t>Revise the Justified Complaints Rate target of “no more than 5%” to 0% and allocate additional resources to analyze and resolve internal controllable errors.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IX-E – </w:t>
            </w:r>
            <w:r w:rsidRPr="00C45B58">
              <w:rPr>
                <w:b/>
              </w:rPr>
              <w:t>Advanced Metering and Data Operations</w:t>
            </w:r>
          </w:p>
        </w:tc>
      </w:tr>
      <w:tr w:rsidR="00EB08C6" w:rsidRPr="00B63D34" w:rsidTr="000D142C">
        <w:trPr>
          <w:cantSplit/>
          <w:trHeight w:val="600"/>
          <w:jc w:val="center"/>
        </w:trPr>
        <w:tc>
          <w:tcPr>
            <w:tcW w:w="2210" w:type="pct"/>
            <w:vAlign w:val="center"/>
          </w:tcPr>
          <w:p w:rsidR="00EB08C6" w:rsidRPr="00B63D34" w:rsidRDefault="00EB08C6" w:rsidP="008236C1">
            <w:pPr>
              <w:pStyle w:val="FRTableNumbering"/>
            </w:pPr>
            <w:r w:rsidRPr="00332354">
              <w:t>1.</w:t>
            </w:r>
            <w:r w:rsidRPr="00332354">
              <w:tab/>
              <w:t>The MeterVision 20/20 project has the necessary project management performance measures.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E319FB">
            <w:pPr>
              <w:spacing w:after="0"/>
              <w:jc w:val="left"/>
            </w:pPr>
            <w:r>
              <w:rPr>
                <w:b/>
              </w:rPr>
              <w:t xml:space="preserve">IX-F – </w:t>
            </w:r>
            <w:r w:rsidRPr="00C45B58">
              <w:rPr>
                <w:b/>
              </w:rPr>
              <w:t>Revenue Operations</w:t>
            </w:r>
          </w:p>
        </w:tc>
      </w:tr>
      <w:tr w:rsidR="00EB08C6" w:rsidRPr="00B63D34" w:rsidTr="000D142C">
        <w:trPr>
          <w:cantSplit/>
          <w:trHeight w:val="1263"/>
          <w:jc w:val="center"/>
        </w:trPr>
        <w:tc>
          <w:tcPr>
            <w:tcW w:w="2210" w:type="pct"/>
            <w:vAlign w:val="center"/>
          </w:tcPr>
          <w:p w:rsidR="00EB08C6" w:rsidRPr="00B63D34" w:rsidRDefault="00EB08C6" w:rsidP="008236C1">
            <w:pPr>
              <w:pStyle w:val="FRTableNumbering"/>
            </w:pPr>
            <w:r w:rsidRPr="00332354">
              <w:t>1.</w:t>
            </w:r>
            <w:r w:rsidRPr="00332354">
              <w:tab/>
              <w:t>The reduction in Metering Operations Supervisors has increased the challenges of managing the field employees.</w:t>
            </w:r>
          </w:p>
        </w:tc>
        <w:tc>
          <w:tcPr>
            <w:tcW w:w="2133" w:type="pct"/>
            <w:gridSpan w:val="2"/>
            <w:vAlign w:val="center"/>
          </w:tcPr>
          <w:p w:rsidR="00EB08C6" w:rsidRPr="00B63D34" w:rsidRDefault="00EB08C6" w:rsidP="008236C1">
            <w:pPr>
              <w:pStyle w:val="FRTableNumbering"/>
            </w:pPr>
            <w:r w:rsidRPr="00332354">
              <w:t>1.</w:t>
            </w:r>
            <w:r w:rsidRPr="00332354">
              <w:tab/>
              <w:t>Merge the Metering Operations and Revenue Protection functions to improve performance and reduce O&amp;M costs. (See Findings 1, 2 ,3, and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83"/>
          <w:jc w:val="center"/>
        </w:trPr>
        <w:tc>
          <w:tcPr>
            <w:tcW w:w="2210" w:type="pct"/>
            <w:vAlign w:val="center"/>
          </w:tcPr>
          <w:p w:rsidR="00EB08C6" w:rsidRPr="00B63D34" w:rsidRDefault="00EB08C6" w:rsidP="008236C1">
            <w:pPr>
              <w:pStyle w:val="FRTableNumbering"/>
            </w:pPr>
            <w:r w:rsidRPr="00332354">
              <w:t>2.</w:t>
            </w:r>
            <w:r w:rsidRPr="00332354">
              <w:tab/>
              <w:t>Revenue Protection does not consistently report work management performance metrics, targets, and unit costs.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332354">
              <w:t>3.</w:t>
            </w:r>
            <w:r w:rsidRPr="00332354">
              <w:tab/>
              <w:t>Revenue Protection processing of Large Power metering in</w:t>
            </w:r>
            <w:r>
              <w:t xml:space="preserve">stallations is paper-intensive </w:t>
            </w:r>
            <w:r w:rsidRPr="00332354">
              <w:t>and has led to billing problems and lost revenues.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332354">
              <w:t>4.</w:t>
            </w:r>
            <w:r w:rsidRPr="00332354">
              <w:tab/>
              <w:t>Revenue Protection has neither revenue losses nor revenue recovery performance metrics associated with theft of service and other non-billed losses.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332354">
              <w:lastRenderedPageBreak/>
              <w:t>5.</w:t>
            </w:r>
            <w:r w:rsidRPr="00332354">
              <w:tab/>
              <w:t>The reporting and presentation of billing performance metrics have not improved over the last three years and do not adequately focus on errors.</w:t>
            </w:r>
          </w:p>
        </w:tc>
        <w:tc>
          <w:tcPr>
            <w:tcW w:w="2133" w:type="pct"/>
            <w:gridSpan w:val="2"/>
            <w:vAlign w:val="center"/>
          </w:tcPr>
          <w:p w:rsidR="00EB08C6" w:rsidRPr="00B63D34" w:rsidRDefault="00EB08C6" w:rsidP="008236C1">
            <w:pPr>
              <w:pStyle w:val="FRTableNumbering"/>
            </w:pPr>
            <w:r>
              <w:t>2</w:t>
            </w:r>
            <w:r w:rsidRPr="00332354">
              <w:t>.</w:t>
            </w:r>
            <w:r w:rsidRPr="00332354">
              <w:tab/>
              <w:t>Modify billing metrics to focus attention on error rates instead of billing achievement rates.  (See Finding 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332354">
              <w:t>6.</w:t>
            </w:r>
            <w:r w:rsidRPr="00332354">
              <w:tab/>
              <w:t>The paper bill delivery and mailing process is cumbersome and not as efficient as it could be.</w:t>
            </w:r>
          </w:p>
        </w:tc>
        <w:tc>
          <w:tcPr>
            <w:tcW w:w="2133" w:type="pct"/>
            <w:gridSpan w:val="2"/>
            <w:vAlign w:val="center"/>
          </w:tcPr>
          <w:p w:rsidR="00EB08C6" w:rsidRPr="00B63D34" w:rsidRDefault="00EB08C6" w:rsidP="008236C1">
            <w:pPr>
              <w:pStyle w:val="FRTableNumbering"/>
            </w:pPr>
            <w:r>
              <w:t>3.</w:t>
            </w:r>
            <w:r w:rsidRPr="00332354">
              <w:tab/>
              <w:t>Analyze the bill printing practices for opportunities to improve efficiencies and reduce costs.  (See Finding 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714"/>
          <w:jc w:val="center"/>
        </w:trPr>
        <w:tc>
          <w:tcPr>
            <w:tcW w:w="2210" w:type="pct"/>
            <w:vAlign w:val="center"/>
          </w:tcPr>
          <w:p w:rsidR="00EB08C6" w:rsidRPr="00B63D34" w:rsidRDefault="00EB08C6" w:rsidP="008236C1">
            <w:pPr>
              <w:pStyle w:val="FRTableNumbering"/>
            </w:pPr>
            <w:r w:rsidRPr="00332354">
              <w:t>7.</w:t>
            </w:r>
            <w:r w:rsidRPr="00332354">
              <w:tab/>
              <w:t>The contracts with two credit vendors do not include performance metrics.</w:t>
            </w:r>
          </w:p>
        </w:tc>
        <w:tc>
          <w:tcPr>
            <w:tcW w:w="2133" w:type="pct"/>
            <w:gridSpan w:val="2"/>
            <w:vAlign w:val="center"/>
          </w:tcPr>
          <w:p w:rsidR="00EB08C6" w:rsidRPr="00B63D34" w:rsidRDefault="00EB08C6" w:rsidP="008236C1">
            <w:pPr>
              <w:pStyle w:val="FRTableNumbering"/>
            </w:pPr>
            <w:r w:rsidRPr="00332354">
              <w:t>4.</w:t>
            </w:r>
            <w:r w:rsidRPr="00332354">
              <w:tab/>
              <w:t>Amend, update, or renegotiate the contracts with the two credit contractors to include service level agreements and performance metrics.  (See Finding 7)</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t>8</w:t>
            </w:r>
            <w:r w:rsidRPr="00332354">
              <w:t>.</w:t>
            </w:r>
            <w:r w:rsidRPr="00332354">
              <w:tab/>
              <w:t xml:space="preserve">C&amp;C </w:t>
            </w:r>
            <w:proofErr w:type="gramStart"/>
            <w:r w:rsidRPr="00332354">
              <w:t>manages</w:t>
            </w:r>
            <w:proofErr w:type="gramEnd"/>
            <w:r w:rsidRPr="00332354">
              <w:t xml:space="preserve"> the performance of its collections agencies using comprehensive and detailed metrics.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13"/>
          <w:jc w:val="center"/>
        </w:trPr>
        <w:tc>
          <w:tcPr>
            <w:tcW w:w="2210" w:type="pct"/>
            <w:vAlign w:val="center"/>
          </w:tcPr>
          <w:p w:rsidR="00EB08C6" w:rsidRPr="00B63D34" w:rsidRDefault="00EB08C6" w:rsidP="008236C1">
            <w:pPr>
              <w:pStyle w:val="FRTableNumbering"/>
            </w:pPr>
            <w:r w:rsidRPr="00332354">
              <w:t>9.</w:t>
            </w:r>
            <w:r w:rsidRPr="00332354">
              <w:tab/>
              <w:t>Over a multi-year period, net write-offs have grown significantly.</w:t>
            </w:r>
          </w:p>
        </w:tc>
        <w:tc>
          <w:tcPr>
            <w:tcW w:w="2133" w:type="pct"/>
            <w:gridSpan w:val="2"/>
            <w:vAlign w:val="center"/>
          </w:tcPr>
          <w:p w:rsidR="00EB08C6" w:rsidRPr="00B63D34" w:rsidRDefault="00EB08C6" w:rsidP="008236C1">
            <w:pPr>
              <w:pStyle w:val="FRTableNumbering"/>
            </w:pPr>
            <w:r w:rsidRPr="00332354">
              <w:t>5.</w:t>
            </w:r>
            <w:r w:rsidRPr="00332354">
              <w:tab/>
              <w:t>Take actions to reduce the growth in net write-offs.  (Findings 9 and 10)</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60"/>
          <w:jc w:val="center"/>
        </w:trPr>
        <w:tc>
          <w:tcPr>
            <w:tcW w:w="2210" w:type="pct"/>
            <w:tcBorders>
              <w:bottom w:val="single" w:sz="12" w:space="0" w:color="auto"/>
            </w:tcBorders>
            <w:vAlign w:val="center"/>
          </w:tcPr>
          <w:p w:rsidR="00EB08C6" w:rsidRPr="00B63D34" w:rsidRDefault="00EB08C6" w:rsidP="008236C1">
            <w:pPr>
              <w:pStyle w:val="FRTableNumbering"/>
            </w:pPr>
            <w:r w:rsidRPr="00332354">
              <w:t>10.</w:t>
            </w:r>
            <w:r w:rsidRPr="00332354">
              <w:tab/>
              <w:t>Credit and Collections-related performance indicators show that actions are being taken to reduce accounts receivable and drive more dollars to be written off, but do not address the mitigation of the significant increases in net write-offs.</w:t>
            </w:r>
          </w:p>
        </w:tc>
        <w:tc>
          <w:tcPr>
            <w:tcW w:w="2133" w:type="pct"/>
            <w:gridSpan w:val="2"/>
            <w:tcBorders>
              <w:bottom w:val="single" w:sz="12" w:space="0" w:color="auto"/>
            </w:tcBorders>
            <w:vAlign w:val="center"/>
          </w:tcPr>
          <w:p w:rsidR="00EB08C6" w:rsidRPr="00B63D34" w:rsidRDefault="00EB08C6" w:rsidP="008236C1">
            <w:pPr>
              <w:pStyle w:val="FRTableNumbering"/>
            </w:pPr>
          </w:p>
        </w:tc>
        <w:tc>
          <w:tcPr>
            <w:tcW w:w="656" w:type="pct"/>
            <w:gridSpan w:val="2"/>
            <w:tcBorders>
              <w:bottom w:val="single" w:sz="12" w:space="0" w:color="auto"/>
            </w:tcBorders>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0D142C">
            <w:pPr>
              <w:spacing w:after="0"/>
              <w:jc w:val="left"/>
            </w:pPr>
            <w:r>
              <w:rPr>
                <w:b/>
              </w:rPr>
              <w:t>Chapter X – Customer Assistance Programs</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X-A –</w:t>
            </w:r>
            <w:r w:rsidRPr="00ED3E2B">
              <w:rPr>
                <w:b/>
              </w:rPr>
              <w:t xml:space="preserve">OnTrack </w:t>
            </w:r>
            <w:r>
              <w:rPr>
                <w:b/>
              </w:rPr>
              <w:t>Program Overview</w:t>
            </w:r>
          </w:p>
        </w:tc>
      </w:tr>
      <w:tr w:rsidR="00EB08C6" w:rsidRPr="00B63D34" w:rsidTr="000D142C">
        <w:trPr>
          <w:cantSplit/>
          <w:trHeight w:val="384"/>
          <w:jc w:val="center"/>
        </w:trPr>
        <w:tc>
          <w:tcPr>
            <w:tcW w:w="2210" w:type="pct"/>
            <w:vAlign w:val="center"/>
          </w:tcPr>
          <w:p w:rsidR="00EB08C6" w:rsidRPr="00ED3E2B" w:rsidRDefault="00EB08C6" w:rsidP="008236C1">
            <w:pPr>
              <w:spacing w:after="0"/>
              <w:jc w:val="left"/>
            </w:pPr>
            <w:r>
              <w:t>None</w:t>
            </w:r>
          </w:p>
        </w:tc>
        <w:tc>
          <w:tcPr>
            <w:tcW w:w="2133" w:type="pct"/>
            <w:gridSpan w:val="2"/>
            <w:vAlign w:val="center"/>
          </w:tcPr>
          <w:p w:rsidR="00EB08C6" w:rsidRPr="00ED3E2B" w:rsidRDefault="00EB08C6" w:rsidP="008236C1">
            <w:pPr>
              <w:spacing w:after="0"/>
              <w:jc w:val="left"/>
            </w:pPr>
            <w:r>
              <w:t>None</w:t>
            </w:r>
          </w:p>
        </w:tc>
        <w:tc>
          <w:tcPr>
            <w:tcW w:w="656" w:type="pct"/>
            <w:gridSpan w:val="2"/>
            <w:vAlign w:val="center"/>
          </w:tcPr>
          <w:p w:rsidR="00EB08C6" w:rsidRPr="00ED3E2B" w:rsidRDefault="00EB08C6" w:rsidP="008236C1">
            <w:pPr>
              <w:spacing w:after="0"/>
              <w:jc w:val="left"/>
            </w:pP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X-B – </w:t>
            </w:r>
            <w:r w:rsidRPr="00C45B58">
              <w:rPr>
                <w:b/>
              </w:rPr>
              <w:t>OnTrack Program Processes</w:t>
            </w:r>
          </w:p>
        </w:tc>
      </w:tr>
      <w:tr w:rsidR="00EB08C6" w:rsidRPr="00B63D34" w:rsidTr="000D142C">
        <w:trPr>
          <w:cantSplit/>
          <w:trHeight w:val="225"/>
          <w:jc w:val="center"/>
        </w:trPr>
        <w:tc>
          <w:tcPr>
            <w:tcW w:w="2210" w:type="pct"/>
            <w:vAlign w:val="center"/>
          </w:tcPr>
          <w:p w:rsidR="00EB08C6" w:rsidRPr="00B63D34" w:rsidRDefault="00EB08C6" w:rsidP="008236C1">
            <w:pPr>
              <w:pStyle w:val="FRTableNumbering"/>
            </w:pPr>
            <w:r w:rsidRPr="00177B19">
              <w:t>1.</w:t>
            </w:r>
            <w:r w:rsidRPr="00177B19">
              <w:tab/>
              <w:t>PPL EU, unlike some other Pennsylvania utilities with a CAP, does not take OnTrack phone applications.</w:t>
            </w:r>
          </w:p>
        </w:tc>
        <w:tc>
          <w:tcPr>
            <w:tcW w:w="2133" w:type="pct"/>
            <w:gridSpan w:val="2"/>
            <w:vAlign w:val="center"/>
          </w:tcPr>
          <w:p w:rsidR="00EB08C6" w:rsidRPr="00B63D34" w:rsidRDefault="00EB08C6" w:rsidP="008236C1">
            <w:pPr>
              <w:pStyle w:val="FRTableNumbering"/>
            </w:pPr>
            <w:r w:rsidRPr="00177B19">
              <w:t>1.</w:t>
            </w:r>
            <w:r w:rsidRPr="00177B19">
              <w:tab/>
              <w:t>Accelerate the evaluation of the system changes and other implementation requirements that are needed to have phone agents enroll customers in OnTrack.  (See Finding 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225"/>
          <w:jc w:val="center"/>
        </w:trPr>
        <w:tc>
          <w:tcPr>
            <w:tcW w:w="2210" w:type="pct"/>
            <w:vAlign w:val="center"/>
          </w:tcPr>
          <w:p w:rsidR="00EB08C6" w:rsidRPr="00B63D34" w:rsidRDefault="00EB08C6" w:rsidP="008236C1">
            <w:pPr>
              <w:pStyle w:val="FRTableNumbering"/>
            </w:pPr>
            <w:r w:rsidRPr="00177B19">
              <w:lastRenderedPageBreak/>
              <w:t>2.</w:t>
            </w:r>
            <w:r w:rsidRPr="00177B19">
              <w:tab/>
              <w:t>The validation of pre-enrollment, post-enrollment, and recertification of income eligibility is labor intensive, often cumbersome, and there is a potential for fraud.</w:t>
            </w:r>
          </w:p>
        </w:tc>
        <w:tc>
          <w:tcPr>
            <w:tcW w:w="2133" w:type="pct"/>
            <w:gridSpan w:val="2"/>
            <w:vAlign w:val="center"/>
          </w:tcPr>
          <w:p w:rsidR="00EB08C6" w:rsidRPr="00B63D34" w:rsidRDefault="00EB08C6" w:rsidP="008236C1">
            <w:pPr>
              <w:pStyle w:val="FRTableNumbering"/>
            </w:pPr>
            <w:r w:rsidRPr="00177B19">
              <w:t>2.</w:t>
            </w:r>
            <w:r w:rsidRPr="00177B19">
              <w:tab/>
              <w:t>Continue to explore methods to streamline and reduce fraud risk from the OnTrack household income validation process and then expedite implementation of the improvements.  (See Finding 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741"/>
          <w:jc w:val="center"/>
        </w:trPr>
        <w:tc>
          <w:tcPr>
            <w:tcW w:w="2210" w:type="pct"/>
            <w:vAlign w:val="center"/>
          </w:tcPr>
          <w:p w:rsidR="00EB08C6" w:rsidRPr="00B63D34" w:rsidRDefault="00EB08C6" w:rsidP="008236C1">
            <w:pPr>
              <w:pStyle w:val="FRTableNumbering"/>
            </w:pPr>
            <w:r w:rsidRPr="00177B19">
              <w:t>3.</w:t>
            </w:r>
            <w:r w:rsidRPr="00177B19">
              <w:tab/>
              <w:t>Changes in post-enrollment energy consumption could affect eligibility but the reasons for the changes are difficult to discover and analyze.</w:t>
            </w:r>
          </w:p>
        </w:tc>
        <w:tc>
          <w:tcPr>
            <w:tcW w:w="2133" w:type="pct"/>
            <w:gridSpan w:val="2"/>
            <w:vAlign w:val="center"/>
          </w:tcPr>
          <w:p w:rsidR="00EB08C6" w:rsidRPr="00B63D34" w:rsidRDefault="00EB08C6" w:rsidP="008236C1">
            <w:pPr>
              <w:pStyle w:val="FRTableNumbering"/>
            </w:pPr>
            <w:r w:rsidRPr="00177B19">
              <w:t>3.</w:t>
            </w:r>
            <w:r w:rsidRPr="00177B19">
              <w:tab/>
              <w:t>Implement improvements that will enable PPL EU and its OnTrack agencies to simplify the electricity usage criterion for the eligibility and re-certification processes.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768"/>
          <w:jc w:val="center"/>
        </w:trPr>
        <w:tc>
          <w:tcPr>
            <w:tcW w:w="2210" w:type="pct"/>
            <w:vAlign w:val="center"/>
          </w:tcPr>
          <w:p w:rsidR="00EB08C6" w:rsidRPr="00B63D34" w:rsidRDefault="00EB08C6" w:rsidP="008236C1">
            <w:pPr>
              <w:pStyle w:val="FRTableNumbering"/>
            </w:pPr>
            <w:r w:rsidRPr="00177B19">
              <w:t>4.</w:t>
            </w:r>
            <w:r w:rsidRPr="00177B19">
              <w:tab/>
              <w:t>Regulatory Programs has been examining two OnTrack process improvement options, one “low tech” and the other “high tech.”</w:t>
            </w:r>
          </w:p>
        </w:tc>
        <w:tc>
          <w:tcPr>
            <w:tcW w:w="2133" w:type="pct"/>
            <w:gridSpan w:val="2"/>
            <w:vAlign w:val="center"/>
          </w:tcPr>
          <w:p w:rsidR="00EB08C6" w:rsidRPr="00B63D34" w:rsidRDefault="00EB08C6" w:rsidP="008236C1">
            <w:pPr>
              <w:pStyle w:val="FRTableNumbering"/>
            </w:pPr>
            <w:r w:rsidRPr="00177B19">
              <w:t>4.</w:t>
            </w:r>
            <w:r w:rsidRPr="00177B19">
              <w:tab/>
              <w:t>Implement a Low-Income Energy Assistance Programs (LEAP)-type system to streamline the OnTrack referral and enrollment processes.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X-C – </w:t>
            </w:r>
            <w:r w:rsidRPr="00ED3E2B">
              <w:rPr>
                <w:b/>
              </w:rPr>
              <w:t>PPL EU OnTrack Organization, Staffing, and Functions</w:t>
            </w:r>
          </w:p>
        </w:tc>
      </w:tr>
      <w:tr w:rsidR="00EB08C6" w:rsidRPr="00B63D34" w:rsidTr="000D142C">
        <w:trPr>
          <w:cantSplit/>
          <w:trHeight w:val="1164"/>
          <w:jc w:val="center"/>
        </w:trPr>
        <w:tc>
          <w:tcPr>
            <w:tcW w:w="2210" w:type="pct"/>
            <w:vAlign w:val="center"/>
          </w:tcPr>
          <w:p w:rsidR="00EB08C6" w:rsidRPr="00B63D34" w:rsidRDefault="00EB08C6" w:rsidP="008236C1">
            <w:pPr>
              <w:pStyle w:val="FRTableNumbering"/>
            </w:pPr>
            <w:r w:rsidRPr="00177B19">
              <w:t>1.</w:t>
            </w:r>
            <w:r w:rsidRPr="00177B19">
              <w:tab/>
              <w:t>Regulatory Programs does not have sufficient staff resources to effectively and efficiently manage the OnTrack program.</w:t>
            </w:r>
          </w:p>
        </w:tc>
        <w:tc>
          <w:tcPr>
            <w:tcW w:w="2133" w:type="pct"/>
            <w:gridSpan w:val="2"/>
            <w:vAlign w:val="center"/>
          </w:tcPr>
          <w:p w:rsidR="00EB08C6" w:rsidRPr="00B63D34" w:rsidRDefault="00EB08C6" w:rsidP="008236C1">
            <w:pPr>
              <w:pStyle w:val="FRTableNumbering"/>
            </w:pPr>
            <w:r w:rsidRPr="00177B19">
              <w:t>1.</w:t>
            </w:r>
            <w:r w:rsidRPr="00177B19">
              <w:tab/>
              <w:t>Re-evaluate the staff resources that are dedicated to and support the OnTrack program.  (See Finding 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X-D – </w:t>
            </w:r>
            <w:r w:rsidRPr="00E56AD9">
              <w:rPr>
                <w:b/>
              </w:rPr>
              <w:t>OnTrack Agency Staffing and Functions</w:t>
            </w:r>
          </w:p>
        </w:tc>
      </w:tr>
      <w:tr w:rsidR="00EB08C6" w:rsidRPr="00B63D34" w:rsidTr="000D142C">
        <w:trPr>
          <w:cantSplit/>
          <w:trHeight w:val="144"/>
          <w:jc w:val="center"/>
        </w:trPr>
        <w:tc>
          <w:tcPr>
            <w:tcW w:w="2210" w:type="pct"/>
            <w:vAlign w:val="center"/>
          </w:tcPr>
          <w:p w:rsidR="00EB08C6" w:rsidRPr="00B63D34" w:rsidRDefault="00EB08C6" w:rsidP="008236C1">
            <w:pPr>
              <w:pStyle w:val="FRTableNumbering"/>
            </w:pPr>
            <w:r w:rsidRPr="00177B19">
              <w:t>1.</w:t>
            </w:r>
            <w:r w:rsidRPr="00177B19">
              <w:tab/>
              <w:t>Payments to OnTrack agencies have increased while the number of caseworkers has decreased, causing a significant rise in cost per caseworker.</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8"/>
          <w:jc w:val="center"/>
        </w:trPr>
        <w:tc>
          <w:tcPr>
            <w:tcW w:w="2210" w:type="pct"/>
            <w:vAlign w:val="center"/>
          </w:tcPr>
          <w:p w:rsidR="00EB08C6" w:rsidRPr="00B63D34" w:rsidRDefault="00EB08C6" w:rsidP="008236C1">
            <w:pPr>
              <w:pStyle w:val="FRTableNumbering"/>
            </w:pPr>
            <w:r w:rsidRPr="00177B19">
              <w:t>2.</w:t>
            </w:r>
            <w:r w:rsidRPr="00177B19">
              <w:tab/>
              <w:t>The productivity of OnTrack agency caseworkers has been improving.</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8"/>
          <w:jc w:val="center"/>
        </w:trPr>
        <w:tc>
          <w:tcPr>
            <w:tcW w:w="2210" w:type="pct"/>
            <w:vAlign w:val="center"/>
          </w:tcPr>
          <w:p w:rsidR="00EB08C6" w:rsidRPr="00B63D34" w:rsidRDefault="00EB08C6" w:rsidP="008236C1">
            <w:pPr>
              <w:pStyle w:val="FRTableNumbering"/>
            </w:pPr>
            <w:r w:rsidRPr="00177B19">
              <w:t>3.</w:t>
            </w:r>
            <w:r w:rsidRPr="00177B19">
              <w:tab/>
              <w:t>The OnTrack enrollment metrics do not accurately capture related costs or reflect agency performance.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8"/>
          <w:jc w:val="center"/>
        </w:trPr>
        <w:tc>
          <w:tcPr>
            <w:tcW w:w="2210" w:type="pct"/>
            <w:vAlign w:val="center"/>
          </w:tcPr>
          <w:p w:rsidR="00EB08C6" w:rsidRPr="00B63D34" w:rsidRDefault="00EB08C6" w:rsidP="008236C1">
            <w:pPr>
              <w:pStyle w:val="FRTableNumbering"/>
            </w:pPr>
            <w:r w:rsidRPr="00177B19">
              <w:lastRenderedPageBreak/>
              <w:t>4.</w:t>
            </w:r>
            <w:r w:rsidRPr="00177B19">
              <w:tab/>
              <w:t>The number of potentially eligible customers for OnTrack varies significantly depending on the estimation approach.</w:t>
            </w:r>
          </w:p>
        </w:tc>
        <w:tc>
          <w:tcPr>
            <w:tcW w:w="2133" w:type="pct"/>
            <w:gridSpan w:val="2"/>
            <w:vAlign w:val="center"/>
          </w:tcPr>
          <w:p w:rsidR="00EB08C6" w:rsidRPr="00B63D34" w:rsidRDefault="00EB08C6" w:rsidP="008236C1">
            <w:pPr>
              <w:pStyle w:val="FRTableNumbering"/>
            </w:pPr>
            <w:r>
              <w:t>1</w:t>
            </w:r>
            <w:r w:rsidRPr="007E1F0D">
              <w:t>.</w:t>
            </w:r>
            <w:r w:rsidRPr="007E1F0D">
              <w:tab/>
              <w:t>Set OnTrack enrollment targets for the agencies that are based on a more rigorous and analytical estimation process of the universe of eligible customers.  (See Findings 4 and 6)</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138"/>
          <w:jc w:val="center"/>
        </w:trPr>
        <w:tc>
          <w:tcPr>
            <w:tcW w:w="2210" w:type="pct"/>
            <w:vAlign w:val="center"/>
          </w:tcPr>
          <w:p w:rsidR="00EB08C6" w:rsidRPr="00B63D34" w:rsidRDefault="00EB08C6" w:rsidP="008236C1">
            <w:pPr>
              <w:pStyle w:val="FRTableNumbering"/>
            </w:pPr>
            <w:r w:rsidRPr="00177B19">
              <w:t>5.</w:t>
            </w:r>
            <w:r w:rsidRPr="00177B19">
              <w:tab/>
              <w:t>Despite decreases in agency staffing levels and increasing enrollment workload, it is not evident that each agency is optimizing staffing levels to meet OnTrack objectives or that PPL EU is receiving cost-effective performance.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8"/>
          <w:jc w:val="center"/>
        </w:trPr>
        <w:tc>
          <w:tcPr>
            <w:tcW w:w="2210" w:type="pct"/>
            <w:vAlign w:val="center"/>
          </w:tcPr>
          <w:p w:rsidR="00EB08C6" w:rsidRPr="00B63D34" w:rsidRDefault="00EB08C6" w:rsidP="002A383A">
            <w:pPr>
              <w:pStyle w:val="FRTableNumbering"/>
            </w:pPr>
            <w:r w:rsidRPr="00177B19">
              <w:t>6.</w:t>
            </w:r>
            <w:r w:rsidRPr="00177B19">
              <w:tab/>
              <w:t xml:space="preserve">OnTrack enrollments are Customer Services’ primary metric for assessing program and agency performance and, by </w:t>
            </w:r>
            <w:r w:rsidR="002A383A">
              <w:t>themselves</w:t>
            </w:r>
            <w:r w:rsidRPr="00177B19">
              <w:t xml:space="preserve">, </w:t>
            </w:r>
            <w:r w:rsidR="002A383A">
              <w:t>are</w:t>
            </w:r>
            <w:r w:rsidRPr="00177B19">
              <w:t xml:space="preserve"> inadequate.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993"/>
          <w:jc w:val="center"/>
        </w:trPr>
        <w:tc>
          <w:tcPr>
            <w:tcW w:w="2210" w:type="pct"/>
            <w:vAlign w:val="center"/>
          </w:tcPr>
          <w:p w:rsidR="00EB08C6" w:rsidRPr="00B63D34" w:rsidRDefault="00EB08C6" w:rsidP="008236C1">
            <w:pPr>
              <w:pStyle w:val="FRTableNumbering"/>
            </w:pPr>
            <w:r w:rsidRPr="00177B19">
              <w:t>7.</w:t>
            </w:r>
            <w:r w:rsidRPr="00177B19">
              <w:tab/>
              <w:t>PPL EU relies on too many community-based agencies to administer its OnTrack program.</w:t>
            </w:r>
          </w:p>
        </w:tc>
        <w:tc>
          <w:tcPr>
            <w:tcW w:w="2133" w:type="pct"/>
            <w:gridSpan w:val="2"/>
            <w:vAlign w:val="center"/>
          </w:tcPr>
          <w:p w:rsidR="00EB08C6" w:rsidRPr="00B63D34" w:rsidRDefault="00EB08C6" w:rsidP="008236C1">
            <w:pPr>
              <w:pStyle w:val="FRTableNumbering"/>
            </w:pPr>
            <w:r w:rsidRPr="007E1F0D">
              <w:t>2.</w:t>
            </w:r>
            <w:r w:rsidRPr="007E1F0D">
              <w:tab/>
              <w:t>Reduce the number of existing OnTrack agencies to improve cost effectiveness and performance management of the enrollment and recertification process.  (See Finding 7)</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1696"/>
          <w:jc w:val="center"/>
        </w:trPr>
        <w:tc>
          <w:tcPr>
            <w:tcW w:w="2210" w:type="pct"/>
            <w:vAlign w:val="center"/>
          </w:tcPr>
          <w:p w:rsidR="00EB08C6" w:rsidRPr="00B63D34" w:rsidRDefault="00EB08C6" w:rsidP="008236C1">
            <w:pPr>
              <w:pStyle w:val="FRTableNumbering"/>
            </w:pPr>
            <w:r w:rsidRPr="00177B19">
              <w:t>8.</w:t>
            </w:r>
            <w:r w:rsidRPr="00177B19">
              <w:tab/>
              <w:t>PPL EU has given too much discretion and flexibility to the OnTrack agencies in handling the program.</w:t>
            </w:r>
          </w:p>
        </w:tc>
        <w:tc>
          <w:tcPr>
            <w:tcW w:w="2133" w:type="pct"/>
            <w:gridSpan w:val="2"/>
            <w:vAlign w:val="center"/>
          </w:tcPr>
          <w:p w:rsidR="00EB08C6" w:rsidRPr="00B63D34" w:rsidRDefault="00EB08C6" w:rsidP="008236C1">
            <w:pPr>
              <w:pStyle w:val="FRTableNumbering"/>
            </w:pPr>
            <w:r>
              <w:t>3</w:t>
            </w:r>
            <w:r w:rsidRPr="007E1F0D">
              <w:t>.</w:t>
            </w:r>
            <w:r w:rsidRPr="007E1F0D">
              <w:tab/>
              <w:t xml:space="preserve">Establish standard work processes and </w:t>
            </w:r>
            <w:proofErr w:type="gramStart"/>
            <w:r w:rsidRPr="007E1F0D">
              <w:t>practices,</w:t>
            </w:r>
            <w:proofErr w:type="gramEnd"/>
            <w:r w:rsidRPr="007E1F0D">
              <w:t xml:space="preserve"> ensure adequate supervisory performance, and require standardized training standards.  (See Finding 8)</w:t>
            </w:r>
          </w:p>
        </w:tc>
        <w:tc>
          <w:tcPr>
            <w:tcW w:w="656" w:type="pct"/>
            <w:gridSpan w:val="2"/>
            <w:vAlign w:val="center"/>
          </w:tcPr>
          <w:p w:rsidR="00EB08C6" w:rsidRPr="00B63D34" w:rsidRDefault="00EB08C6" w:rsidP="008236C1">
            <w:pPr>
              <w:spacing w:after="0"/>
              <w:jc w:val="center"/>
            </w:pPr>
            <w:r>
              <w:t xml:space="preserve">Medium </w:t>
            </w:r>
          </w:p>
        </w:tc>
      </w:tr>
      <w:tr w:rsidR="00EB08C6" w:rsidRPr="00B63D34" w:rsidTr="000D142C">
        <w:trPr>
          <w:cantSplit/>
          <w:trHeight w:val="384"/>
          <w:jc w:val="center"/>
        </w:trPr>
        <w:tc>
          <w:tcPr>
            <w:tcW w:w="5000" w:type="pct"/>
            <w:gridSpan w:val="5"/>
            <w:vAlign w:val="center"/>
          </w:tcPr>
          <w:p w:rsidR="00EB08C6" w:rsidRPr="00B63D34" w:rsidRDefault="00EB08C6" w:rsidP="000D142C">
            <w:pPr>
              <w:spacing w:after="0"/>
              <w:jc w:val="left"/>
            </w:pPr>
            <w:r>
              <w:rPr>
                <w:b/>
              </w:rPr>
              <w:t xml:space="preserve">X-E – </w:t>
            </w:r>
            <w:r w:rsidRPr="00512613">
              <w:rPr>
                <w:b/>
              </w:rPr>
              <w:t>OnTrack Agency Contracting and Contract Management</w:t>
            </w:r>
          </w:p>
        </w:tc>
      </w:tr>
      <w:tr w:rsidR="00EB08C6" w:rsidRPr="00B63D34" w:rsidTr="000D142C">
        <w:trPr>
          <w:cantSplit/>
          <w:trHeight w:val="345"/>
          <w:jc w:val="center"/>
        </w:trPr>
        <w:tc>
          <w:tcPr>
            <w:tcW w:w="2210" w:type="pct"/>
            <w:vAlign w:val="center"/>
          </w:tcPr>
          <w:p w:rsidR="00EB08C6" w:rsidRPr="00B63D34" w:rsidRDefault="00EB08C6" w:rsidP="008236C1">
            <w:pPr>
              <w:pStyle w:val="FRTableNumbering"/>
            </w:pPr>
            <w:r w:rsidRPr="00E658C9">
              <w:t>1.</w:t>
            </w:r>
            <w:r w:rsidRPr="00E658C9">
              <w:tab/>
              <w:t>PPL EU allowed two of its agency contracts to expire without a plan for extension, renegotiation, or initiation of a bidding process.</w:t>
            </w:r>
          </w:p>
        </w:tc>
        <w:tc>
          <w:tcPr>
            <w:tcW w:w="2133" w:type="pct"/>
            <w:gridSpan w:val="2"/>
            <w:vAlign w:val="center"/>
          </w:tcPr>
          <w:p w:rsidR="00EB08C6" w:rsidRPr="00B63D34" w:rsidRDefault="00EB08C6" w:rsidP="008236C1">
            <w:pPr>
              <w:pStyle w:val="FRTableNumbering"/>
            </w:pPr>
            <w:r w:rsidRPr="00E658C9">
              <w:t>1.</w:t>
            </w:r>
            <w:r w:rsidRPr="00E658C9">
              <w:tab/>
              <w:t>Improve OnTrack outsourcing processes and decisions.  (See Findings 1, 2 and 3)</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45"/>
          <w:jc w:val="center"/>
        </w:trPr>
        <w:tc>
          <w:tcPr>
            <w:tcW w:w="2210" w:type="pct"/>
            <w:vAlign w:val="center"/>
          </w:tcPr>
          <w:p w:rsidR="00EB08C6" w:rsidRPr="00B63D34" w:rsidRDefault="00EB08C6" w:rsidP="008236C1">
            <w:pPr>
              <w:pStyle w:val="FRTableNumbering"/>
            </w:pPr>
            <w:r w:rsidRPr="00E658C9">
              <w:lastRenderedPageBreak/>
              <w:t>2.</w:t>
            </w:r>
            <w:r w:rsidRPr="00E658C9">
              <w:tab/>
              <w:t>PPL EU has not comprehensively reassessed its decision to outsource its OnTrack program to the original community-based agencies.</w:t>
            </w:r>
          </w:p>
        </w:tc>
        <w:tc>
          <w:tcPr>
            <w:tcW w:w="2133" w:type="pct"/>
            <w:gridSpan w:val="2"/>
            <w:vAlign w:val="center"/>
          </w:tcPr>
          <w:p w:rsidR="00EB08C6" w:rsidRPr="00B63D34" w:rsidRDefault="00EB08C6" w:rsidP="008236C1">
            <w:pPr>
              <w:pStyle w:val="FRTableNumbering"/>
            </w:pPr>
            <w:r w:rsidRPr="00E658C9">
              <w:t>2.</w:t>
            </w:r>
            <w:r w:rsidRPr="00E658C9">
              <w:tab/>
              <w:t>Develop a more coordinated, structured, and consistent strategy for ongoing and future OnTrack contracting practices and contract and performance management.  (See Findings 1 and 2)</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345"/>
          <w:jc w:val="center"/>
        </w:trPr>
        <w:tc>
          <w:tcPr>
            <w:tcW w:w="2210" w:type="pct"/>
            <w:vAlign w:val="center"/>
          </w:tcPr>
          <w:p w:rsidR="00EB08C6" w:rsidRPr="00B63D34" w:rsidRDefault="00EB08C6" w:rsidP="008236C1">
            <w:pPr>
              <w:pStyle w:val="FRTableNumbering"/>
            </w:pPr>
            <w:r w:rsidRPr="00E658C9">
              <w:t>3.</w:t>
            </w:r>
            <w:r w:rsidRPr="00E658C9">
              <w:tab/>
              <w:t>A PPL EU consultant previously identified a number of benefits by bringing the OnTrack program administration in house.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056"/>
          <w:jc w:val="center"/>
        </w:trPr>
        <w:tc>
          <w:tcPr>
            <w:tcW w:w="2210" w:type="pct"/>
            <w:vAlign w:val="center"/>
          </w:tcPr>
          <w:p w:rsidR="00EB08C6" w:rsidRPr="00B63D34" w:rsidRDefault="00EB08C6" w:rsidP="008236C1">
            <w:pPr>
              <w:pStyle w:val="FRTableNumbering"/>
            </w:pPr>
            <w:r w:rsidRPr="00E658C9">
              <w:t>4.</w:t>
            </w:r>
            <w:r w:rsidRPr="00E658C9">
              <w:tab/>
              <w:t>The audits of OnTrack agencies’ monthly reports that are conducted by the assigned RPSs are inconsistent and often lack important follow-up actions such as corrective actions or performance improvements.</w:t>
            </w:r>
          </w:p>
        </w:tc>
        <w:tc>
          <w:tcPr>
            <w:tcW w:w="2133" w:type="pct"/>
            <w:gridSpan w:val="2"/>
            <w:vAlign w:val="center"/>
          </w:tcPr>
          <w:p w:rsidR="00EB08C6" w:rsidRPr="00B63D34" w:rsidRDefault="00EB08C6" w:rsidP="008236C1">
            <w:pPr>
              <w:pStyle w:val="FRTableNumbering"/>
            </w:pPr>
            <w:r w:rsidRPr="00E658C9">
              <w:t>3.</w:t>
            </w:r>
            <w:r w:rsidRPr="00E658C9">
              <w:tab/>
              <w:t>Perform standardized monthly auditing by Regulatory Programs of the OnTrack agencies’ monthly reports.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X-F – </w:t>
            </w:r>
            <w:r w:rsidRPr="00512613">
              <w:rPr>
                <w:b/>
              </w:rPr>
              <w:t>Performance Management</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1.</w:t>
            </w:r>
            <w:r w:rsidRPr="00C91B72">
              <w:tab/>
              <w:t>The three performance indicators used by Customer Services for the OnTrack program are accompanied by useful and detailed commentary explaining variances and the actions that are underway to improve performance.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59"/>
          <w:jc w:val="center"/>
        </w:trPr>
        <w:tc>
          <w:tcPr>
            <w:tcW w:w="2210" w:type="pct"/>
            <w:vAlign w:val="center"/>
          </w:tcPr>
          <w:p w:rsidR="00EB08C6" w:rsidRPr="00B63D34" w:rsidRDefault="00EB08C6" w:rsidP="008236C1">
            <w:pPr>
              <w:pStyle w:val="FRTableNumbering"/>
            </w:pPr>
            <w:r w:rsidRPr="00C91B72">
              <w:t>2.</w:t>
            </w:r>
            <w:r w:rsidRPr="00C91B72">
              <w:tab/>
              <w:t>The existing Customer Services OnTrack performance indicators, while useful, do not support PPL EU’s objectives for the program.</w:t>
            </w:r>
          </w:p>
        </w:tc>
        <w:tc>
          <w:tcPr>
            <w:tcW w:w="2133" w:type="pct"/>
            <w:gridSpan w:val="2"/>
            <w:vAlign w:val="center"/>
          </w:tcPr>
          <w:p w:rsidR="00EB08C6" w:rsidRPr="00B63D34" w:rsidRDefault="00EB08C6" w:rsidP="008236C1">
            <w:pPr>
              <w:pStyle w:val="FRTableNumbering"/>
            </w:pPr>
            <w:r>
              <w:t>1</w:t>
            </w:r>
            <w:r w:rsidRPr="00C91B72">
              <w:t>.</w:t>
            </w:r>
            <w:r w:rsidRPr="00C91B72">
              <w:tab/>
              <w:t>Establish metrics that will measure the success in meeting the four key and overarching objectives of the OnTrack program.  (See Findings 2, 14, and 15)</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3.</w:t>
            </w:r>
            <w:r w:rsidRPr="00C91B72">
              <w:tab/>
              <w:t>The rising OnTrack program costs are impacting customers’ bills.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lastRenderedPageBreak/>
              <w:t>4.</w:t>
            </w:r>
            <w:r w:rsidRPr="00C91B72">
              <w:tab/>
              <w:t>Regulatory Programs is appropriately exploring the use of unit costs and unit performance metrics with the OnTrack agencies.</w:t>
            </w:r>
          </w:p>
        </w:tc>
        <w:tc>
          <w:tcPr>
            <w:tcW w:w="2133" w:type="pct"/>
            <w:gridSpan w:val="2"/>
            <w:vAlign w:val="center"/>
          </w:tcPr>
          <w:p w:rsidR="00EB08C6" w:rsidRPr="00B63D34" w:rsidRDefault="00EB08C6" w:rsidP="008236C1">
            <w:pPr>
              <w:pStyle w:val="FRTableNumbering"/>
            </w:pPr>
            <w:r>
              <w:t>2</w:t>
            </w:r>
            <w:r w:rsidRPr="00C91B72">
              <w:tab/>
              <w:t>Accelerate analysis of actual historical unit costs with the OnTrack agencies and consider changing the contract pricing structure to a unit price per task completed.  (See Finding</w:t>
            </w:r>
            <w:r w:rsidR="00DE4F16">
              <w:t>s</w:t>
            </w:r>
            <w:r w:rsidRPr="00C91B72">
              <w:t xml:space="preserve"> 4 and 7)</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5.</w:t>
            </w:r>
            <w:r w:rsidRPr="00C91B72">
              <w:tab/>
              <w:t>Increased numbers of OnTrack referrals and new enrollments are not translating into a corresponding increase in active members.</w:t>
            </w:r>
          </w:p>
        </w:tc>
        <w:tc>
          <w:tcPr>
            <w:tcW w:w="2133" w:type="pct"/>
            <w:gridSpan w:val="2"/>
            <w:vAlign w:val="center"/>
          </w:tcPr>
          <w:p w:rsidR="00EB08C6" w:rsidRPr="00B63D34" w:rsidRDefault="00EB08C6" w:rsidP="008236C1">
            <w:pPr>
              <w:pStyle w:val="FRTableNumbering"/>
            </w:pPr>
            <w:r w:rsidRPr="006E019E">
              <w:t>3.</w:t>
            </w:r>
            <w:r w:rsidRPr="006E019E">
              <w:tab/>
              <w:t>Develop new performance indicators and other metrics that will improve month-to-month management of the OnTrack program and identify changes to the design and eligibility requirements that will improve PPL EU’s ability to meet OnTrack objectives.  (See Findings 2, 4, 5, 6, 7, 8, 9, 10, 11, 12, 14, and 15)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6.</w:t>
            </w:r>
            <w:r w:rsidRPr="00C91B72">
              <w:tab/>
              <w:t>Regulatory Programs is seeking to improve the quality of OnTrack referrals so that a higher percentage of referrals result in successful enrollments and sustained participation.</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04"/>
          <w:jc w:val="center"/>
        </w:trPr>
        <w:tc>
          <w:tcPr>
            <w:tcW w:w="2210" w:type="pct"/>
            <w:vAlign w:val="center"/>
          </w:tcPr>
          <w:p w:rsidR="00EB08C6" w:rsidRPr="00B63D34" w:rsidRDefault="00EB08C6" w:rsidP="008236C1">
            <w:pPr>
              <w:pStyle w:val="FRTableNumbering"/>
            </w:pPr>
            <w:r w:rsidRPr="00C91B72">
              <w:t>7.</w:t>
            </w:r>
            <w:r w:rsidRPr="00C91B72">
              <w:tab/>
              <w:t>Portraying ratios for cost per enrollment is inconclusive and requires further analysis.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8.</w:t>
            </w:r>
            <w:r w:rsidRPr="00C91B72">
              <w:tab/>
              <w:t>Graduation rates, one measure of program performance, have decreased since 2012.</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453"/>
          <w:jc w:val="center"/>
        </w:trPr>
        <w:tc>
          <w:tcPr>
            <w:tcW w:w="2210" w:type="pct"/>
            <w:vAlign w:val="center"/>
          </w:tcPr>
          <w:p w:rsidR="00EB08C6" w:rsidRPr="00B63D34" w:rsidRDefault="00EB08C6" w:rsidP="008236C1">
            <w:pPr>
              <w:pStyle w:val="FRTableNumbering"/>
            </w:pPr>
            <w:r w:rsidRPr="00C91B72">
              <w:t>9.</w:t>
            </w:r>
            <w:r w:rsidRPr="00C91B72">
              <w:tab/>
              <w:t>OnTrack customer payment behavior is improving.</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58"/>
          <w:jc w:val="center"/>
        </w:trPr>
        <w:tc>
          <w:tcPr>
            <w:tcW w:w="2210" w:type="pct"/>
            <w:vAlign w:val="center"/>
          </w:tcPr>
          <w:p w:rsidR="00EB08C6" w:rsidRPr="00B63D34" w:rsidRDefault="00EB08C6" w:rsidP="008236C1">
            <w:pPr>
              <w:pStyle w:val="FRTableNumbering"/>
            </w:pPr>
            <w:r w:rsidRPr="00C91B72">
              <w:t>10.</w:t>
            </w:r>
            <w:r w:rsidRPr="00C91B72">
              <w:tab/>
              <w:t>Regulatory Programs does not track PUC informal complaints by individual OnTrack agencies.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56"/>
          <w:jc w:val="center"/>
        </w:trPr>
        <w:tc>
          <w:tcPr>
            <w:tcW w:w="2210" w:type="pct"/>
            <w:vAlign w:val="center"/>
          </w:tcPr>
          <w:p w:rsidR="00EB08C6" w:rsidRPr="00B63D34" w:rsidRDefault="00EB08C6" w:rsidP="008236C1">
            <w:pPr>
              <w:pStyle w:val="FRTableNumbering"/>
            </w:pPr>
            <w:r w:rsidRPr="00C91B72">
              <w:t>11.</w:t>
            </w:r>
            <w:r w:rsidRPr="00C91B72">
              <w:tab/>
              <w:t>PUC informal complaints related to OnTrack have been growing, but at a rate slower than the growth of OnTrack customers.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lastRenderedPageBreak/>
              <w:t>12.</w:t>
            </w:r>
            <w:r w:rsidRPr="00C91B72">
              <w:tab/>
              <w:t>Application delays resulting from enrollment backlogs were a major source of customer dissatisfaction and of PUC informal complaints that were related to the OnTrack program.</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13.</w:t>
            </w:r>
            <w:r w:rsidRPr="00C91B72">
              <w:tab/>
              <w:t>Neither the internal audit function nor the external auditor has performed a comprehensive operational or compliance audit of the OnTrack program.</w:t>
            </w:r>
          </w:p>
        </w:tc>
        <w:tc>
          <w:tcPr>
            <w:tcW w:w="2133" w:type="pct"/>
            <w:gridSpan w:val="2"/>
            <w:vAlign w:val="center"/>
          </w:tcPr>
          <w:p w:rsidR="00EB08C6" w:rsidRPr="00B63D34" w:rsidRDefault="00EB08C6" w:rsidP="008236C1">
            <w:pPr>
              <w:pStyle w:val="FRTableNumbering"/>
            </w:pPr>
            <w:r w:rsidRPr="006E019E">
              <w:t>4.</w:t>
            </w:r>
            <w:r w:rsidRPr="006E019E">
              <w:tab/>
              <w:t>Establish periodic operational and compliance audits by the PPL SC internal auditors.  (See Finding 13)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C91B72">
              <w:t>14.</w:t>
            </w:r>
            <w:r w:rsidRPr="00C91B72">
              <w:tab/>
              <w:t>Customer Services does not explicitly measure the shorter- and longer-term net effects of the OnTrack program on customer payment behaviors and the incremental effects on total accounts receivable, uncollectible expenses, and write-offs.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tcBorders>
              <w:bottom w:val="single" w:sz="12" w:space="0" w:color="auto"/>
            </w:tcBorders>
            <w:vAlign w:val="center"/>
          </w:tcPr>
          <w:p w:rsidR="00EB08C6" w:rsidRPr="00B63D34" w:rsidRDefault="00EB08C6" w:rsidP="008236C1">
            <w:pPr>
              <w:pStyle w:val="FRTableNumbering"/>
            </w:pPr>
            <w:r w:rsidRPr="00C91B72">
              <w:t>15.</w:t>
            </w:r>
            <w:r w:rsidRPr="00C91B72">
              <w:tab/>
              <w:t>The APPRISE Final Evaluation Report of PPL EU’s Universal Service Programs includes the OnTrack program but is an incomplete assessment of OnTrack.</w:t>
            </w:r>
          </w:p>
        </w:tc>
        <w:tc>
          <w:tcPr>
            <w:tcW w:w="2133" w:type="pct"/>
            <w:gridSpan w:val="2"/>
            <w:tcBorders>
              <w:bottom w:val="single" w:sz="12" w:space="0" w:color="auto"/>
            </w:tcBorders>
            <w:vAlign w:val="center"/>
          </w:tcPr>
          <w:p w:rsidR="00EB08C6" w:rsidRPr="00B63D34" w:rsidRDefault="00EB08C6" w:rsidP="008236C1">
            <w:pPr>
              <w:pStyle w:val="FRTableNumbering"/>
            </w:pPr>
          </w:p>
        </w:tc>
        <w:tc>
          <w:tcPr>
            <w:tcW w:w="656" w:type="pct"/>
            <w:gridSpan w:val="2"/>
            <w:tcBorders>
              <w:bottom w:val="single" w:sz="12" w:space="0" w:color="auto"/>
            </w:tcBorders>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E319FB">
            <w:pPr>
              <w:spacing w:after="0"/>
              <w:jc w:val="left"/>
            </w:pPr>
            <w:r>
              <w:rPr>
                <w:b/>
              </w:rPr>
              <w:t>Chapter XI – Information Technology and Systems</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t>1.</w:t>
            </w:r>
            <w:r w:rsidRPr="009A7B2F">
              <w:t xml:space="preserve"> </w:t>
            </w:r>
            <w:r w:rsidRPr="009A7B2F">
              <w:tab/>
            </w:r>
            <w:r w:rsidRPr="00B63D34">
              <w:t>IT is making a beneficial conversion from a technology and applications focus to a b</w:t>
            </w:r>
            <w:r>
              <w:t>usiness need and service focus</w:t>
            </w:r>
          </w:p>
        </w:tc>
        <w:tc>
          <w:tcPr>
            <w:tcW w:w="2133" w:type="pct"/>
            <w:gridSpan w:val="2"/>
            <w:vAlign w:val="center"/>
          </w:tcPr>
          <w:p w:rsidR="00EB08C6" w:rsidRPr="00B63D34" w:rsidRDefault="00EB08C6" w:rsidP="008236C1">
            <w:pPr>
              <w:pStyle w:val="FRTableNumbering"/>
            </w:pPr>
            <w:r>
              <w:t>1.</w:t>
            </w:r>
            <w:r w:rsidRPr="009A7B2F">
              <w:t xml:space="preserve"> </w:t>
            </w:r>
            <w:r w:rsidRPr="009A7B2F">
              <w:tab/>
            </w:r>
            <w:r w:rsidRPr="00B63D34">
              <w:t>Continue the current IT integrated path of improvement. (See Findings 1–3 and 6–8)</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IT has adopted the highly regarded ITIL framework and has made progress in developing the related processes</w:t>
            </w:r>
            <w:r>
              <w:t>, but has room for improvement.</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Conduct regular ITIL Process Maturity Assessments to identify areas requiring more attention. (See Finding</w:t>
            </w:r>
            <w:r>
              <w:t> </w:t>
            </w:r>
            <w:r w:rsidRPr="00B63D34">
              <w:t>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In support of the ITIL initiative, IT has made solid progress implementing the ServiceNow integrated IT toolset; however, ServiceNow has not been fully utili</w:t>
            </w:r>
            <w:r>
              <w:t>zed.</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Continue development and implementation of underutilized modules in ServiceNow.  (See Findings 3 and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lastRenderedPageBreak/>
              <w:t>4.</w:t>
            </w:r>
            <w:r w:rsidRPr="009A7B2F">
              <w:t xml:space="preserve"> </w:t>
            </w:r>
            <w:r w:rsidRPr="009A7B2F">
              <w:tab/>
            </w:r>
            <w:r w:rsidRPr="00B63D34">
              <w:t xml:space="preserve">The continued </w:t>
            </w:r>
            <w:r>
              <w:t>use of ServiceNow is uncertain.</w:t>
            </w:r>
          </w:p>
        </w:tc>
        <w:tc>
          <w:tcPr>
            <w:tcW w:w="2133" w:type="pct"/>
            <w:gridSpan w:val="2"/>
            <w:vAlign w:val="center"/>
          </w:tcPr>
          <w:p w:rsidR="00EB08C6" w:rsidRPr="00B63D34" w:rsidRDefault="00EB08C6" w:rsidP="008236C1">
            <w:pPr>
              <w:pStyle w:val="FRTableNumbering"/>
            </w:pPr>
            <w:r w:rsidRPr="004634AE">
              <w:t xml:space="preserve">4. </w:t>
            </w:r>
            <w:r w:rsidRPr="004634AE">
              <w:tab/>
              <w:t>Evaluate the implications of moving away from ServiceNow.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174"/>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Some internally developed applications will remain critically important, and therefore wi</w:t>
            </w:r>
            <w:r>
              <w:t>ll require on-going investment.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IT has taken some positive steps in using Service Oriented Architecture to become a more responsive IT function, but progr</w:t>
            </w:r>
            <w:r>
              <w:t>ess has slowed in recent years.</w:t>
            </w:r>
          </w:p>
        </w:tc>
        <w:tc>
          <w:tcPr>
            <w:tcW w:w="2133" w:type="pct"/>
            <w:gridSpan w:val="2"/>
            <w:vAlign w:val="center"/>
          </w:tcPr>
          <w:p w:rsidR="00EB08C6" w:rsidRPr="00B63D34" w:rsidRDefault="00EB08C6" w:rsidP="008236C1">
            <w:pPr>
              <w:pStyle w:val="FRTableNumbering"/>
            </w:pPr>
            <w:r>
              <w:t>5.</w:t>
            </w:r>
            <w:r w:rsidRPr="009A7B2F">
              <w:t xml:space="preserve"> </w:t>
            </w:r>
            <w:r w:rsidRPr="009A7B2F">
              <w:tab/>
            </w:r>
            <w:r w:rsidRPr="00B63D34">
              <w:t>Continue building the Service Oriented Architecture platform.  (See Finding 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7.</w:t>
            </w:r>
            <w:r w:rsidRPr="009A7B2F">
              <w:t xml:space="preserve"> </w:t>
            </w:r>
            <w:r w:rsidRPr="009A7B2F">
              <w:tab/>
            </w:r>
            <w:r w:rsidRPr="00B63D34">
              <w:t>The IT staff and IT committee structures are organized to appropriately integrate with the user-defined service portfolios, ITIL princip</w:t>
            </w:r>
            <w:r>
              <w:t>les, and software nomenclature.</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8.</w:t>
            </w:r>
            <w:r w:rsidRPr="009A7B2F">
              <w:t xml:space="preserve"> </w:t>
            </w:r>
            <w:r w:rsidRPr="009A7B2F">
              <w:tab/>
            </w:r>
            <w:r w:rsidRPr="00B63D34">
              <w:t xml:space="preserve">PPL has a rigorous IT project planning, budgeting, and monitoring process in place but long-term </w:t>
            </w:r>
            <w:r>
              <w:t>effectiveness is not monitored.</w:t>
            </w:r>
          </w:p>
        </w:tc>
        <w:tc>
          <w:tcPr>
            <w:tcW w:w="2133" w:type="pct"/>
            <w:gridSpan w:val="2"/>
            <w:vAlign w:val="center"/>
          </w:tcPr>
          <w:p w:rsidR="00EB08C6" w:rsidRPr="00B63D34" w:rsidRDefault="00EB08C6" w:rsidP="008236C1">
            <w:pPr>
              <w:pStyle w:val="FRTableNumbering"/>
            </w:pPr>
            <w:r>
              <w:t>6.</w:t>
            </w:r>
            <w:r w:rsidRPr="009A7B2F">
              <w:t xml:space="preserve"> </w:t>
            </w:r>
            <w:r w:rsidRPr="009A7B2F">
              <w:tab/>
            </w:r>
            <w:r w:rsidRPr="00B63D34">
              <w:t>Evaluate the long-term effectiveness of IT projects, including trending hardware and software write-offs in the financial system.  (See Finding</w:t>
            </w:r>
            <w:r>
              <w:t> </w:t>
            </w:r>
            <w:r w:rsidRPr="00B63D34">
              <w:t>8)</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9.</w:t>
            </w:r>
            <w:r w:rsidRPr="009A7B2F">
              <w:t xml:space="preserve"> </w:t>
            </w:r>
            <w:r w:rsidRPr="009A7B2F">
              <w:tab/>
            </w:r>
            <w:r w:rsidRPr="00B63D34">
              <w:t>The IT Business Plan is we</w:t>
            </w:r>
            <w:r>
              <w:t>ll documented and communicated.</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10.</w:t>
            </w:r>
            <w:r w:rsidRPr="009A7B2F">
              <w:tab/>
            </w:r>
            <w:r w:rsidRPr="00B63D34">
              <w:t>The IT Infrastructure Group has achieved cost savings by taking advantage of server vir</w:t>
            </w:r>
            <w:r>
              <w:t xml:space="preserve">tualization software. </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11.</w:t>
            </w:r>
            <w:r w:rsidRPr="009A7B2F">
              <w:tab/>
            </w:r>
            <w:r w:rsidRPr="00B63D34">
              <w:t>Convergence of IT and Operations Technology appears</w:t>
            </w:r>
            <w:r>
              <w:t xml:space="preserve"> to be progressing efficiently.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34"/>
          <w:jc w:val="center"/>
        </w:trPr>
        <w:tc>
          <w:tcPr>
            <w:tcW w:w="2210" w:type="pct"/>
            <w:vAlign w:val="center"/>
          </w:tcPr>
          <w:p w:rsidR="00EB08C6" w:rsidRPr="00B63D34" w:rsidRDefault="00EB08C6" w:rsidP="008236C1">
            <w:pPr>
              <w:pStyle w:val="FRTableNumbering"/>
            </w:pPr>
            <w:r>
              <w:t>12.</w:t>
            </w:r>
            <w:r w:rsidRPr="009A7B2F">
              <w:tab/>
            </w:r>
            <w:r w:rsidRPr="00B63D34">
              <w:t xml:space="preserve">PPL appears to have </w:t>
            </w:r>
            <w:r>
              <w:t>a sound cyber security program.</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56"/>
          <w:jc w:val="center"/>
        </w:trPr>
        <w:tc>
          <w:tcPr>
            <w:tcW w:w="2210" w:type="pct"/>
            <w:vAlign w:val="center"/>
          </w:tcPr>
          <w:p w:rsidR="00EB08C6" w:rsidRPr="00B63D34" w:rsidRDefault="00EB08C6" w:rsidP="008236C1">
            <w:pPr>
              <w:pStyle w:val="FRTableNumbering"/>
            </w:pPr>
            <w:r>
              <w:t>13.</w:t>
            </w:r>
            <w:r w:rsidRPr="009A7B2F">
              <w:tab/>
            </w:r>
            <w:r w:rsidRPr="00B63D34">
              <w:t>The data center i</w:t>
            </w:r>
            <w:r>
              <w:t>s modern and physically secure.</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13"/>
          <w:jc w:val="center"/>
        </w:trPr>
        <w:tc>
          <w:tcPr>
            <w:tcW w:w="2210" w:type="pct"/>
            <w:vAlign w:val="center"/>
          </w:tcPr>
          <w:p w:rsidR="00EB08C6" w:rsidRPr="00B63D34" w:rsidRDefault="00EB08C6" w:rsidP="008236C1">
            <w:pPr>
              <w:pStyle w:val="FRTableNumbering"/>
            </w:pPr>
            <w:r>
              <w:t>14.</w:t>
            </w:r>
            <w:r w:rsidRPr="009A7B2F">
              <w:tab/>
            </w:r>
            <w:r w:rsidRPr="00B63D34">
              <w:t>IT has sound processes for measuring internal custo</w:t>
            </w:r>
            <w:r>
              <w:t>mer satisfaction with projects.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94"/>
          <w:jc w:val="center"/>
        </w:trPr>
        <w:tc>
          <w:tcPr>
            <w:tcW w:w="2210" w:type="pct"/>
            <w:vAlign w:val="center"/>
          </w:tcPr>
          <w:p w:rsidR="00EB08C6" w:rsidRPr="00B63D34" w:rsidRDefault="00EB08C6" w:rsidP="008236C1">
            <w:pPr>
              <w:pStyle w:val="FRTableNumbering"/>
            </w:pPr>
            <w:r>
              <w:lastRenderedPageBreak/>
              <w:t>15.</w:t>
            </w:r>
            <w:r w:rsidRPr="009A7B2F">
              <w:tab/>
            </w:r>
            <w:r w:rsidRPr="00B63D34">
              <w:t>IT has a well-developed Service Level Agreement (SLA) and metric tracking program in place for a wide variety of areas, but typically limits reviews to the last year or two.  Five-year trending is done on an ad hoc basis at best.</w:t>
            </w:r>
          </w:p>
        </w:tc>
        <w:tc>
          <w:tcPr>
            <w:tcW w:w="2133" w:type="pct"/>
            <w:gridSpan w:val="2"/>
            <w:vAlign w:val="center"/>
          </w:tcPr>
          <w:p w:rsidR="00EB08C6" w:rsidRPr="00B63D34" w:rsidRDefault="00EB08C6" w:rsidP="008236C1">
            <w:pPr>
              <w:pStyle w:val="FRTableNumbering"/>
            </w:pPr>
            <w:r>
              <w:t>7.</w:t>
            </w:r>
            <w:r w:rsidRPr="009A7B2F">
              <w:t xml:space="preserve"> </w:t>
            </w:r>
            <w:r w:rsidRPr="009A7B2F">
              <w:tab/>
            </w:r>
            <w:r w:rsidRPr="00B63D34">
              <w:t>Implement five-year period trending in performance metric evaluations.  (See Finding 15)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886"/>
          <w:jc w:val="center"/>
        </w:trPr>
        <w:tc>
          <w:tcPr>
            <w:tcW w:w="2210" w:type="pct"/>
            <w:tcBorders>
              <w:bottom w:val="single" w:sz="12" w:space="0" w:color="auto"/>
            </w:tcBorders>
            <w:vAlign w:val="center"/>
          </w:tcPr>
          <w:p w:rsidR="00EB08C6" w:rsidRPr="00B63D34" w:rsidRDefault="00EB08C6" w:rsidP="008236C1">
            <w:pPr>
              <w:pStyle w:val="FRTableNumbering"/>
            </w:pPr>
            <w:r>
              <w:t>16.</w:t>
            </w:r>
            <w:r w:rsidRPr="009A7B2F">
              <w:tab/>
            </w:r>
            <w:r w:rsidRPr="00B63D34">
              <w:t>The relationship of IT legal entities is complex and evolving.</w:t>
            </w:r>
          </w:p>
        </w:tc>
        <w:tc>
          <w:tcPr>
            <w:tcW w:w="2133" w:type="pct"/>
            <w:gridSpan w:val="2"/>
            <w:tcBorders>
              <w:bottom w:val="single" w:sz="12" w:space="0" w:color="auto"/>
            </w:tcBorders>
            <w:vAlign w:val="center"/>
          </w:tcPr>
          <w:p w:rsidR="00EB08C6" w:rsidRPr="00B63D34" w:rsidRDefault="00EB08C6" w:rsidP="008236C1">
            <w:pPr>
              <w:pStyle w:val="FRTableNumbering"/>
            </w:pPr>
            <w:r>
              <w:t>8.</w:t>
            </w:r>
            <w:r w:rsidRPr="009A7B2F">
              <w:t xml:space="preserve"> </w:t>
            </w:r>
            <w:r w:rsidRPr="009A7B2F">
              <w:tab/>
            </w:r>
            <w:r w:rsidRPr="00B63D34">
              <w:t>Scrutinize the three service company approach for IT.  (See Finding 1</w:t>
            </w:r>
            <w:r>
              <w:t>6</w:t>
            </w:r>
            <w:r w:rsidRPr="00B63D34">
              <w:t>)</w:t>
            </w:r>
          </w:p>
        </w:tc>
        <w:tc>
          <w:tcPr>
            <w:tcW w:w="656" w:type="pct"/>
            <w:gridSpan w:val="2"/>
            <w:tcBorders>
              <w:bottom w:val="single" w:sz="12" w:space="0" w:color="auto"/>
            </w:tcBorders>
            <w:vAlign w:val="center"/>
          </w:tcPr>
          <w:p w:rsidR="00EB08C6" w:rsidRPr="00B63D34" w:rsidRDefault="00EB08C6" w:rsidP="008236C1">
            <w:pPr>
              <w:spacing w:after="0"/>
              <w:jc w:val="center"/>
            </w:pPr>
            <w:r>
              <w:t>High</w:t>
            </w: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E319FB">
            <w:pPr>
              <w:spacing w:after="0"/>
              <w:jc w:val="left"/>
            </w:pPr>
            <w:r>
              <w:rPr>
                <w:b/>
              </w:rPr>
              <w:t>Chapter XII – Human Resources</w:t>
            </w:r>
          </w:p>
        </w:tc>
      </w:tr>
      <w:tr w:rsidR="00EB08C6" w:rsidRPr="00B63D34" w:rsidTr="000D142C">
        <w:trPr>
          <w:cantSplit/>
          <w:trHeight w:val="1488"/>
          <w:jc w:val="center"/>
        </w:trPr>
        <w:tc>
          <w:tcPr>
            <w:tcW w:w="2210" w:type="pct"/>
            <w:vAlign w:val="center"/>
            <w:hideMark/>
          </w:tcPr>
          <w:p w:rsidR="00EB08C6" w:rsidRPr="00B63D34" w:rsidRDefault="00EB08C6" w:rsidP="008236C1">
            <w:pPr>
              <w:pStyle w:val="FRTableNumbering"/>
            </w:pPr>
            <w:r>
              <w:t>1.</w:t>
            </w:r>
            <w:r w:rsidRPr="009A7B2F">
              <w:t xml:space="preserve"> </w:t>
            </w:r>
            <w:r w:rsidRPr="009A7B2F">
              <w:tab/>
            </w:r>
            <w:r w:rsidRPr="00B63D34">
              <w:t>There is duplication of services bet</w:t>
            </w:r>
            <w:r>
              <w:t xml:space="preserve">ween PPL SC HR and PPL EUS HR. </w:t>
            </w:r>
          </w:p>
        </w:tc>
        <w:tc>
          <w:tcPr>
            <w:tcW w:w="2133" w:type="pct"/>
            <w:gridSpan w:val="2"/>
            <w:vAlign w:val="center"/>
            <w:hideMark/>
          </w:tcPr>
          <w:p w:rsidR="00EB08C6" w:rsidRPr="00B63D34" w:rsidRDefault="00EB08C6" w:rsidP="008236C1">
            <w:pPr>
              <w:pStyle w:val="FRTableNumbering"/>
            </w:pPr>
            <w:r>
              <w:t>1.</w:t>
            </w:r>
            <w:r w:rsidRPr="009A7B2F">
              <w:t xml:space="preserve"> </w:t>
            </w:r>
            <w:r w:rsidRPr="009A7B2F">
              <w:tab/>
            </w:r>
            <w:r w:rsidRPr="00B63D34">
              <w:t>Reassign the PPL EUS HR personnel to the appropriate PPL SC HR functional counterpart organization units.  (See Finding 1)</w:t>
            </w:r>
          </w:p>
        </w:tc>
        <w:tc>
          <w:tcPr>
            <w:tcW w:w="656" w:type="pct"/>
            <w:gridSpan w:val="2"/>
            <w:vAlign w:val="center"/>
            <w:hideMark/>
          </w:tcPr>
          <w:p w:rsidR="00EB08C6" w:rsidRPr="00B63D34" w:rsidRDefault="00EB08C6" w:rsidP="008236C1">
            <w:pPr>
              <w:spacing w:after="0"/>
              <w:jc w:val="center"/>
            </w:pPr>
            <w:r>
              <w:t>High</w:t>
            </w:r>
          </w:p>
        </w:tc>
      </w:tr>
      <w:tr w:rsidR="00EB08C6" w:rsidRPr="00B63D34" w:rsidTr="000D142C">
        <w:trPr>
          <w:cantSplit/>
          <w:trHeight w:val="886"/>
          <w:jc w:val="center"/>
        </w:trPr>
        <w:tc>
          <w:tcPr>
            <w:tcW w:w="2210" w:type="pct"/>
            <w:vAlign w:val="center"/>
          </w:tcPr>
          <w:p w:rsidR="00EB08C6" w:rsidRPr="00B63D34" w:rsidRDefault="00EB08C6" w:rsidP="008236C1">
            <w:pPr>
              <w:pStyle w:val="FRTableNumbering"/>
            </w:pPr>
            <w:r>
              <w:t>2.</w:t>
            </w:r>
            <w:r w:rsidRPr="009A7B2F">
              <w:t xml:space="preserve"> </w:t>
            </w:r>
            <w:r w:rsidRPr="009A7B2F">
              <w:tab/>
            </w:r>
            <w:r w:rsidRPr="00B63D34">
              <w:t>In some circumstances, PPL EUS HR is driving in</w:t>
            </w:r>
            <w:r>
              <w:t>novative changes for PPL SC HR.</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58"/>
          <w:jc w:val="center"/>
        </w:trPr>
        <w:tc>
          <w:tcPr>
            <w:tcW w:w="2210" w:type="pct"/>
            <w:vAlign w:val="center"/>
          </w:tcPr>
          <w:p w:rsidR="00EB08C6" w:rsidRPr="00B63D34" w:rsidRDefault="00EB08C6" w:rsidP="008236C1">
            <w:pPr>
              <w:pStyle w:val="FRTableNumbering"/>
            </w:pPr>
            <w:r>
              <w:t>3.</w:t>
            </w:r>
            <w:r w:rsidRPr="009A7B2F">
              <w:t xml:space="preserve"> </w:t>
            </w:r>
            <w:r w:rsidRPr="009A7B2F">
              <w:tab/>
            </w:r>
            <w:r w:rsidRPr="00B63D34">
              <w:t>The process for tal</w:t>
            </w:r>
            <w:r>
              <w:t>ent acquisition is streamlined.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23"/>
          <w:jc w:val="center"/>
        </w:trPr>
        <w:tc>
          <w:tcPr>
            <w:tcW w:w="2210" w:type="pct"/>
            <w:vAlign w:val="center"/>
          </w:tcPr>
          <w:p w:rsidR="00EB08C6" w:rsidRPr="00B63D34" w:rsidRDefault="00EB08C6" w:rsidP="008236C1">
            <w:pPr>
              <w:pStyle w:val="FRTableNumbering"/>
            </w:pPr>
            <w:r>
              <w:t>4.</w:t>
            </w:r>
            <w:r w:rsidRPr="009A7B2F">
              <w:t xml:space="preserve"> </w:t>
            </w:r>
            <w:r w:rsidRPr="009A7B2F">
              <w:tab/>
            </w:r>
            <w:r w:rsidRPr="00B63D34">
              <w:t xml:space="preserve">HR technical benchmarking is routinely utilized; however, neither PPL SC HR nor PPL EUS HR </w:t>
            </w:r>
            <w:proofErr w:type="gramStart"/>
            <w:r w:rsidRPr="00B63D34">
              <w:t>have</w:t>
            </w:r>
            <w:proofErr w:type="gramEnd"/>
            <w:r w:rsidRPr="00B63D34">
              <w:t xml:space="preserve"> recently participated in comprehensive HR</w:t>
            </w:r>
            <w:r>
              <w:t xml:space="preserve"> function benchmarking studies.</w:t>
            </w:r>
          </w:p>
        </w:tc>
        <w:tc>
          <w:tcPr>
            <w:tcW w:w="2133" w:type="pct"/>
            <w:gridSpan w:val="2"/>
            <w:vAlign w:val="center"/>
          </w:tcPr>
          <w:p w:rsidR="00EB08C6" w:rsidRPr="00B63D34" w:rsidRDefault="00EB08C6" w:rsidP="008236C1">
            <w:pPr>
              <w:pStyle w:val="FRTableNumbering"/>
            </w:pPr>
            <w:r>
              <w:t>2.</w:t>
            </w:r>
            <w:r w:rsidRPr="009A7B2F">
              <w:t xml:space="preserve"> </w:t>
            </w:r>
            <w:r w:rsidRPr="009A7B2F">
              <w:tab/>
            </w:r>
            <w:r w:rsidRPr="00B63D34">
              <w:t>PPL SC HR should participate in an appropriate HR comprehensive benchmarking study.  (See Finding</w:t>
            </w:r>
            <w:r>
              <w:t> </w:t>
            </w:r>
            <w:r w:rsidRPr="00B63D34">
              <w:t>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78"/>
          <w:jc w:val="center"/>
        </w:trPr>
        <w:tc>
          <w:tcPr>
            <w:tcW w:w="2210" w:type="pct"/>
            <w:vAlign w:val="center"/>
          </w:tcPr>
          <w:p w:rsidR="00EB08C6" w:rsidRPr="00B63D34" w:rsidRDefault="00EB08C6" w:rsidP="008236C1">
            <w:pPr>
              <w:pStyle w:val="FRTableNumbering"/>
            </w:pPr>
            <w:r>
              <w:t>5.</w:t>
            </w:r>
            <w:r w:rsidRPr="009A7B2F">
              <w:t xml:space="preserve"> </w:t>
            </w:r>
            <w:r w:rsidRPr="009A7B2F">
              <w:tab/>
            </w:r>
            <w:r w:rsidRPr="00B63D34">
              <w:t>The corporate performance management system demonstrates good alignment with the corporate goal framework.</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3"/>
          <w:jc w:val="center"/>
        </w:trPr>
        <w:tc>
          <w:tcPr>
            <w:tcW w:w="2210" w:type="pct"/>
            <w:vAlign w:val="center"/>
          </w:tcPr>
          <w:p w:rsidR="00EB08C6" w:rsidRPr="00B63D34" w:rsidRDefault="00EB08C6" w:rsidP="008236C1">
            <w:pPr>
              <w:pStyle w:val="FRTableNumbering"/>
            </w:pPr>
            <w:r>
              <w:t>6.</w:t>
            </w:r>
            <w:r w:rsidRPr="009A7B2F">
              <w:t xml:space="preserve"> </w:t>
            </w:r>
            <w:r w:rsidRPr="009A7B2F">
              <w:tab/>
            </w:r>
            <w:r w:rsidRPr="00B63D34">
              <w:t>Human resource metrics are utilized by PPL SC HR and PPL EUS HR to manage some human resource activities, but are not sufficient to effectively and efficiently manage the full ran</w:t>
            </w:r>
            <w:r>
              <w:t>ge of human resource functions.</w:t>
            </w:r>
          </w:p>
        </w:tc>
        <w:tc>
          <w:tcPr>
            <w:tcW w:w="2133" w:type="pct"/>
            <w:gridSpan w:val="2"/>
            <w:vAlign w:val="center"/>
          </w:tcPr>
          <w:p w:rsidR="00EB08C6" w:rsidRPr="00B63D34" w:rsidRDefault="00EB08C6" w:rsidP="008236C1">
            <w:pPr>
              <w:pStyle w:val="FRTableNumbering"/>
            </w:pPr>
            <w:r>
              <w:t>3.</w:t>
            </w:r>
            <w:r w:rsidRPr="009A7B2F">
              <w:t xml:space="preserve"> </w:t>
            </w:r>
            <w:r w:rsidRPr="009A7B2F">
              <w:tab/>
            </w:r>
            <w:r w:rsidRPr="00B63D34">
              <w:t>Select and implement HR metrics for each functional area that will measure the effectiveness and efficiency of the function.  (See Finding 6)</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78"/>
          <w:jc w:val="center"/>
        </w:trPr>
        <w:tc>
          <w:tcPr>
            <w:tcW w:w="2210" w:type="pct"/>
            <w:vAlign w:val="center"/>
          </w:tcPr>
          <w:p w:rsidR="00EB08C6" w:rsidRPr="00B63D34" w:rsidRDefault="00EB08C6" w:rsidP="008236C1">
            <w:pPr>
              <w:pStyle w:val="FRTableNumbering"/>
            </w:pPr>
            <w:r>
              <w:lastRenderedPageBreak/>
              <w:t>7.</w:t>
            </w:r>
            <w:r w:rsidRPr="009A7B2F">
              <w:t xml:space="preserve"> </w:t>
            </w:r>
            <w:r w:rsidRPr="009A7B2F">
              <w:tab/>
            </w:r>
            <w:r w:rsidRPr="00B63D34">
              <w:t xml:space="preserve">The HR performance management and compensation programs contribute to organizational alignment and support </w:t>
            </w:r>
            <w:r>
              <w:t>achievement of Corporate Goals.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3"/>
          <w:jc w:val="center"/>
        </w:trPr>
        <w:tc>
          <w:tcPr>
            <w:tcW w:w="2210" w:type="pct"/>
            <w:vAlign w:val="center"/>
          </w:tcPr>
          <w:p w:rsidR="00EB08C6" w:rsidRPr="00B63D34" w:rsidRDefault="00EB08C6" w:rsidP="008236C1">
            <w:pPr>
              <w:pStyle w:val="FRTableNumbering"/>
            </w:pPr>
            <w:r>
              <w:t>8.</w:t>
            </w:r>
            <w:r w:rsidRPr="009A7B2F">
              <w:t xml:space="preserve"> </w:t>
            </w:r>
            <w:r w:rsidRPr="009A7B2F">
              <w:tab/>
            </w:r>
            <w:r w:rsidRPr="00B63D34">
              <w:t>PPL EUS HR measurement of employee engagement on a regular basis is a good practice and the areas revealing opportunities for improvement are</w:t>
            </w:r>
            <w:r>
              <w:t xml:space="preserve"> being appropriately addressed.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14"/>
          <w:jc w:val="center"/>
        </w:trPr>
        <w:tc>
          <w:tcPr>
            <w:tcW w:w="2210" w:type="pct"/>
            <w:vAlign w:val="center"/>
          </w:tcPr>
          <w:p w:rsidR="00EB08C6" w:rsidRPr="00B63D34" w:rsidRDefault="00EB08C6" w:rsidP="008236C1">
            <w:pPr>
              <w:pStyle w:val="FRTableNumbering"/>
            </w:pPr>
            <w:r>
              <w:t>9.</w:t>
            </w:r>
            <w:r w:rsidRPr="009A7B2F">
              <w:t xml:space="preserve"> </w:t>
            </w:r>
            <w:r w:rsidRPr="009A7B2F">
              <w:tab/>
            </w:r>
            <w:r w:rsidRPr="00B63D34">
              <w:t>Although PPL SC and PPL EUS HR staffs have education and experience appropriate for their positions, few possess professional certifications</w:t>
            </w:r>
            <w:r>
              <w:t xml:space="preserve"> related to the HR profession.</w:t>
            </w:r>
          </w:p>
        </w:tc>
        <w:tc>
          <w:tcPr>
            <w:tcW w:w="2133" w:type="pct"/>
            <w:gridSpan w:val="2"/>
            <w:vAlign w:val="center"/>
          </w:tcPr>
          <w:p w:rsidR="00EB08C6" w:rsidRPr="00B63D34" w:rsidRDefault="00EB08C6" w:rsidP="00397EA6">
            <w:pPr>
              <w:pStyle w:val="FRTableNumbering"/>
            </w:pPr>
            <w:r>
              <w:t>4.</w:t>
            </w:r>
            <w:r w:rsidRPr="009A7B2F">
              <w:t xml:space="preserve"> </w:t>
            </w:r>
            <w:r w:rsidRPr="009A7B2F">
              <w:tab/>
            </w:r>
            <w:r w:rsidRPr="00B63D34">
              <w:t>Provide opportunities and encouragement for more employees within PPL SC HR to obtain relevant professional HR certifications.  (See Finding</w:t>
            </w:r>
            <w:r w:rsidR="00397EA6">
              <w:t> </w:t>
            </w:r>
            <w:r w:rsidRPr="00B63D34">
              <w:t>9)</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228"/>
          <w:jc w:val="center"/>
        </w:trPr>
        <w:tc>
          <w:tcPr>
            <w:tcW w:w="2210" w:type="pct"/>
            <w:vAlign w:val="center"/>
          </w:tcPr>
          <w:p w:rsidR="00EB08C6" w:rsidRPr="00B63D34" w:rsidRDefault="00EB08C6" w:rsidP="008236C1">
            <w:pPr>
              <w:pStyle w:val="FRTableNumbering"/>
            </w:pPr>
            <w:r>
              <w:t>10.</w:t>
            </w:r>
            <w:r w:rsidRPr="009A7B2F">
              <w:tab/>
            </w:r>
            <w:r w:rsidRPr="00B63D34">
              <w:t>There is broad satisfaction with the PPL Professional and Leadershi</w:t>
            </w:r>
            <w:r>
              <w:t>p Development Training Program.</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41"/>
          <w:jc w:val="center"/>
        </w:trPr>
        <w:tc>
          <w:tcPr>
            <w:tcW w:w="2210" w:type="pct"/>
            <w:vAlign w:val="center"/>
          </w:tcPr>
          <w:p w:rsidR="00EB08C6" w:rsidRPr="00B63D34" w:rsidRDefault="00EB08C6" w:rsidP="008236C1">
            <w:pPr>
              <w:pStyle w:val="FRTableNumbering"/>
            </w:pPr>
            <w:r>
              <w:t>11.</w:t>
            </w:r>
            <w:r w:rsidRPr="009A7B2F">
              <w:tab/>
            </w:r>
            <w:r w:rsidRPr="00B63D34">
              <w:t>Learning index increase and return on investment are not being measured as they relate to the non-technical training programs.</w:t>
            </w:r>
          </w:p>
        </w:tc>
        <w:tc>
          <w:tcPr>
            <w:tcW w:w="2133" w:type="pct"/>
            <w:gridSpan w:val="2"/>
            <w:vAlign w:val="center"/>
          </w:tcPr>
          <w:p w:rsidR="00EB08C6" w:rsidRPr="00B63D34" w:rsidRDefault="00EB08C6" w:rsidP="008236C1">
            <w:pPr>
              <w:pStyle w:val="FRTableNumbering"/>
            </w:pPr>
            <w:r>
              <w:t>5.</w:t>
            </w:r>
            <w:r w:rsidRPr="009A7B2F">
              <w:t xml:space="preserve"> </w:t>
            </w:r>
            <w:r w:rsidRPr="009A7B2F">
              <w:tab/>
            </w:r>
            <w:r w:rsidRPr="00B63D34">
              <w:t>Measure all four levels of training effectiveness according to the Kirkpatrick model.  (See Finding 11)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41"/>
          <w:jc w:val="center"/>
        </w:trPr>
        <w:tc>
          <w:tcPr>
            <w:tcW w:w="2210" w:type="pct"/>
            <w:vAlign w:val="center"/>
          </w:tcPr>
          <w:p w:rsidR="00EB08C6" w:rsidRPr="00B63D34" w:rsidRDefault="00EB08C6" w:rsidP="008236C1">
            <w:pPr>
              <w:pStyle w:val="FRTableNumbering"/>
            </w:pPr>
            <w:r>
              <w:t>12</w:t>
            </w:r>
            <w:r w:rsidRPr="009A7B2F">
              <w:t xml:space="preserve"> </w:t>
            </w:r>
            <w:r w:rsidRPr="009A7B2F">
              <w:tab/>
            </w:r>
            <w:r w:rsidRPr="00B63D34">
              <w:t xml:space="preserve">The most recent succession plan </w:t>
            </w:r>
            <w:proofErr w:type="gramStart"/>
            <w:r w:rsidRPr="00B63D34">
              <w:t>has</w:t>
            </w:r>
            <w:proofErr w:type="gramEnd"/>
            <w:r w:rsidRPr="00B63D34">
              <w:t xml:space="preserve"> several positive features; however, due to the Talen spinoff, there is no cu</w:t>
            </w:r>
            <w:r>
              <w:t>rrent succession plan in place.</w:t>
            </w:r>
          </w:p>
        </w:tc>
        <w:tc>
          <w:tcPr>
            <w:tcW w:w="2133" w:type="pct"/>
            <w:gridSpan w:val="2"/>
            <w:vAlign w:val="center"/>
          </w:tcPr>
          <w:p w:rsidR="00EB08C6" w:rsidRPr="00B63D34" w:rsidRDefault="00EB08C6" w:rsidP="008236C1">
            <w:pPr>
              <w:pStyle w:val="FRTableNumbering"/>
            </w:pPr>
            <w:r>
              <w:t>6.</w:t>
            </w:r>
            <w:r w:rsidRPr="009A7B2F">
              <w:t xml:space="preserve"> </w:t>
            </w:r>
            <w:r w:rsidRPr="009A7B2F">
              <w:tab/>
            </w:r>
            <w:r w:rsidRPr="00B63D34">
              <w:t>Update the PPL SC and PPL EU succession plan.  (See Finding 12)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41"/>
          <w:jc w:val="center"/>
        </w:trPr>
        <w:tc>
          <w:tcPr>
            <w:tcW w:w="2210" w:type="pct"/>
            <w:vAlign w:val="center"/>
          </w:tcPr>
          <w:p w:rsidR="00EB08C6" w:rsidRPr="00B63D34" w:rsidRDefault="00EB08C6" w:rsidP="008236C1">
            <w:pPr>
              <w:pStyle w:val="FRTableNumbering"/>
            </w:pPr>
            <w:r>
              <w:t>13.</w:t>
            </w:r>
            <w:r w:rsidRPr="009A7B2F">
              <w:tab/>
            </w:r>
            <w:r w:rsidRPr="00B63D34">
              <w:t>PPL EU appears to be in c</w:t>
            </w:r>
            <w:r>
              <w:t>ompliance with employment laws.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04"/>
          <w:jc w:val="center"/>
        </w:trPr>
        <w:tc>
          <w:tcPr>
            <w:tcW w:w="2210" w:type="pct"/>
            <w:vAlign w:val="center"/>
          </w:tcPr>
          <w:p w:rsidR="00EB08C6" w:rsidRPr="00B63D34" w:rsidRDefault="00EB08C6" w:rsidP="008236C1">
            <w:pPr>
              <w:pStyle w:val="FRTableNumbering"/>
            </w:pPr>
            <w:r>
              <w:t>14.</w:t>
            </w:r>
            <w:r w:rsidRPr="009A7B2F">
              <w:tab/>
            </w:r>
            <w:r w:rsidRPr="00B63D34">
              <w:t>Compensation and health and welfare benefits are compe</w:t>
            </w:r>
            <w:r>
              <w:t>titive with the market.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028"/>
          <w:jc w:val="center"/>
        </w:trPr>
        <w:tc>
          <w:tcPr>
            <w:tcW w:w="2210" w:type="pct"/>
            <w:vAlign w:val="center"/>
          </w:tcPr>
          <w:p w:rsidR="00EB08C6" w:rsidRPr="00B63D34" w:rsidRDefault="00EB08C6" w:rsidP="008236C1">
            <w:pPr>
              <w:pStyle w:val="FRTableNumbering"/>
            </w:pPr>
            <w:r>
              <w:lastRenderedPageBreak/>
              <w:t>15.</w:t>
            </w:r>
            <w:r w:rsidRPr="009A7B2F">
              <w:tab/>
            </w:r>
            <w:r w:rsidRPr="00B63D34">
              <w:t>PPL EUS HR has implemented several good practices necessary to build strong labor-management relationships and labor negotiations are approached proactive</w:t>
            </w:r>
            <w:r>
              <w:t>ly and with a defined strategy.</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4"/>
          <w:jc w:val="center"/>
        </w:trPr>
        <w:tc>
          <w:tcPr>
            <w:tcW w:w="2210" w:type="pct"/>
            <w:vAlign w:val="center"/>
          </w:tcPr>
          <w:p w:rsidR="00EB08C6" w:rsidRPr="00B63D34" w:rsidRDefault="00EB08C6" w:rsidP="008236C1">
            <w:pPr>
              <w:pStyle w:val="FRTableNumbering"/>
            </w:pPr>
            <w:r>
              <w:t>16.</w:t>
            </w:r>
            <w:r w:rsidRPr="009A7B2F">
              <w:tab/>
            </w:r>
            <w:r w:rsidRPr="00B63D34">
              <w:t>The number of grievances filed by represented employees declined substantially from 2013 to 2014 and appears to be maintaining thi</w:t>
            </w:r>
            <w:r>
              <w:t>s improved performance in 2015.</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41"/>
          <w:jc w:val="center"/>
        </w:trPr>
        <w:tc>
          <w:tcPr>
            <w:tcW w:w="2210" w:type="pct"/>
            <w:vAlign w:val="center"/>
          </w:tcPr>
          <w:p w:rsidR="00EB08C6" w:rsidRPr="00B63D34" w:rsidRDefault="00EB08C6" w:rsidP="008236C1">
            <w:pPr>
              <w:pStyle w:val="FRTableNumbering"/>
            </w:pPr>
            <w:r>
              <w:t>17.</w:t>
            </w:r>
            <w:r w:rsidRPr="009A7B2F">
              <w:tab/>
            </w:r>
            <w:r w:rsidRPr="00B63D34">
              <w:t xml:space="preserve">Security measures related to employee safety and protection, employee information, and controlled access to technology systems appear to be </w:t>
            </w:r>
            <w:r>
              <w:t>sound.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35"/>
          <w:jc w:val="center"/>
        </w:trPr>
        <w:tc>
          <w:tcPr>
            <w:tcW w:w="2210" w:type="pct"/>
            <w:tcBorders>
              <w:bottom w:val="single" w:sz="12" w:space="0" w:color="auto"/>
            </w:tcBorders>
            <w:vAlign w:val="center"/>
          </w:tcPr>
          <w:p w:rsidR="00EB08C6" w:rsidRPr="00B63D34" w:rsidRDefault="00EB08C6" w:rsidP="008236C1">
            <w:pPr>
              <w:pStyle w:val="FRTableNumbering"/>
            </w:pPr>
            <w:r>
              <w:t>18.</w:t>
            </w:r>
            <w:r w:rsidRPr="009A7B2F">
              <w:tab/>
            </w:r>
            <w:r w:rsidRPr="000969F1">
              <w:t>The</w:t>
            </w:r>
            <w:r w:rsidRPr="00B63D34">
              <w:t xml:space="preserve"> HR information system self-service portal is cumbersome and inconvenient.</w:t>
            </w:r>
          </w:p>
        </w:tc>
        <w:tc>
          <w:tcPr>
            <w:tcW w:w="2133" w:type="pct"/>
            <w:gridSpan w:val="2"/>
            <w:tcBorders>
              <w:bottom w:val="single" w:sz="12" w:space="0" w:color="auto"/>
            </w:tcBorders>
            <w:vAlign w:val="center"/>
          </w:tcPr>
          <w:p w:rsidR="00EB08C6" w:rsidRPr="00B63D34" w:rsidRDefault="00EB08C6" w:rsidP="008236C1">
            <w:pPr>
              <w:pStyle w:val="FRTableNumbering"/>
            </w:pPr>
            <w:r>
              <w:t>7.</w:t>
            </w:r>
            <w:r w:rsidRPr="009A7B2F">
              <w:t xml:space="preserve"> </w:t>
            </w:r>
            <w:r w:rsidRPr="009A7B2F">
              <w:tab/>
            </w:r>
            <w:r w:rsidRPr="00B63D34">
              <w:t>Improve the HR system self-service portal.  (See Finding 1</w:t>
            </w:r>
            <w:r>
              <w:t>8</w:t>
            </w:r>
            <w:r w:rsidRPr="00B63D34">
              <w:t>)</w:t>
            </w:r>
          </w:p>
        </w:tc>
        <w:tc>
          <w:tcPr>
            <w:tcW w:w="656" w:type="pct"/>
            <w:gridSpan w:val="2"/>
            <w:tcBorders>
              <w:bottom w:val="single" w:sz="12" w:space="0" w:color="auto"/>
            </w:tcBorders>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8236C1">
            <w:pPr>
              <w:spacing w:after="0"/>
              <w:jc w:val="left"/>
            </w:pPr>
            <w:r>
              <w:rPr>
                <w:b/>
              </w:rPr>
              <w:t>Chapter XIII – Executive Compensation</w:t>
            </w:r>
          </w:p>
        </w:tc>
      </w:tr>
      <w:tr w:rsidR="00EB08C6" w:rsidRPr="00B63D34" w:rsidTr="000D142C">
        <w:trPr>
          <w:cantSplit/>
          <w:trHeight w:val="1288"/>
          <w:jc w:val="center"/>
        </w:trPr>
        <w:tc>
          <w:tcPr>
            <w:tcW w:w="2210" w:type="pct"/>
            <w:vAlign w:val="center"/>
            <w:hideMark/>
          </w:tcPr>
          <w:p w:rsidR="00EB08C6" w:rsidRPr="00B63D34" w:rsidRDefault="00EB08C6" w:rsidP="008236C1">
            <w:pPr>
              <w:pStyle w:val="FRTableNumbering"/>
            </w:pPr>
            <w:r w:rsidRPr="008547DD">
              <w:t>1.</w:t>
            </w:r>
            <w:r w:rsidRPr="008547DD">
              <w:tab/>
              <w:t>Tier I and Tier II executives are not identified clearly in PPL Corporation’s Executive Compensation Policy.</w:t>
            </w:r>
          </w:p>
        </w:tc>
        <w:tc>
          <w:tcPr>
            <w:tcW w:w="2133" w:type="pct"/>
            <w:gridSpan w:val="2"/>
            <w:vAlign w:val="center"/>
            <w:hideMark/>
          </w:tcPr>
          <w:p w:rsidR="00EB08C6" w:rsidRPr="00B63D34" w:rsidRDefault="00EB08C6" w:rsidP="00014490">
            <w:pPr>
              <w:pStyle w:val="FRTableNumbering"/>
            </w:pPr>
            <w:r w:rsidRPr="000F5F3C">
              <w:t>1.</w:t>
            </w:r>
            <w:r w:rsidRPr="000F5F3C">
              <w:tab/>
              <w:t>Update the PPL Corporation’s Executive Compensation Policy to inclu</w:t>
            </w:r>
            <w:r w:rsidR="003F2C19">
              <w:t>de accurate definitions of 16</w:t>
            </w:r>
            <w:r w:rsidRPr="000F5F3C">
              <w:t xml:space="preserve"> Officers and Tier I and Tier II executives. (See Finding</w:t>
            </w:r>
            <w:r w:rsidR="00014490">
              <w:t> </w:t>
            </w:r>
            <w:r w:rsidRPr="000F5F3C">
              <w:t>1)</w:t>
            </w:r>
          </w:p>
        </w:tc>
        <w:tc>
          <w:tcPr>
            <w:tcW w:w="656" w:type="pct"/>
            <w:gridSpan w:val="2"/>
            <w:vAlign w:val="center"/>
            <w:hideMark/>
          </w:tcPr>
          <w:p w:rsidR="00EB08C6" w:rsidRPr="00B63D34" w:rsidRDefault="00EB08C6" w:rsidP="008236C1">
            <w:pPr>
              <w:spacing w:after="0"/>
              <w:jc w:val="center"/>
            </w:pPr>
            <w:r>
              <w:t>Medium</w:t>
            </w:r>
          </w:p>
        </w:tc>
      </w:tr>
      <w:tr w:rsidR="00EB08C6" w:rsidRPr="00B63D34" w:rsidTr="000D142C">
        <w:trPr>
          <w:cantSplit/>
          <w:trHeight w:val="75"/>
          <w:jc w:val="center"/>
        </w:trPr>
        <w:tc>
          <w:tcPr>
            <w:tcW w:w="2210" w:type="pct"/>
            <w:vAlign w:val="center"/>
          </w:tcPr>
          <w:p w:rsidR="00EB08C6" w:rsidRPr="00B63D34" w:rsidRDefault="00EB08C6" w:rsidP="008236C1">
            <w:pPr>
              <w:pStyle w:val="FRTableNumbering"/>
            </w:pPr>
            <w:r w:rsidRPr="008547DD">
              <w:t>2.</w:t>
            </w:r>
            <w:r w:rsidRPr="008547DD">
              <w:tab/>
              <w:t xml:space="preserve">The Compensation and Benefits department is conducting cross-training for every role within the department.  </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75"/>
          <w:jc w:val="center"/>
        </w:trPr>
        <w:tc>
          <w:tcPr>
            <w:tcW w:w="2210" w:type="pct"/>
            <w:vAlign w:val="center"/>
          </w:tcPr>
          <w:p w:rsidR="00EB08C6" w:rsidRPr="00B63D34" w:rsidRDefault="003D47D8" w:rsidP="008236C1">
            <w:pPr>
              <w:pStyle w:val="FRTableNumbering"/>
            </w:pPr>
            <w:r>
              <w:t>3.</w:t>
            </w:r>
            <w:r>
              <w:tab/>
              <w:t xml:space="preserve">The </w:t>
            </w:r>
            <w:r w:rsidR="008A4E85">
              <w:t>Compensation, Governance and Nominating Committee</w:t>
            </w:r>
            <w:r>
              <w:t xml:space="preserve"> </w:t>
            </w:r>
            <w:r w:rsidR="00EB08C6" w:rsidRPr="008547DD">
              <w:t xml:space="preserve">strictly </w:t>
            </w:r>
            <w:proofErr w:type="gramStart"/>
            <w:r w:rsidR="00EB08C6" w:rsidRPr="008547DD">
              <w:t>adheres</w:t>
            </w:r>
            <w:proofErr w:type="gramEnd"/>
            <w:r w:rsidR="00EB08C6" w:rsidRPr="008547DD">
              <w:t xml:space="preserve"> to pre-established practices, procedures, and policies to assure regulatory and legal compliance.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028"/>
          <w:jc w:val="center"/>
        </w:trPr>
        <w:tc>
          <w:tcPr>
            <w:tcW w:w="2210" w:type="pct"/>
            <w:vAlign w:val="center"/>
          </w:tcPr>
          <w:p w:rsidR="00EB08C6" w:rsidRPr="00B63D34" w:rsidRDefault="00EB08C6" w:rsidP="008236C1">
            <w:pPr>
              <w:pStyle w:val="FRTableNumbering"/>
            </w:pPr>
            <w:r w:rsidRPr="008547DD">
              <w:lastRenderedPageBreak/>
              <w:t>4.</w:t>
            </w:r>
            <w:r w:rsidRPr="008547DD">
              <w:tab/>
              <w:t>All executive performance reviews are not completed.</w:t>
            </w:r>
          </w:p>
        </w:tc>
        <w:tc>
          <w:tcPr>
            <w:tcW w:w="2133" w:type="pct"/>
            <w:gridSpan w:val="2"/>
            <w:vAlign w:val="center"/>
          </w:tcPr>
          <w:p w:rsidR="00EB08C6" w:rsidRPr="00B63D34" w:rsidRDefault="003D47D8" w:rsidP="008236C1">
            <w:pPr>
              <w:pStyle w:val="FRTableNumbering"/>
            </w:pPr>
            <w:r>
              <w:t>2.</w:t>
            </w:r>
            <w:r>
              <w:tab/>
              <w:t xml:space="preserve">The </w:t>
            </w:r>
            <w:r w:rsidR="008A4E85">
              <w:t>Board of Directors</w:t>
            </w:r>
            <w:r w:rsidR="00EB08C6" w:rsidRPr="000F5F3C">
              <w:t xml:space="preserve"> and CGNC should ensure all executives actively participate in the EMPACS process and timely complete the annual EMPACS individual performance review. (See Finding 4)</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1138"/>
          <w:jc w:val="center"/>
        </w:trPr>
        <w:tc>
          <w:tcPr>
            <w:tcW w:w="2210" w:type="pct"/>
            <w:vAlign w:val="center"/>
          </w:tcPr>
          <w:p w:rsidR="00EB08C6" w:rsidRPr="00B63D34" w:rsidRDefault="00EB08C6" w:rsidP="008236C1">
            <w:pPr>
              <w:pStyle w:val="FRTableNumbering"/>
            </w:pPr>
            <w:r w:rsidRPr="008547DD">
              <w:t>5.</w:t>
            </w:r>
            <w:r w:rsidRPr="008547DD">
              <w:tab/>
              <w:t>The PPL Corporation compensation and performance management programs are well integrated.</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75"/>
          <w:jc w:val="center"/>
        </w:trPr>
        <w:tc>
          <w:tcPr>
            <w:tcW w:w="2210" w:type="pct"/>
            <w:vAlign w:val="center"/>
          </w:tcPr>
          <w:p w:rsidR="00EB08C6" w:rsidRPr="00B63D34" w:rsidRDefault="003D47D8" w:rsidP="008236C1">
            <w:pPr>
              <w:pStyle w:val="FRTableNumbering"/>
            </w:pPr>
            <w:r>
              <w:t>6.</w:t>
            </w:r>
            <w:r>
              <w:tab/>
              <w:t xml:space="preserve">PPL Corporation </w:t>
            </w:r>
            <w:r w:rsidR="008A4E85">
              <w:t>Named Executive Officers</w:t>
            </w:r>
            <w:r w:rsidR="00EB08C6" w:rsidRPr="008547DD">
              <w:t xml:space="preserve"> and PPL EU’s top four executives have the majority of compensation “at risk”.</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75"/>
          <w:jc w:val="center"/>
        </w:trPr>
        <w:tc>
          <w:tcPr>
            <w:tcW w:w="2210" w:type="pct"/>
            <w:vAlign w:val="center"/>
          </w:tcPr>
          <w:p w:rsidR="00EB08C6" w:rsidRPr="00B63D34" w:rsidRDefault="00EB08C6">
            <w:pPr>
              <w:pStyle w:val="FRTableNumbering"/>
            </w:pPr>
            <w:r w:rsidRPr="000F5F3C">
              <w:t>7.</w:t>
            </w:r>
            <w:r w:rsidRPr="000F5F3C">
              <w:tab/>
            </w:r>
            <w:r w:rsidR="003F2C19">
              <w:t>Base salaries for</w:t>
            </w:r>
            <w:r w:rsidR="003F2C19" w:rsidRPr="003612B2">
              <w:t xml:space="preserve"> </w:t>
            </w:r>
            <w:r w:rsidR="003F2C19" w:rsidRPr="001F6CF4">
              <w:t>PPL EU’s top four executives</w:t>
            </w:r>
            <w:r w:rsidR="003F2C19">
              <w:t xml:space="preserve"> are market competitive</w:t>
            </w:r>
            <w:r w:rsidR="003F2C19" w:rsidRPr="001F6CF4">
              <w:t>.</w:t>
            </w:r>
          </w:p>
        </w:tc>
        <w:tc>
          <w:tcPr>
            <w:tcW w:w="2133" w:type="pct"/>
            <w:gridSpan w:val="2"/>
            <w:vAlign w:val="center"/>
          </w:tcPr>
          <w:p w:rsidR="00EB08C6" w:rsidRPr="00B63D34" w:rsidRDefault="00EB08C6" w:rsidP="003F2C19">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75"/>
          <w:jc w:val="center"/>
        </w:trPr>
        <w:tc>
          <w:tcPr>
            <w:tcW w:w="2210" w:type="pct"/>
            <w:tcBorders>
              <w:bottom w:val="single" w:sz="12" w:space="0" w:color="auto"/>
            </w:tcBorders>
            <w:vAlign w:val="center"/>
          </w:tcPr>
          <w:p w:rsidR="00EB08C6" w:rsidRPr="00B63D34" w:rsidRDefault="00EB08C6" w:rsidP="008236C1">
            <w:pPr>
              <w:pStyle w:val="FRTableNumbering"/>
            </w:pPr>
            <w:r w:rsidRPr="000F5F3C">
              <w:t>8.</w:t>
            </w:r>
            <w:r w:rsidRPr="000F5F3C">
              <w:tab/>
              <w:t>The current pension plan is comparable with similar utilities.</w:t>
            </w:r>
          </w:p>
        </w:tc>
        <w:tc>
          <w:tcPr>
            <w:tcW w:w="2133" w:type="pct"/>
            <w:gridSpan w:val="2"/>
            <w:tcBorders>
              <w:bottom w:val="single" w:sz="12" w:space="0" w:color="auto"/>
            </w:tcBorders>
            <w:vAlign w:val="center"/>
          </w:tcPr>
          <w:p w:rsidR="00EB08C6" w:rsidRPr="00431E7E" w:rsidRDefault="00EB08C6" w:rsidP="008236C1">
            <w:pPr>
              <w:spacing w:after="0"/>
              <w:jc w:val="left"/>
              <w:rPr>
                <w:szCs w:val="24"/>
              </w:rPr>
            </w:pPr>
          </w:p>
        </w:tc>
        <w:tc>
          <w:tcPr>
            <w:tcW w:w="656" w:type="pct"/>
            <w:gridSpan w:val="2"/>
            <w:tcBorders>
              <w:bottom w:val="single" w:sz="12" w:space="0" w:color="auto"/>
            </w:tcBorders>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8236C1">
            <w:pPr>
              <w:spacing w:after="0"/>
              <w:jc w:val="left"/>
            </w:pPr>
            <w:r>
              <w:rPr>
                <w:b/>
              </w:rPr>
              <w:t>Chapter XIV – Diversity and Equal Employment Opportunity</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XIV-A – </w:t>
            </w:r>
            <w:r w:rsidRPr="00512613">
              <w:rPr>
                <w:b/>
              </w:rPr>
              <w:t>Vendor Diversity</w:t>
            </w:r>
          </w:p>
        </w:tc>
      </w:tr>
      <w:tr w:rsidR="00EB08C6" w:rsidRPr="00B63D34" w:rsidTr="000D142C">
        <w:trPr>
          <w:cantSplit/>
          <w:trHeight w:val="1218"/>
          <w:jc w:val="center"/>
        </w:trPr>
        <w:tc>
          <w:tcPr>
            <w:tcW w:w="2210" w:type="pct"/>
            <w:vAlign w:val="center"/>
            <w:hideMark/>
          </w:tcPr>
          <w:p w:rsidR="00EB08C6" w:rsidRPr="00B63D34" w:rsidRDefault="00EB08C6" w:rsidP="008236C1">
            <w:pPr>
              <w:pStyle w:val="FRTableNumbering"/>
            </w:pPr>
            <w:r w:rsidRPr="00947AB0">
              <w:t>1.</w:t>
            </w:r>
            <w:r w:rsidRPr="00947AB0">
              <w:tab/>
              <w:t>PPL EU’s vendor diversity program includes encouraged state and required federal program elements.</w:t>
            </w:r>
          </w:p>
        </w:tc>
        <w:tc>
          <w:tcPr>
            <w:tcW w:w="2133" w:type="pct"/>
            <w:gridSpan w:val="2"/>
            <w:vAlign w:val="center"/>
            <w:hideMark/>
          </w:tcPr>
          <w:p w:rsidR="00EB08C6" w:rsidRPr="00B63D34" w:rsidRDefault="00EB08C6" w:rsidP="008236C1">
            <w:pPr>
              <w:pStyle w:val="FRTableNumbering"/>
            </w:pPr>
          </w:p>
        </w:tc>
        <w:tc>
          <w:tcPr>
            <w:tcW w:w="656" w:type="pct"/>
            <w:gridSpan w:val="2"/>
            <w:vAlign w:val="center"/>
            <w:hideMark/>
          </w:tcPr>
          <w:p w:rsidR="00EB08C6" w:rsidRPr="00B63D34" w:rsidRDefault="00EB08C6" w:rsidP="008236C1">
            <w:pPr>
              <w:spacing w:after="0"/>
              <w:jc w:val="center"/>
            </w:pPr>
          </w:p>
        </w:tc>
      </w:tr>
      <w:tr w:rsidR="00EB08C6" w:rsidRPr="00B63D34" w:rsidTr="000D142C">
        <w:trPr>
          <w:cantSplit/>
          <w:trHeight w:val="1768"/>
          <w:jc w:val="center"/>
        </w:trPr>
        <w:tc>
          <w:tcPr>
            <w:tcW w:w="2210" w:type="pct"/>
            <w:vAlign w:val="center"/>
          </w:tcPr>
          <w:p w:rsidR="00EB08C6" w:rsidRPr="00B63D34" w:rsidRDefault="00EB08C6" w:rsidP="008236C1">
            <w:pPr>
              <w:pStyle w:val="FRTableNumbering"/>
            </w:pPr>
            <w:r w:rsidRPr="00947AB0">
              <w:t>2.</w:t>
            </w:r>
            <w:r w:rsidRPr="00947AB0">
              <w:tab/>
              <w:t>The vendor diversity expenditures report contains errors and does not document disability owned business expenditures.</w:t>
            </w:r>
          </w:p>
        </w:tc>
        <w:tc>
          <w:tcPr>
            <w:tcW w:w="2133" w:type="pct"/>
            <w:gridSpan w:val="2"/>
            <w:vAlign w:val="center"/>
          </w:tcPr>
          <w:p w:rsidR="00EB08C6" w:rsidRPr="00B63D34" w:rsidRDefault="00EB08C6" w:rsidP="00931E6C">
            <w:pPr>
              <w:pStyle w:val="FRTableNumbering"/>
            </w:pPr>
            <w:r w:rsidRPr="00947AB0">
              <w:t>1.</w:t>
            </w:r>
            <w:r w:rsidRPr="00947AB0">
              <w:tab/>
              <w:t xml:space="preserve">Identify and correct the cause of inconsistencies and errors in the diversity expenditure report and track </w:t>
            </w:r>
            <w:r w:rsidR="00931E6C">
              <w:t xml:space="preserve">Persons with Disability </w:t>
            </w:r>
            <w:r w:rsidRPr="00947AB0">
              <w:t>Owned business spend for reporting purposes.  (See Finding 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348"/>
          <w:jc w:val="center"/>
        </w:trPr>
        <w:tc>
          <w:tcPr>
            <w:tcW w:w="2210" w:type="pct"/>
            <w:vAlign w:val="center"/>
          </w:tcPr>
          <w:p w:rsidR="00EB08C6" w:rsidRPr="00B63D34" w:rsidRDefault="00EB08C6" w:rsidP="008236C1">
            <w:pPr>
              <w:pStyle w:val="FRTableNumbering"/>
            </w:pPr>
            <w:r w:rsidRPr="00947AB0">
              <w:lastRenderedPageBreak/>
              <w:t>3.</w:t>
            </w:r>
            <w:r w:rsidRPr="00947AB0">
              <w:tab/>
              <w:t xml:space="preserve">PPL EUS Supply Chain has not established specific spend goals for </w:t>
            </w:r>
            <w:r w:rsidR="006B51A2">
              <w:t xml:space="preserve">Minority, Women, and Disadvantaged Business Enterprises including </w:t>
            </w:r>
            <w:r w:rsidRPr="00947AB0">
              <w:t>Minority Owned</w:t>
            </w:r>
            <w:r w:rsidR="006B51A2">
              <w:t xml:space="preserve"> and Persons with </w:t>
            </w:r>
            <w:r w:rsidR="00931E6C">
              <w:t>Disability Owned</w:t>
            </w:r>
            <w:r w:rsidRPr="00947AB0">
              <w:t xml:space="preserve"> businesses and has not met its diversity spend goal for Women Owned businesses from 2012 through 2015.</w:t>
            </w:r>
          </w:p>
        </w:tc>
        <w:tc>
          <w:tcPr>
            <w:tcW w:w="2133" w:type="pct"/>
            <w:gridSpan w:val="2"/>
            <w:vAlign w:val="center"/>
          </w:tcPr>
          <w:p w:rsidR="00EB08C6" w:rsidRPr="00B63D34" w:rsidRDefault="00EB08C6" w:rsidP="008236C1">
            <w:pPr>
              <w:pStyle w:val="FRTableNumbering"/>
            </w:pPr>
            <w:r w:rsidRPr="00947AB0">
              <w:t>2.</w:t>
            </w:r>
            <w:r w:rsidRPr="00947AB0">
              <w:tab/>
              <w:t>Analyze the effectiveness of each vendor diversity outreach effort, set appropriate diverse spend goals in each category, and implement initiatives to achieve the goals.  (See Findings 3, 4, and 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947AB0">
              <w:t>4.</w:t>
            </w:r>
            <w:r w:rsidRPr="00947AB0">
              <w:tab/>
              <w:t>The number of identified diverse vendors as a percent</w:t>
            </w:r>
            <w:r w:rsidR="00931E6C">
              <w:t>age</w:t>
            </w:r>
            <w:r w:rsidRPr="00947AB0">
              <w:t xml:space="preserve"> of total vendors is low.</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947AB0">
              <w:t>5.</w:t>
            </w:r>
            <w:r w:rsidRPr="00947AB0">
              <w:tab/>
              <w:t xml:space="preserve">The number of contracts awarded to Minority-owned and </w:t>
            </w:r>
            <w:proofErr w:type="gramStart"/>
            <w:r w:rsidRPr="00947AB0">
              <w:t>Women-owned vendors has</w:t>
            </w:r>
            <w:proofErr w:type="gramEnd"/>
            <w:r w:rsidRPr="00947AB0">
              <w:t xml:space="preserve"> trended positively since 2010.   Overall, the number of total contracts awarded to diverse vendors has declined since 2010.</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XIV-B – </w:t>
            </w:r>
            <w:r w:rsidRPr="00512613">
              <w:rPr>
                <w:b/>
              </w:rPr>
              <w:t>Employee Diversity</w:t>
            </w:r>
          </w:p>
        </w:tc>
      </w:tr>
      <w:tr w:rsidR="00EB08C6" w:rsidRPr="00B63D34" w:rsidTr="000D142C">
        <w:trPr>
          <w:cantSplit/>
          <w:trHeight w:val="95"/>
          <w:jc w:val="center"/>
        </w:trPr>
        <w:tc>
          <w:tcPr>
            <w:tcW w:w="2210" w:type="pct"/>
            <w:vAlign w:val="center"/>
          </w:tcPr>
          <w:p w:rsidR="00EB08C6" w:rsidRPr="00B63D34" w:rsidRDefault="00EB08C6" w:rsidP="008236C1">
            <w:pPr>
              <w:pStyle w:val="FRTableNumbering"/>
            </w:pPr>
            <w:r w:rsidRPr="009A13BE">
              <w:t>1.</w:t>
            </w:r>
            <w:r w:rsidRPr="009A13BE">
              <w:tab/>
              <w:t>Employee diversity outreach efforts are numerous with mechanisms in place to create an inclusive environment for employees.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2"/>
          <w:jc w:val="center"/>
        </w:trPr>
        <w:tc>
          <w:tcPr>
            <w:tcW w:w="2210" w:type="pct"/>
            <w:vAlign w:val="center"/>
          </w:tcPr>
          <w:p w:rsidR="00EB08C6" w:rsidRPr="00B63D34" w:rsidRDefault="00EB08C6" w:rsidP="008236C1">
            <w:pPr>
              <w:pStyle w:val="FRTableNumbering"/>
            </w:pPr>
            <w:r w:rsidRPr="009A13BE">
              <w:t>2.</w:t>
            </w:r>
            <w:r w:rsidRPr="009A13BE">
              <w:tab/>
              <w:t>The mix of PPL EU minority and female employees is comparable to the PPL EU labor market.</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2"/>
          <w:jc w:val="center"/>
        </w:trPr>
        <w:tc>
          <w:tcPr>
            <w:tcW w:w="2210" w:type="pct"/>
            <w:vAlign w:val="center"/>
          </w:tcPr>
          <w:p w:rsidR="00EB08C6" w:rsidRPr="00B63D34" w:rsidRDefault="00EB08C6" w:rsidP="008236C1">
            <w:pPr>
              <w:pStyle w:val="FRTableNumbering"/>
            </w:pPr>
            <w:r w:rsidRPr="009A13BE">
              <w:t>3.</w:t>
            </w:r>
            <w:r w:rsidRPr="009A13BE">
              <w:tab/>
              <w:t>PPL EU has improved the application rate for minorities and females in 2015 reversing recent decline.</w:t>
            </w:r>
          </w:p>
        </w:tc>
        <w:tc>
          <w:tcPr>
            <w:tcW w:w="2133" w:type="pct"/>
            <w:gridSpan w:val="2"/>
            <w:vAlign w:val="center"/>
          </w:tcPr>
          <w:p w:rsidR="00EB08C6" w:rsidRPr="00B63D34" w:rsidRDefault="00EB08C6" w:rsidP="008236C1">
            <w:pPr>
              <w:pStyle w:val="FRTableNumbering"/>
            </w:pPr>
            <w:r w:rsidRPr="009A13BE">
              <w:t>1.</w:t>
            </w:r>
            <w:r w:rsidRPr="009A13BE">
              <w:tab/>
            </w:r>
            <w:r w:rsidR="00D3403A">
              <w:t>E</w:t>
            </w:r>
            <w:r w:rsidRPr="009A13BE">
              <w:t>nhance recruiting efforts to target female applicants.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92"/>
          <w:jc w:val="center"/>
        </w:trPr>
        <w:tc>
          <w:tcPr>
            <w:tcW w:w="2210" w:type="pct"/>
            <w:vAlign w:val="center"/>
          </w:tcPr>
          <w:p w:rsidR="00EB08C6" w:rsidRPr="00B63D34" w:rsidRDefault="00EB08C6" w:rsidP="008236C1">
            <w:pPr>
              <w:pStyle w:val="FRTableNumbering"/>
            </w:pPr>
            <w:r w:rsidRPr="009A13BE">
              <w:t>4.</w:t>
            </w:r>
            <w:r w:rsidRPr="009A13BE">
              <w:tab/>
              <w:t>In 2015, new hire rates for minorities and females have improved, reversing a declining trend since 2012.</w:t>
            </w:r>
          </w:p>
        </w:tc>
        <w:tc>
          <w:tcPr>
            <w:tcW w:w="2133" w:type="pct"/>
            <w:gridSpan w:val="2"/>
            <w:vAlign w:val="center"/>
          </w:tcPr>
          <w:p w:rsidR="00EB08C6" w:rsidRPr="00B63D34" w:rsidRDefault="00EB08C6" w:rsidP="008236C1">
            <w:pPr>
              <w:pStyle w:val="FRTableNumbering"/>
            </w:pPr>
            <w:r w:rsidRPr="009A13BE">
              <w:t>2.</w:t>
            </w:r>
            <w:r w:rsidRPr="009A13BE">
              <w:tab/>
            </w:r>
            <w:r w:rsidR="00D3403A">
              <w:t>E</w:t>
            </w:r>
            <w:r w:rsidRPr="009A13BE">
              <w:t>nhance the hiring rates for females and minorities to maintain the parity of PPL EU employees and the labor market.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92"/>
          <w:jc w:val="center"/>
        </w:trPr>
        <w:tc>
          <w:tcPr>
            <w:tcW w:w="2210" w:type="pct"/>
            <w:vAlign w:val="center"/>
          </w:tcPr>
          <w:p w:rsidR="00EB08C6" w:rsidRPr="00B63D34" w:rsidRDefault="00EB08C6" w:rsidP="008236C1">
            <w:pPr>
              <w:pStyle w:val="FRTableNumbering"/>
            </w:pPr>
            <w:r w:rsidRPr="009A13BE">
              <w:t>5.</w:t>
            </w:r>
            <w:r w:rsidRPr="009A13BE">
              <w:tab/>
              <w:t>Promotion rates for minorities and females have improved in 2015 reversing a declining trend since 2012.</w:t>
            </w:r>
          </w:p>
        </w:tc>
        <w:tc>
          <w:tcPr>
            <w:tcW w:w="2133" w:type="pct"/>
            <w:gridSpan w:val="2"/>
            <w:vAlign w:val="center"/>
          </w:tcPr>
          <w:p w:rsidR="00EB08C6" w:rsidRPr="00B63D34" w:rsidRDefault="00EB08C6" w:rsidP="008236C1">
            <w:pPr>
              <w:pStyle w:val="FRTableNumbering"/>
            </w:pPr>
            <w:r w:rsidRPr="009A13BE">
              <w:t>3.</w:t>
            </w:r>
            <w:r w:rsidRPr="009A13BE">
              <w:tab/>
            </w:r>
            <w:r w:rsidR="00D3403A">
              <w:t>E</w:t>
            </w:r>
            <w:r w:rsidRPr="009A13BE">
              <w:t>nhance initiatives to improve the female promotion rate.  (See Finding 5)</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759"/>
          <w:jc w:val="center"/>
        </w:trPr>
        <w:tc>
          <w:tcPr>
            <w:tcW w:w="2210" w:type="pct"/>
            <w:vAlign w:val="center"/>
          </w:tcPr>
          <w:p w:rsidR="00EB08C6" w:rsidRPr="00B63D34" w:rsidRDefault="00EB08C6" w:rsidP="008236C1">
            <w:pPr>
              <w:pStyle w:val="FRTableNumbering"/>
            </w:pPr>
            <w:r w:rsidRPr="009A13BE">
              <w:lastRenderedPageBreak/>
              <w:t>6.</w:t>
            </w:r>
            <w:r w:rsidRPr="009A13BE">
              <w:tab/>
              <w:t>Involuntary and voluntary termination rates for minorities have declined in 2015 while involuntary and voluntary terminations for females have increased in 2015.</w:t>
            </w:r>
          </w:p>
        </w:tc>
        <w:tc>
          <w:tcPr>
            <w:tcW w:w="2133" w:type="pct"/>
            <w:gridSpan w:val="2"/>
            <w:vAlign w:val="center"/>
          </w:tcPr>
          <w:p w:rsidR="00EB08C6" w:rsidRPr="00B63D34" w:rsidRDefault="00397EA6" w:rsidP="008236C1">
            <w:pPr>
              <w:pStyle w:val="FRTableNumbering"/>
            </w:pPr>
            <w:r>
              <w:t>4.</w:t>
            </w:r>
            <w:r w:rsidRPr="009A13BE">
              <w:t xml:space="preserve"> </w:t>
            </w:r>
            <w:r w:rsidRPr="009A13BE">
              <w:tab/>
            </w:r>
            <w:r w:rsidRPr="00582143">
              <w:t>Determine</w:t>
            </w:r>
            <w:r>
              <w:t xml:space="preserve"> the cause of the increase in involuntary and voluntary female terminations and implement initiatives to reduce these termination rates.  (See Finding 6)</w:t>
            </w:r>
          </w:p>
        </w:tc>
        <w:tc>
          <w:tcPr>
            <w:tcW w:w="656" w:type="pct"/>
            <w:gridSpan w:val="2"/>
            <w:vAlign w:val="center"/>
          </w:tcPr>
          <w:p w:rsidR="00EB08C6" w:rsidRPr="00B63D34" w:rsidRDefault="00397EA6" w:rsidP="008236C1">
            <w:pPr>
              <w:spacing w:after="0"/>
              <w:jc w:val="center"/>
            </w:pPr>
            <w:r>
              <w:t>Medium</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XIV-C – </w:t>
            </w:r>
            <w:r w:rsidRPr="00512613">
              <w:rPr>
                <w:b/>
              </w:rPr>
              <w:t>Affirmative Action</w:t>
            </w:r>
          </w:p>
        </w:tc>
      </w:tr>
      <w:tr w:rsidR="00EB08C6" w:rsidRPr="00B63D34" w:rsidTr="000D142C">
        <w:trPr>
          <w:cantSplit/>
          <w:trHeight w:val="624"/>
          <w:jc w:val="center"/>
        </w:trPr>
        <w:tc>
          <w:tcPr>
            <w:tcW w:w="2210" w:type="pct"/>
            <w:vAlign w:val="center"/>
          </w:tcPr>
          <w:p w:rsidR="00EB08C6" w:rsidRPr="00B63D34" w:rsidRDefault="00EB08C6" w:rsidP="008236C1">
            <w:pPr>
              <w:pStyle w:val="FRTableNumbering"/>
            </w:pPr>
            <w:r w:rsidRPr="0002450D">
              <w:t>1.</w:t>
            </w:r>
            <w:r w:rsidRPr="0002450D">
              <w:tab/>
              <w:t>PPL EU’s affirmative action plan is generally effective.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02450D">
              <w:t>2.</w:t>
            </w:r>
            <w:r w:rsidRPr="0002450D">
              <w:tab/>
              <w:t>PPL EU complies with Section 503 of the Rehabilitation Act and VEVRAA.</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74"/>
          <w:jc w:val="center"/>
        </w:trPr>
        <w:tc>
          <w:tcPr>
            <w:tcW w:w="2210" w:type="pct"/>
            <w:vAlign w:val="center"/>
          </w:tcPr>
          <w:p w:rsidR="00EB08C6" w:rsidRPr="00B63D34" w:rsidRDefault="00EB08C6" w:rsidP="008236C1">
            <w:pPr>
              <w:pStyle w:val="FRTableNumbering"/>
            </w:pPr>
            <w:r w:rsidRPr="0002450D">
              <w:t>3.</w:t>
            </w:r>
            <w:r w:rsidRPr="0002450D">
              <w:tab/>
              <w:t>The EEO/AAP tagline on job advertisements is not sufficient.</w:t>
            </w:r>
          </w:p>
        </w:tc>
        <w:tc>
          <w:tcPr>
            <w:tcW w:w="2133" w:type="pct"/>
            <w:gridSpan w:val="2"/>
            <w:vAlign w:val="center"/>
          </w:tcPr>
          <w:p w:rsidR="00EB08C6" w:rsidRPr="00B63D34" w:rsidRDefault="00EB08C6" w:rsidP="008236C1">
            <w:pPr>
              <w:pStyle w:val="FRTableNumbering"/>
            </w:pPr>
            <w:r w:rsidRPr="0002450D">
              <w:t>1.</w:t>
            </w:r>
            <w:r w:rsidRPr="0002450D">
              <w:tab/>
              <w:t>Expand the EEO/AAP tagline on job advertisements to include all requirements. (See Finding 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vAlign w:val="center"/>
          </w:tcPr>
          <w:p w:rsidR="00EB08C6" w:rsidRPr="00B63D34" w:rsidRDefault="00EB08C6" w:rsidP="008236C1">
            <w:pPr>
              <w:pStyle w:val="FRTableNumbering"/>
            </w:pPr>
            <w:r w:rsidRPr="0002450D">
              <w:t>4.</w:t>
            </w:r>
            <w:r w:rsidRPr="0002450D">
              <w:tab/>
              <w:t>Job descriptions do not contain mental and physical demands of the job.</w:t>
            </w:r>
          </w:p>
        </w:tc>
        <w:tc>
          <w:tcPr>
            <w:tcW w:w="2133" w:type="pct"/>
            <w:gridSpan w:val="2"/>
            <w:vAlign w:val="center"/>
          </w:tcPr>
          <w:p w:rsidR="00EB08C6" w:rsidRPr="00B63D34" w:rsidRDefault="00EB08C6" w:rsidP="008236C1">
            <w:pPr>
              <w:pStyle w:val="FRTableNumbering"/>
            </w:pPr>
            <w:r w:rsidRPr="0002450D">
              <w:t>2.</w:t>
            </w:r>
            <w:r w:rsidRPr="0002450D">
              <w:tab/>
              <w:t>Consider identifying mental and physical demands of all jobs and communicating them through inclusion on job descriptions. (See Finding 4)</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60"/>
          <w:jc w:val="center"/>
        </w:trPr>
        <w:tc>
          <w:tcPr>
            <w:tcW w:w="2210" w:type="pct"/>
            <w:tcBorders>
              <w:bottom w:val="single" w:sz="12" w:space="0" w:color="auto"/>
            </w:tcBorders>
            <w:vAlign w:val="center"/>
          </w:tcPr>
          <w:p w:rsidR="00EB08C6" w:rsidRPr="00B63D34" w:rsidRDefault="00EB08C6" w:rsidP="008236C1">
            <w:pPr>
              <w:pStyle w:val="FRTableNumbering"/>
            </w:pPr>
            <w:r w:rsidRPr="0002450D">
              <w:t>5.</w:t>
            </w:r>
            <w:r w:rsidRPr="0002450D">
              <w:tab/>
              <w:t>The process for receiving and resolving employee complaints is robust and appears to be effective.</w:t>
            </w:r>
          </w:p>
        </w:tc>
        <w:tc>
          <w:tcPr>
            <w:tcW w:w="2133" w:type="pct"/>
            <w:gridSpan w:val="2"/>
            <w:tcBorders>
              <w:bottom w:val="single" w:sz="12" w:space="0" w:color="auto"/>
            </w:tcBorders>
            <w:vAlign w:val="center"/>
          </w:tcPr>
          <w:p w:rsidR="00EB08C6" w:rsidRPr="00B63D34" w:rsidRDefault="00EB08C6" w:rsidP="008236C1">
            <w:pPr>
              <w:pStyle w:val="FRTableNumbering"/>
            </w:pPr>
          </w:p>
        </w:tc>
        <w:tc>
          <w:tcPr>
            <w:tcW w:w="656" w:type="pct"/>
            <w:gridSpan w:val="2"/>
            <w:tcBorders>
              <w:bottom w:val="single" w:sz="12" w:space="0" w:color="auto"/>
            </w:tcBorders>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8236C1">
            <w:pPr>
              <w:spacing w:after="0"/>
              <w:jc w:val="left"/>
            </w:pPr>
            <w:r>
              <w:rPr>
                <w:b/>
              </w:rPr>
              <w:t>Chapter XV – Staffing Planning Process</w:t>
            </w: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XV-A – Overview</w:t>
            </w:r>
          </w:p>
        </w:tc>
      </w:tr>
      <w:tr w:rsidR="00EB08C6" w:rsidRPr="00B63D34" w:rsidTr="000D142C">
        <w:trPr>
          <w:cantSplit/>
          <w:trHeight w:val="384"/>
          <w:jc w:val="center"/>
        </w:trPr>
        <w:tc>
          <w:tcPr>
            <w:tcW w:w="2210" w:type="pct"/>
            <w:vAlign w:val="center"/>
          </w:tcPr>
          <w:p w:rsidR="00EB08C6" w:rsidRPr="00ED3E2B" w:rsidRDefault="00EB08C6" w:rsidP="008236C1">
            <w:pPr>
              <w:spacing w:after="0"/>
              <w:jc w:val="left"/>
            </w:pPr>
            <w:r>
              <w:t>None</w:t>
            </w:r>
          </w:p>
        </w:tc>
        <w:tc>
          <w:tcPr>
            <w:tcW w:w="2133" w:type="pct"/>
            <w:gridSpan w:val="2"/>
            <w:vAlign w:val="center"/>
          </w:tcPr>
          <w:p w:rsidR="00EB08C6" w:rsidRPr="00ED3E2B" w:rsidRDefault="00EB08C6" w:rsidP="008236C1">
            <w:pPr>
              <w:spacing w:after="0"/>
              <w:jc w:val="left"/>
            </w:pPr>
            <w:r>
              <w:t>None</w:t>
            </w:r>
          </w:p>
        </w:tc>
        <w:tc>
          <w:tcPr>
            <w:tcW w:w="656" w:type="pct"/>
            <w:gridSpan w:val="2"/>
            <w:vAlign w:val="center"/>
          </w:tcPr>
          <w:p w:rsidR="00EB08C6" w:rsidRPr="00ED3E2B" w:rsidRDefault="00EB08C6" w:rsidP="008236C1">
            <w:pPr>
              <w:spacing w:after="0"/>
              <w:jc w:val="left"/>
            </w:pPr>
          </w:p>
        </w:tc>
      </w:tr>
      <w:tr w:rsidR="00EB08C6" w:rsidRPr="00B63D34" w:rsidTr="000D142C">
        <w:trPr>
          <w:cantSplit/>
          <w:trHeight w:val="384"/>
          <w:jc w:val="center"/>
        </w:trPr>
        <w:tc>
          <w:tcPr>
            <w:tcW w:w="5000" w:type="pct"/>
            <w:gridSpan w:val="5"/>
            <w:vAlign w:val="center"/>
          </w:tcPr>
          <w:p w:rsidR="00EB08C6" w:rsidRPr="00B63D34" w:rsidRDefault="00EB08C6" w:rsidP="000D142C">
            <w:pPr>
              <w:pageBreakBefore/>
              <w:spacing w:after="0"/>
              <w:jc w:val="left"/>
            </w:pPr>
            <w:r>
              <w:rPr>
                <w:b/>
              </w:rPr>
              <w:lastRenderedPageBreak/>
              <w:t>XV-B – Transmissions and Substations</w:t>
            </w:r>
          </w:p>
        </w:tc>
      </w:tr>
      <w:tr w:rsidR="00EB08C6" w:rsidRPr="00B63D34" w:rsidTr="000D142C">
        <w:trPr>
          <w:cantSplit/>
          <w:trHeight w:val="2019"/>
          <w:jc w:val="center"/>
        </w:trPr>
        <w:tc>
          <w:tcPr>
            <w:tcW w:w="2210" w:type="pct"/>
            <w:vMerge w:val="restart"/>
            <w:vAlign w:val="center"/>
          </w:tcPr>
          <w:p w:rsidR="00EB08C6" w:rsidRPr="00EE012C" w:rsidRDefault="00EB08C6" w:rsidP="008236C1">
            <w:pPr>
              <w:pStyle w:val="FRTableNumbering"/>
            </w:pPr>
            <w:r w:rsidRPr="00EE012C">
              <w:t>1.</w:t>
            </w:r>
            <w:r w:rsidRPr="00EE012C">
              <w:tab/>
            </w:r>
            <w:r w:rsidRPr="008C5673">
              <w:t>Most T&amp;S functions have developed and maintain core competencies; however, little internal expertise is being maintained in transmission project design, contracts and interconnection agreements, protection and control engineering, and field construction</w:t>
            </w:r>
            <w:r w:rsidRPr="00431E7E">
              <w:t>.</w:t>
            </w:r>
          </w:p>
        </w:tc>
        <w:tc>
          <w:tcPr>
            <w:tcW w:w="2133" w:type="pct"/>
            <w:gridSpan w:val="2"/>
            <w:vAlign w:val="center"/>
          </w:tcPr>
          <w:p w:rsidR="00EB08C6" w:rsidRPr="00EE012C" w:rsidRDefault="00EB08C6" w:rsidP="008236C1">
            <w:pPr>
              <w:pStyle w:val="FRTableNumbering"/>
            </w:pPr>
            <w:r w:rsidRPr="00EE012C">
              <w:t>1.</w:t>
            </w:r>
            <w:r w:rsidRPr="00EE012C">
              <w:tab/>
            </w:r>
            <w:r>
              <w:t xml:space="preserve">Enhance employee core competencies in </w:t>
            </w:r>
            <w:r w:rsidRPr="006435B1">
              <w:rPr>
                <w:rFonts w:cs="Arial"/>
              </w:rPr>
              <w:t>transmission project design</w:t>
            </w:r>
            <w:r>
              <w:rPr>
                <w:rFonts w:cs="Arial"/>
              </w:rPr>
              <w:t>, contracts and interconnection agreements, protection and control engineering,</w:t>
            </w:r>
            <w:r w:rsidRPr="006435B1">
              <w:rPr>
                <w:rFonts w:cs="Arial"/>
              </w:rPr>
              <w:t xml:space="preserve"> and field construction</w:t>
            </w:r>
            <w:r w:rsidRPr="006236DA">
              <w:t>.</w:t>
            </w:r>
            <w:r w:rsidRPr="00EE012C">
              <w:t xml:space="preserve"> (See Finding 1)</w:t>
            </w:r>
          </w:p>
        </w:tc>
        <w:tc>
          <w:tcPr>
            <w:tcW w:w="656" w:type="pct"/>
            <w:gridSpan w:val="2"/>
            <w:vMerge w:val="restart"/>
            <w:vAlign w:val="center"/>
          </w:tcPr>
          <w:p w:rsidR="00EB08C6" w:rsidRPr="00B63D34" w:rsidRDefault="00EB08C6" w:rsidP="008236C1">
            <w:pPr>
              <w:spacing w:after="0"/>
              <w:jc w:val="center"/>
            </w:pPr>
            <w:r>
              <w:t>High</w:t>
            </w:r>
          </w:p>
        </w:tc>
      </w:tr>
      <w:tr w:rsidR="00EB08C6" w:rsidRPr="00B63D34" w:rsidTr="000D142C">
        <w:trPr>
          <w:cantSplit/>
          <w:trHeight w:val="1498"/>
          <w:jc w:val="center"/>
        </w:trPr>
        <w:tc>
          <w:tcPr>
            <w:tcW w:w="2210" w:type="pct"/>
            <w:vMerge/>
            <w:vAlign w:val="center"/>
          </w:tcPr>
          <w:p w:rsidR="00EB08C6" w:rsidRPr="00EE012C" w:rsidRDefault="00EB08C6" w:rsidP="008236C1">
            <w:pPr>
              <w:pStyle w:val="FRTableNumbering"/>
            </w:pPr>
          </w:p>
        </w:tc>
        <w:tc>
          <w:tcPr>
            <w:tcW w:w="2133" w:type="pct"/>
            <w:gridSpan w:val="2"/>
            <w:vAlign w:val="center"/>
          </w:tcPr>
          <w:p w:rsidR="00EB08C6" w:rsidRPr="00EE012C" w:rsidRDefault="00EB08C6" w:rsidP="008236C1">
            <w:pPr>
              <w:pStyle w:val="FRTableNumbering"/>
            </w:pPr>
            <w:r>
              <w:t>2.</w:t>
            </w:r>
            <w:r w:rsidRPr="00EE012C">
              <w:tab/>
            </w:r>
            <w:r>
              <w:t>Establish strategic alliances with no more than three engineering services companies for design work. (See Finding 1)</w:t>
            </w:r>
          </w:p>
        </w:tc>
        <w:tc>
          <w:tcPr>
            <w:tcW w:w="656" w:type="pct"/>
            <w:gridSpan w:val="2"/>
            <w:vMerge/>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 xml:space="preserve">XV-C – </w:t>
            </w:r>
            <w:r w:rsidRPr="00512613">
              <w:rPr>
                <w:b/>
              </w:rPr>
              <w:t>Distribution Operations</w:t>
            </w: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1.</w:t>
            </w:r>
            <w:r w:rsidRPr="00800120">
              <w:tab/>
              <w:t>Distribution Operations recently completed a comprehensive staffing study.</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2.</w:t>
            </w:r>
            <w:r w:rsidRPr="00800120">
              <w:tab/>
            </w:r>
            <w:r>
              <w:t>Distribution Operations has an effective succession planning process in place.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3.</w:t>
            </w:r>
            <w:r w:rsidRPr="00800120">
              <w:tab/>
            </w:r>
            <w:r>
              <w:t>Core competencies are addressed in position budgeting and succession planning.</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4.</w:t>
            </w:r>
            <w:r w:rsidRPr="00800120">
              <w:tab/>
            </w:r>
            <w:r>
              <w:t>Implementation of new technologies and automation has resulted in staff reductions in several areas.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5.</w:t>
            </w:r>
            <w:r w:rsidRPr="00800120">
              <w:tab/>
            </w:r>
            <w:r>
              <w:t>Several non-core competency functions are being outsourced as attrition occurs.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00"/>
          <w:jc w:val="center"/>
        </w:trPr>
        <w:tc>
          <w:tcPr>
            <w:tcW w:w="2210" w:type="pct"/>
            <w:vAlign w:val="center"/>
          </w:tcPr>
          <w:p w:rsidR="00EB08C6" w:rsidRPr="00B63D34" w:rsidRDefault="00EB08C6" w:rsidP="008236C1">
            <w:pPr>
              <w:pStyle w:val="FRTableNumbering"/>
            </w:pPr>
            <w:r w:rsidRPr="00800120">
              <w:t>6.</w:t>
            </w:r>
            <w:r w:rsidRPr="00800120">
              <w:tab/>
            </w:r>
            <w:r>
              <w:t>Distribution Operations is proactive in planning for upcoming needs in skilled craft areas.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61"/>
          <w:jc w:val="center"/>
        </w:trPr>
        <w:tc>
          <w:tcPr>
            <w:tcW w:w="2210" w:type="pct"/>
            <w:vAlign w:val="center"/>
          </w:tcPr>
          <w:p w:rsidR="00EB08C6" w:rsidRPr="00B63D34" w:rsidRDefault="00EB08C6" w:rsidP="008236C1">
            <w:pPr>
              <w:pStyle w:val="FRTableNumbering"/>
            </w:pPr>
            <w:r w:rsidRPr="00800120">
              <w:t>7.</w:t>
            </w:r>
            <w:r w:rsidRPr="00800120">
              <w:tab/>
            </w:r>
            <w:r>
              <w:t>PPL EU has an active engineering intern program.</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498"/>
          <w:jc w:val="center"/>
        </w:trPr>
        <w:tc>
          <w:tcPr>
            <w:tcW w:w="2210" w:type="pct"/>
            <w:vAlign w:val="center"/>
          </w:tcPr>
          <w:p w:rsidR="00EB08C6" w:rsidRPr="00B63D34" w:rsidRDefault="00EB08C6" w:rsidP="008236C1">
            <w:pPr>
              <w:pStyle w:val="FRTableNumbering"/>
            </w:pPr>
            <w:r w:rsidRPr="00800120">
              <w:lastRenderedPageBreak/>
              <w:t>8.</w:t>
            </w:r>
            <w:r w:rsidRPr="00800120">
              <w:tab/>
            </w:r>
            <w:r>
              <w:t>The Respond to Customer department has added contractors to provide enhanced outage repair and restoration coverage.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8B411F">
            <w:pPr>
              <w:spacing w:after="0"/>
              <w:jc w:val="left"/>
            </w:pPr>
            <w:r>
              <w:rPr>
                <w:b/>
              </w:rPr>
              <w:t xml:space="preserve">XV-D – </w:t>
            </w:r>
            <w:r w:rsidRPr="00BC0362">
              <w:rPr>
                <w:b/>
              </w:rPr>
              <w:t>Customer Services</w:t>
            </w:r>
          </w:p>
        </w:tc>
      </w:tr>
      <w:tr w:rsidR="00EB08C6" w:rsidRPr="00B63D34" w:rsidTr="000D142C">
        <w:trPr>
          <w:cantSplit/>
          <w:trHeight w:val="180"/>
          <w:jc w:val="center"/>
        </w:trPr>
        <w:tc>
          <w:tcPr>
            <w:tcW w:w="2210" w:type="pct"/>
            <w:vAlign w:val="center"/>
          </w:tcPr>
          <w:p w:rsidR="00EB08C6" w:rsidRPr="00A70AF9" w:rsidRDefault="00EB08C6" w:rsidP="008236C1">
            <w:pPr>
              <w:pStyle w:val="FRTableNumbering"/>
            </w:pPr>
            <w:r w:rsidRPr="00A70AF9">
              <w:t>1.</w:t>
            </w:r>
            <w:r w:rsidRPr="00A70AF9">
              <w:tab/>
            </w:r>
            <w:r w:rsidRPr="00ED11DE">
              <w:t>Customer Services has developed a well-structured and appropriate one-year call center staffing and contractor forecasting model for the CSRs and is planning to extend the model to a multi-year time horizon.</w:t>
            </w:r>
          </w:p>
        </w:tc>
        <w:tc>
          <w:tcPr>
            <w:tcW w:w="2133" w:type="pct"/>
            <w:gridSpan w:val="2"/>
            <w:vAlign w:val="center"/>
          </w:tcPr>
          <w:p w:rsidR="00EB08C6" w:rsidRPr="00A70AF9" w:rsidRDefault="00EB08C6" w:rsidP="008236C1">
            <w:pPr>
              <w:pStyle w:val="FRTableNumbering"/>
            </w:pPr>
            <w:r w:rsidRPr="00A70AF9">
              <w:t>1.</w:t>
            </w:r>
            <w:r w:rsidRPr="00A70AF9">
              <w:tab/>
            </w:r>
            <w:r>
              <w:t>Expand staffing and contractor personnel forecasting models for the call centers from a one-year to a five-year time horizon.</w:t>
            </w:r>
            <w:r w:rsidRPr="00A70AF9">
              <w:t xml:space="preserve">  (See Finding 1)</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80"/>
          <w:jc w:val="center"/>
        </w:trPr>
        <w:tc>
          <w:tcPr>
            <w:tcW w:w="2210" w:type="pct"/>
            <w:vAlign w:val="center"/>
          </w:tcPr>
          <w:p w:rsidR="00EB08C6" w:rsidRPr="00B63D34" w:rsidRDefault="00EB08C6" w:rsidP="008236C1">
            <w:pPr>
              <w:pStyle w:val="FRTableNumbering"/>
            </w:pPr>
            <w:r w:rsidRPr="00A70AF9">
              <w:t>2.</w:t>
            </w:r>
            <w:r w:rsidRPr="00A70AF9">
              <w:tab/>
            </w:r>
            <w:r w:rsidRPr="00ED11DE">
              <w:t xml:space="preserve">Customer Services has not performed formal </w:t>
            </w:r>
            <w:r>
              <w:t xml:space="preserve">multi-year </w:t>
            </w:r>
            <w:r w:rsidRPr="00ED11DE">
              <w:t>staffing studies over the</w:t>
            </w:r>
            <w:r>
              <w:t xml:space="preserve"> last ten years</w:t>
            </w:r>
            <w:r w:rsidRPr="00ED11DE">
              <w:t>.</w:t>
            </w:r>
          </w:p>
        </w:tc>
        <w:tc>
          <w:tcPr>
            <w:tcW w:w="2133" w:type="pct"/>
            <w:gridSpan w:val="2"/>
            <w:vAlign w:val="center"/>
          </w:tcPr>
          <w:p w:rsidR="00EB08C6" w:rsidRPr="00B63D34" w:rsidRDefault="00EB08C6" w:rsidP="008236C1">
            <w:pPr>
              <w:pStyle w:val="FRTableNumbering"/>
            </w:pPr>
            <w:r w:rsidRPr="00A70AF9">
              <w:t>2.</w:t>
            </w:r>
            <w:r w:rsidRPr="00A70AF9">
              <w:tab/>
            </w:r>
            <w:r>
              <w:t xml:space="preserve">Develop resource forecasting models for each Customer Services group with significant employee and contractor resources. </w:t>
            </w:r>
            <w:r w:rsidRPr="00A70AF9">
              <w:t xml:space="preserve">  (See Finding 2)</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2029"/>
          <w:jc w:val="center"/>
        </w:trPr>
        <w:tc>
          <w:tcPr>
            <w:tcW w:w="2210" w:type="pct"/>
            <w:vAlign w:val="center"/>
          </w:tcPr>
          <w:p w:rsidR="00EB08C6" w:rsidRPr="00B63D34" w:rsidRDefault="00EB08C6" w:rsidP="008236C1">
            <w:pPr>
              <w:pStyle w:val="FRTableNumbering"/>
            </w:pPr>
            <w:r w:rsidRPr="00A70AF9">
              <w:t>3.</w:t>
            </w:r>
            <w:r w:rsidRPr="00A70AF9">
              <w:tab/>
              <w:t>The staffing positions associated with the PPL EU Business Plan Job Codes and the SRC codes are not readily correlated with the five Customer Services' organizational groups.</w:t>
            </w:r>
          </w:p>
        </w:tc>
        <w:tc>
          <w:tcPr>
            <w:tcW w:w="2133" w:type="pct"/>
            <w:gridSpan w:val="2"/>
            <w:vAlign w:val="center"/>
          </w:tcPr>
          <w:p w:rsidR="00EB08C6" w:rsidRPr="00B63D34" w:rsidRDefault="00EB08C6" w:rsidP="008236C1">
            <w:pPr>
              <w:pStyle w:val="FRTableNumbering"/>
            </w:pPr>
            <w:r w:rsidRPr="00A70AF9">
              <w:t>3.</w:t>
            </w:r>
            <w:r w:rsidRPr="00A70AF9">
              <w:tab/>
              <w:t>Link and correlate Customer Services' Job Codes and SRC codes to the existing organizational groups to facilitate staffing studies and requirements forecasting. (See Finding</w:t>
            </w:r>
            <w:r>
              <w:t> </w:t>
            </w:r>
            <w:r w:rsidRPr="00A70AF9">
              <w:t>3)</w:t>
            </w:r>
          </w:p>
        </w:tc>
        <w:tc>
          <w:tcPr>
            <w:tcW w:w="656" w:type="pct"/>
            <w:gridSpan w:val="2"/>
            <w:vAlign w:val="center"/>
          </w:tcPr>
          <w:p w:rsidR="00EB08C6" w:rsidRPr="00B63D34" w:rsidRDefault="00EB08C6" w:rsidP="008236C1">
            <w:pPr>
              <w:spacing w:after="0"/>
              <w:jc w:val="center"/>
            </w:pPr>
            <w:r>
              <w:t>Medium</w:t>
            </w:r>
          </w:p>
        </w:tc>
      </w:tr>
      <w:tr w:rsidR="00EB08C6" w:rsidRPr="00B63D34" w:rsidTr="000D142C">
        <w:trPr>
          <w:cantSplit/>
          <w:trHeight w:val="180"/>
          <w:jc w:val="center"/>
        </w:trPr>
        <w:tc>
          <w:tcPr>
            <w:tcW w:w="2210" w:type="pct"/>
            <w:vAlign w:val="center"/>
          </w:tcPr>
          <w:p w:rsidR="00EB08C6" w:rsidRPr="00B63D34" w:rsidRDefault="00EB08C6" w:rsidP="008236C1">
            <w:pPr>
              <w:pStyle w:val="FRTableNumbering"/>
            </w:pPr>
            <w:r w:rsidRPr="00A70AF9">
              <w:t>4.</w:t>
            </w:r>
            <w:r w:rsidRPr="00A70AF9">
              <w:tab/>
              <w:t xml:space="preserve">The Advanced Metering and Data Operations unit has an appropriate and comprehensive multi-year resource plan for its MeterVision 20/20 project.  </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440"/>
          <w:jc w:val="center"/>
        </w:trPr>
        <w:tc>
          <w:tcPr>
            <w:tcW w:w="2210" w:type="pct"/>
            <w:vAlign w:val="center"/>
          </w:tcPr>
          <w:p w:rsidR="00EB08C6" w:rsidRPr="00B63D34" w:rsidRDefault="00EB08C6" w:rsidP="008236C1">
            <w:pPr>
              <w:pStyle w:val="FRTableNumbering"/>
            </w:pPr>
            <w:r w:rsidRPr="00A70AF9">
              <w:t>5.</w:t>
            </w:r>
            <w:r w:rsidRPr="00A70AF9">
              <w:tab/>
              <w:t>Selective elimination of employees and increasing use of contractor personnel and services do not seem to be affecting core competencies and institutional knowledge.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Pr>
                <w:b/>
              </w:rPr>
              <w:lastRenderedPageBreak/>
              <w:t xml:space="preserve">XV-E – </w:t>
            </w:r>
            <w:r w:rsidRPr="00BC0362">
              <w:rPr>
                <w:b/>
              </w:rPr>
              <w:t>Finance, Accounting, and Audit</w:t>
            </w:r>
          </w:p>
        </w:tc>
      </w:tr>
      <w:tr w:rsidR="00EB08C6" w:rsidRPr="00B63D34" w:rsidTr="000D142C">
        <w:trPr>
          <w:cantSplit/>
          <w:trHeight w:val="1209"/>
          <w:jc w:val="center"/>
        </w:trPr>
        <w:tc>
          <w:tcPr>
            <w:tcW w:w="2210" w:type="pct"/>
            <w:vAlign w:val="center"/>
          </w:tcPr>
          <w:p w:rsidR="00EB08C6" w:rsidRPr="00A70AF9" w:rsidRDefault="00EB08C6" w:rsidP="008236C1">
            <w:pPr>
              <w:pStyle w:val="FRTableNumbering"/>
            </w:pPr>
            <w:r w:rsidRPr="00A70AF9">
              <w:t>1.</w:t>
            </w:r>
            <w:r w:rsidRPr="00A70AF9">
              <w:tab/>
              <w:t>The increase in staffing and th</w:t>
            </w:r>
            <w:r w:rsidR="00C90CF7">
              <w:t>e use of contractors should</w:t>
            </w:r>
            <w:r w:rsidRPr="00A70AF9">
              <w:t xml:space="preserve"> resolve </w:t>
            </w:r>
            <w:r w:rsidR="00C90CF7">
              <w:t xml:space="preserve">the unitization </w:t>
            </w:r>
            <w:r w:rsidRPr="00A70AF9">
              <w:t>delays identified in Asset Management.</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64"/>
          <w:jc w:val="center"/>
        </w:trPr>
        <w:tc>
          <w:tcPr>
            <w:tcW w:w="2210" w:type="pct"/>
            <w:vAlign w:val="center"/>
          </w:tcPr>
          <w:p w:rsidR="00EB08C6" w:rsidRPr="00B63D34" w:rsidRDefault="00EB08C6" w:rsidP="008236C1">
            <w:pPr>
              <w:pStyle w:val="FRTableNumbering"/>
            </w:pPr>
            <w:r w:rsidRPr="00A70AF9">
              <w:t>2.</w:t>
            </w:r>
            <w:r w:rsidRPr="00A70AF9">
              <w:tab/>
              <w:t>Potential issues involving retention of core competencies and institutional knowledge were successfully addressed.</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8236C1">
            <w:pPr>
              <w:spacing w:after="0"/>
              <w:jc w:val="left"/>
            </w:pPr>
            <w:r>
              <w:rPr>
                <w:b/>
              </w:rPr>
              <w:t>XV-F – Support Services</w:t>
            </w:r>
          </w:p>
        </w:tc>
      </w:tr>
      <w:tr w:rsidR="00EB08C6" w:rsidRPr="00B63D34" w:rsidTr="000D142C">
        <w:trPr>
          <w:cantSplit/>
          <w:trHeight w:val="132"/>
          <w:jc w:val="center"/>
        </w:trPr>
        <w:tc>
          <w:tcPr>
            <w:tcW w:w="2210" w:type="pct"/>
            <w:vAlign w:val="center"/>
          </w:tcPr>
          <w:p w:rsidR="00EB08C6" w:rsidRPr="00F1300C" w:rsidRDefault="00EB08C6" w:rsidP="008236C1">
            <w:pPr>
              <w:pStyle w:val="FRTableNumbering"/>
            </w:pPr>
            <w:r w:rsidRPr="00F1300C">
              <w:t>1.</w:t>
            </w:r>
            <w:r w:rsidRPr="00F1300C">
              <w:tab/>
              <w:t>The support services organizations reviewed in this section have achieved considerable staffing reductions apart from the movement of positions to Talen.</w:t>
            </w:r>
          </w:p>
        </w:tc>
        <w:tc>
          <w:tcPr>
            <w:tcW w:w="2133" w:type="pct"/>
            <w:gridSpan w:val="2"/>
            <w:vAlign w:val="center"/>
          </w:tcPr>
          <w:p w:rsidR="00EB08C6" w:rsidRPr="00F1300C"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2"/>
          <w:jc w:val="center"/>
        </w:trPr>
        <w:tc>
          <w:tcPr>
            <w:tcW w:w="2210" w:type="pct"/>
            <w:vAlign w:val="center"/>
          </w:tcPr>
          <w:p w:rsidR="00EB08C6" w:rsidRPr="00B63D34" w:rsidRDefault="00EB08C6" w:rsidP="008236C1">
            <w:pPr>
              <w:pStyle w:val="FRTableNumbering"/>
            </w:pPr>
            <w:r w:rsidRPr="00F1300C">
              <w:t>2.</w:t>
            </w:r>
            <w:r w:rsidRPr="00F1300C">
              <w:tab/>
            </w:r>
            <w:r>
              <w:t>Some of the departments reviewed in this section have performed, or are planning to perform, informal benchmarking studies.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8"/>
          <w:jc w:val="center"/>
        </w:trPr>
        <w:tc>
          <w:tcPr>
            <w:tcW w:w="2210" w:type="pct"/>
            <w:vAlign w:val="center"/>
          </w:tcPr>
          <w:p w:rsidR="00EB08C6" w:rsidRPr="00B63D34" w:rsidRDefault="00EB08C6" w:rsidP="008236C1">
            <w:pPr>
              <w:pStyle w:val="FRTableNumbering"/>
            </w:pPr>
            <w:r w:rsidRPr="00F1300C">
              <w:t>3.</w:t>
            </w:r>
            <w:r w:rsidRPr="00F1300C">
              <w:tab/>
              <w:t>The CIO is taking appropriate measures to restructure the IT organization to achieve greater efficiency and improved performance in conjunction with the LKE SC</w:t>
            </w:r>
            <w:r>
              <w:t xml:space="preserve"> and </w:t>
            </w:r>
            <w:r w:rsidRPr="00F1300C">
              <w:t>PPL SC synergy initiative.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68"/>
          <w:jc w:val="center"/>
        </w:trPr>
        <w:tc>
          <w:tcPr>
            <w:tcW w:w="2210" w:type="pct"/>
            <w:vAlign w:val="center"/>
          </w:tcPr>
          <w:p w:rsidR="00EB08C6" w:rsidRPr="00B63D34" w:rsidRDefault="00EB08C6" w:rsidP="008236C1">
            <w:pPr>
              <w:pStyle w:val="FRTableNumbering"/>
            </w:pPr>
            <w:r w:rsidRPr="00F1300C">
              <w:t>4.</w:t>
            </w:r>
            <w:r w:rsidRPr="00F1300C">
              <w:tab/>
              <w:t>The planned attrition of PPL EUS Facilities Management janitorial and training staffs is appropriate.</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8"/>
          <w:jc w:val="center"/>
        </w:trPr>
        <w:tc>
          <w:tcPr>
            <w:tcW w:w="2210" w:type="pct"/>
            <w:vAlign w:val="center"/>
          </w:tcPr>
          <w:p w:rsidR="00EB08C6" w:rsidRPr="00B63D34" w:rsidRDefault="00EB08C6" w:rsidP="008236C1">
            <w:pPr>
              <w:pStyle w:val="FRTableNumbering"/>
            </w:pPr>
            <w:r w:rsidRPr="00F1300C">
              <w:t>5.</w:t>
            </w:r>
            <w:r w:rsidRPr="00F1300C">
              <w:tab/>
              <w:t>The use of contractors is focused in non-core areas of specialized expertise and part time needs.</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152"/>
          <w:jc w:val="center"/>
        </w:trPr>
        <w:tc>
          <w:tcPr>
            <w:tcW w:w="2210" w:type="pct"/>
            <w:vAlign w:val="center"/>
          </w:tcPr>
          <w:p w:rsidR="00EB08C6" w:rsidRPr="00B63D34" w:rsidRDefault="00EB08C6" w:rsidP="008236C1">
            <w:pPr>
              <w:pStyle w:val="FRTableNumbering"/>
            </w:pPr>
            <w:r>
              <w:t>6</w:t>
            </w:r>
            <w:r w:rsidRPr="00F1300C">
              <w:t>.</w:t>
            </w:r>
            <w:r w:rsidRPr="00F1300C">
              <w:tab/>
              <w:t>Facilities Management is developing training to improve skill sets and knowledge transfer among the maintenance staff.</w:t>
            </w:r>
          </w:p>
        </w:tc>
        <w:tc>
          <w:tcPr>
            <w:tcW w:w="2133" w:type="pct"/>
            <w:gridSpan w:val="2"/>
            <w:vAlign w:val="center"/>
          </w:tcPr>
          <w:p w:rsidR="00EB08C6" w:rsidRPr="00B63D34" w:rsidRDefault="00EB08C6" w:rsidP="008236C1">
            <w:pPr>
              <w:pStyle w:val="FRTableNumbering"/>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384"/>
          <w:jc w:val="center"/>
        </w:trPr>
        <w:tc>
          <w:tcPr>
            <w:tcW w:w="5000" w:type="pct"/>
            <w:gridSpan w:val="5"/>
            <w:vAlign w:val="center"/>
          </w:tcPr>
          <w:p w:rsidR="00EB08C6" w:rsidRPr="00B63D34" w:rsidRDefault="00EB08C6" w:rsidP="000D142C">
            <w:pPr>
              <w:keepNext/>
              <w:spacing w:after="0"/>
              <w:jc w:val="left"/>
            </w:pPr>
            <w:r>
              <w:rPr>
                <w:b/>
              </w:rPr>
              <w:lastRenderedPageBreak/>
              <w:t>XV-G – Enterprise-Wide</w:t>
            </w:r>
          </w:p>
        </w:tc>
      </w:tr>
      <w:tr w:rsidR="00EB08C6" w:rsidRPr="00B63D34" w:rsidTr="000D142C">
        <w:trPr>
          <w:cantSplit/>
          <w:trHeight w:val="1036"/>
          <w:jc w:val="center"/>
        </w:trPr>
        <w:tc>
          <w:tcPr>
            <w:tcW w:w="2210" w:type="pct"/>
            <w:vAlign w:val="center"/>
            <w:hideMark/>
          </w:tcPr>
          <w:p w:rsidR="00EB08C6" w:rsidRPr="00B63D34" w:rsidRDefault="00EB08C6" w:rsidP="008236C1">
            <w:pPr>
              <w:pStyle w:val="FRTableNumbering"/>
            </w:pPr>
            <w:r w:rsidRPr="00EE012C">
              <w:t>1.</w:t>
            </w:r>
            <w:r w:rsidRPr="00EE012C">
              <w:tab/>
              <w:t xml:space="preserve">PPL Corporation has a good employee </w:t>
            </w:r>
            <w:r w:rsidR="00C90CF7">
              <w:t xml:space="preserve">position </w:t>
            </w:r>
            <w:r w:rsidRPr="00EE012C">
              <w:t xml:space="preserve">and contractor </w:t>
            </w:r>
            <w:r w:rsidR="00C90CF7">
              <w:t xml:space="preserve">cost </w:t>
            </w:r>
            <w:r w:rsidRPr="00EE012C">
              <w:t xml:space="preserve">budgeting system but it is not preceded by a </w:t>
            </w:r>
            <w:r>
              <w:t>consistent</w:t>
            </w:r>
            <w:r w:rsidRPr="00EE012C">
              <w:t xml:space="preserve"> workforce planning process.</w:t>
            </w:r>
          </w:p>
        </w:tc>
        <w:tc>
          <w:tcPr>
            <w:tcW w:w="2133" w:type="pct"/>
            <w:gridSpan w:val="2"/>
            <w:vAlign w:val="center"/>
            <w:hideMark/>
          </w:tcPr>
          <w:p w:rsidR="00EB08C6" w:rsidRPr="00B63D34" w:rsidRDefault="00EB08C6" w:rsidP="008236C1">
            <w:pPr>
              <w:pStyle w:val="FRTableNumbering"/>
            </w:pPr>
            <w:r w:rsidRPr="00EE012C">
              <w:t>1.</w:t>
            </w:r>
            <w:r w:rsidRPr="00EE012C">
              <w:tab/>
              <w:t>Implement a PPL Corporation level workforce planning process to precede the budgeting process for PPL EU, PPL SC, and PPL EUS.</w:t>
            </w:r>
            <w:r w:rsidR="00536783">
              <w:t xml:space="preserve"> (See Finding 1)</w:t>
            </w:r>
          </w:p>
        </w:tc>
        <w:tc>
          <w:tcPr>
            <w:tcW w:w="656" w:type="pct"/>
            <w:gridSpan w:val="2"/>
            <w:vAlign w:val="center"/>
            <w:hideMark/>
          </w:tcPr>
          <w:p w:rsidR="00EB08C6" w:rsidRPr="00B63D34" w:rsidRDefault="00EB08C6" w:rsidP="008236C1">
            <w:pPr>
              <w:spacing w:after="0"/>
              <w:jc w:val="center"/>
            </w:pPr>
            <w:r>
              <w:t>Medium</w:t>
            </w:r>
          </w:p>
        </w:tc>
      </w:tr>
      <w:tr w:rsidR="00EB08C6" w:rsidRPr="00B63D34" w:rsidTr="000D142C">
        <w:trPr>
          <w:cantSplit/>
          <w:trHeight w:val="1029"/>
          <w:jc w:val="center"/>
        </w:trPr>
        <w:tc>
          <w:tcPr>
            <w:tcW w:w="2210" w:type="pct"/>
            <w:vAlign w:val="center"/>
          </w:tcPr>
          <w:p w:rsidR="00EB08C6" w:rsidRPr="00EE012C" w:rsidRDefault="00EB08C6" w:rsidP="008236C1">
            <w:pPr>
              <w:pStyle w:val="FRTableNumbering"/>
            </w:pPr>
            <w:r w:rsidRPr="005E1E5B">
              <w:t>2.</w:t>
            </w:r>
            <w:r w:rsidRPr="005E1E5B">
              <w:tab/>
              <w:t>PPL EU, PPL EUS, and PPL SC are inconsistent in the use of staffing, cost, and benchmarking studies for workforce planning.</w:t>
            </w:r>
          </w:p>
        </w:tc>
        <w:tc>
          <w:tcPr>
            <w:tcW w:w="2133" w:type="pct"/>
            <w:gridSpan w:val="2"/>
            <w:vAlign w:val="center"/>
          </w:tcPr>
          <w:p w:rsidR="00EB08C6" w:rsidRPr="00EE012C" w:rsidRDefault="00EB08C6" w:rsidP="00536783">
            <w:pPr>
              <w:pStyle w:val="FRTableNumbering"/>
            </w:pPr>
            <w:r w:rsidRPr="00981AEE">
              <w:t>2.</w:t>
            </w:r>
            <w:r w:rsidRPr="00981AEE">
              <w:tab/>
              <w:t>Conduct a staffing study or participate in a benchmarking study that evaluates staffing levels or labor cost a</w:t>
            </w:r>
            <w:r w:rsidR="00536783">
              <w:t>t least every three years.  (S</w:t>
            </w:r>
            <w:r w:rsidRPr="00981AEE">
              <w:t>ee Finding</w:t>
            </w:r>
            <w:r w:rsidR="00536783">
              <w:t> </w:t>
            </w:r>
            <w:r w:rsidRPr="00981AEE">
              <w:t>2)</w:t>
            </w:r>
          </w:p>
        </w:tc>
        <w:tc>
          <w:tcPr>
            <w:tcW w:w="656" w:type="pct"/>
            <w:gridSpan w:val="2"/>
            <w:vAlign w:val="center"/>
          </w:tcPr>
          <w:p w:rsidR="00EB08C6" w:rsidRPr="00B63D34" w:rsidRDefault="00EB08C6" w:rsidP="008236C1">
            <w:pPr>
              <w:spacing w:after="0"/>
              <w:jc w:val="center"/>
            </w:pPr>
            <w:r>
              <w:t xml:space="preserve">Medium </w:t>
            </w:r>
          </w:p>
        </w:tc>
      </w:tr>
      <w:tr w:rsidR="00EB08C6" w:rsidRPr="00B63D34" w:rsidTr="000D142C">
        <w:trPr>
          <w:cantSplit/>
          <w:trHeight w:val="1768"/>
          <w:jc w:val="center"/>
        </w:trPr>
        <w:tc>
          <w:tcPr>
            <w:tcW w:w="2210" w:type="pct"/>
            <w:tcBorders>
              <w:bottom w:val="single" w:sz="12" w:space="0" w:color="auto"/>
            </w:tcBorders>
            <w:vAlign w:val="center"/>
          </w:tcPr>
          <w:p w:rsidR="00EB08C6" w:rsidRPr="005E1E5B" w:rsidRDefault="00EB08C6" w:rsidP="008236C1">
            <w:pPr>
              <w:pStyle w:val="FRTableNumbering"/>
            </w:pPr>
            <w:r w:rsidRPr="00981AEE">
              <w:t>3.</w:t>
            </w:r>
            <w:r w:rsidRPr="00981AEE">
              <w:tab/>
              <w:t>The respective cost of contractors versus in-house staff has not been formally evaluated in most areas.</w:t>
            </w:r>
          </w:p>
        </w:tc>
        <w:tc>
          <w:tcPr>
            <w:tcW w:w="2133" w:type="pct"/>
            <w:gridSpan w:val="2"/>
            <w:tcBorders>
              <w:bottom w:val="single" w:sz="12" w:space="0" w:color="auto"/>
            </w:tcBorders>
            <w:vAlign w:val="center"/>
          </w:tcPr>
          <w:p w:rsidR="00EB08C6" w:rsidRPr="00EE012C" w:rsidRDefault="00EB08C6" w:rsidP="008236C1">
            <w:pPr>
              <w:pStyle w:val="FRTableNumbering"/>
            </w:pPr>
            <w:r>
              <w:t>3.</w:t>
            </w:r>
            <w:r w:rsidRPr="00981AEE">
              <w:tab/>
            </w:r>
            <w:r w:rsidRPr="000B0BDB">
              <w:t>Reevaluate the employee and contractor mix in each function on a directly comparable basis during each annual workforce planning process.  (See Finding</w:t>
            </w:r>
            <w:r>
              <w:t> </w:t>
            </w:r>
            <w:r w:rsidRPr="000B0BDB">
              <w:t>3)</w:t>
            </w:r>
          </w:p>
        </w:tc>
        <w:tc>
          <w:tcPr>
            <w:tcW w:w="656" w:type="pct"/>
            <w:gridSpan w:val="2"/>
            <w:tcBorders>
              <w:bottom w:val="single" w:sz="12" w:space="0" w:color="auto"/>
            </w:tcBorders>
            <w:vAlign w:val="center"/>
          </w:tcPr>
          <w:p w:rsidR="00EB08C6" w:rsidRPr="00B63D34" w:rsidRDefault="00EB08C6" w:rsidP="008236C1">
            <w:pPr>
              <w:spacing w:after="0"/>
              <w:jc w:val="center"/>
            </w:pPr>
            <w:r>
              <w:t>Medium</w:t>
            </w:r>
          </w:p>
        </w:tc>
      </w:tr>
      <w:tr w:rsidR="00EB08C6" w:rsidRPr="00B63D34" w:rsidTr="000D142C">
        <w:trPr>
          <w:cantSplit/>
          <w:trHeight w:val="384"/>
          <w:jc w:val="center"/>
        </w:trPr>
        <w:tc>
          <w:tcPr>
            <w:tcW w:w="5000" w:type="pct"/>
            <w:gridSpan w:val="5"/>
            <w:tcBorders>
              <w:top w:val="single" w:sz="12" w:space="0" w:color="auto"/>
            </w:tcBorders>
            <w:vAlign w:val="center"/>
          </w:tcPr>
          <w:p w:rsidR="00EB08C6" w:rsidRPr="00B63D34" w:rsidRDefault="00EB08C6" w:rsidP="008236C1">
            <w:pPr>
              <w:spacing w:after="0"/>
              <w:jc w:val="left"/>
            </w:pPr>
            <w:r>
              <w:rPr>
                <w:b/>
              </w:rPr>
              <w:t>Chapter XVI – Merger Synergy Opportunities</w:t>
            </w:r>
          </w:p>
        </w:tc>
      </w:tr>
      <w:tr w:rsidR="00EB08C6" w:rsidRPr="00B63D34" w:rsidTr="000D142C">
        <w:trPr>
          <w:cantSplit/>
          <w:trHeight w:val="31"/>
          <w:jc w:val="center"/>
        </w:trPr>
        <w:tc>
          <w:tcPr>
            <w:tcW w:w="2210" w:type="pct"/>
            <w:vAlign w:val="center"/>
          </w:tcPr>
          <w:p w:rsidR="00EB08C6" w:rsidRPr="007246FB" w:rsidRDefault="00EB08C6" w:rsidP="008236C1">
            <w:pPr>
              <w:pStyle w:val="FRTableNumbering"/>
            </w:pPr>
            <w:r w:rsidRPr="00981AEE">
              <w:t>1.</w:t>
            </w:r>
            <w:r w:rsidRPr="00981AEE">
              <w:tab/>
              <w:t>Non-fuel O&amp;M cost reductions are often achieved through utility merger synergies.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643"/>
          <w:jc w:val="center"/>
        </w:trPr>
        <w:tc>
          <w:tcPr>
            <w:tcW w:w="2210" w:type="pct"/>
            <w:vAlign w:val="center"/>
          </w:tcPr>
          <w:p w:rsidR="00EB08C6" w:rsidRPr="007246FB" w:rsidRDefault="00EB08C6" w:rsidP="008236C1">
            <w:pPr>
              <w:pStyle w:val="FRTableNumbering"/>
            </w:pPr>
            <w:r w:rsidRPr="00981AEE">
              <w:t>2.</w:t>
            </w:r>
            <w:r w:rsidRPr="00981AEE">
              <w:tab/>
              <w:t>Merger synergy non-fuel O&amp;M cost reductions vary by function.</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3"/>
          <w:jc w:val="center"/>
        </w:trPr>
        <w:tc>
          <w:tcPr>
            <w:tcW w:w="2210" w:type="pct"/>
            <w:vAlign w:val="center"/>
          </w:tcPr>
          <w:p w:rsidR="00EB08C6" w:rsidRPr="007246FB" w:rsidRDefault="00EB08C6" w:rsidP="008236C1">
            <w:pPr>
              <w:pStyle w:val="FRTableNumbering"/>
            </w:pPr>
            <w:r w:rsidRPr="00981AEE">
              <w:t>3.</w:t>
            </w:r>
            <w:r w:rsidRPr="00981AEE">
              <w:tab/>
              <w:t>The typical sources of most merger synergy cost savings are labor, facilities, supply chain, and information technology.</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913"/>
          <w:jc w:val="center"/>
        </w:trPr>
        <w:tc>
          <w:tcPr>
            <w:tcW w:w="2210" w:type="pct"/>
            <w:vAlign w:val="center"/>
          </w:tcPr>
          <w:p w:rsidR="00EB08C6" w:rsidRPr="007246FB" w:rsidRDefault="00EB08C6" w:rsidP="008236C1">
            <w:pPr>
              <w:pStyle w:val="FRTableNumbering"/>
            </w:pPr>
            <w:r w:rsidRPr="00981AEE">
              <w:t>4.</w:t>
            </w:r>
            <w:r w:rsidRPr="00981AEE">
              <w:tab/>
              <w:t>There is a well-established process for identifying and realizing merger synergies.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3"/>
          <w:jc w:val="center"/>
        </w:trPr>
        <w:tc>
          <w:tcPr>
            <w:tcW w:w="2210" w:type="pct"/>
            <w:vAlign w:val="center"/>
          </w:tcPr>
          <w:p w:rsidR="00EB08C6" w:rsidRPr="007246FB" w:rsidRDefault="00EB08C6" w:rsidP="008236C1">
            <w:pPr>
              <w:pStyle w:val="FRTableNumbering"/>
            </w:pPr>
            <w:r w:rsidRPr="00981AEE">
              <w:t>5.</w:t>
            </w:r>
            <w:r w:rsidRPr="00981AEE">
              <w:tab/>
              <w:t>Electricity rates decline an average of 0.5% after mergers.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218"/>
          <w:jc w:val="center"/>
        </w:trPr>
        <w:tc>
          <w:tcPr>
            <w:tcW w:w="2210" w:type="pct"/>
            <w:vAlign w:val="center"/>
          </w:tcPr>
          <w:p w:rsidR="00EB08C6" w:rsidRPr="007246FB" w:rsidRDefault="00EB08C6" w:rsidP="008236C1">
            <w:pPr>
              <w:pStyle w:val="FRTableNumbering"/>
            </w:pPr>
            <w:r w:rsidRPr="00981AEE">
              <w:t>6.</w:t>
            </w:r>
            <w:r w:rsidRPr="00981AEE">
              <w:tab/>
              <w:t>Studies of several mergers reveal that guaranteed customer benefits are common in merger regulatory agreements.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868"/>
          <w:jc w:val="center"/>
        </w:trPr>
        <w:tc>
          <w:tcPr>
            <w:tcW w:w="2210" w:type="pct"/>
            <w:vAlign w:val="center"/>
          </w:tcPr>
          <w:p w:rsidR="00EB08C6" w:rsidRPr="007246FB" w:rsidRDefault="00EB08C6" w:rsidP="008236C1">
            <w:pPr>
              <w:pStyle w:val="FRTableNumbering"/>
            </w:pPr>
            <w:r w:rsidRPr="00981AEE">
              <w:lastRenderedPageBreak/>
              <w:t>7.</w:t>
            </w:r>
            <w:r w:rsidRPr="00981AEE">
              <w:tab/>
              <w:t>Significant non-fuel merger synergy cost savings are often identified in utility mergers.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236"/>
          <w:jc w:val="center"/>
        </w:trPr>
        <w:tc>
          <w:tcPr>
            <w:tcW w:w="2210" w:type="pct"/>
            <w:vAlign w:val="center"/>
          </w:tcPr>
          <w:p w:rsidR="00EB08C6" w:rsidRPr="007246FB" w:rsidRDefault="00EB08C6" w:rsidP="008236C1">
            <w:pPr>
              <w:pStyle w:val="FRTableNumbering"/>
            </w:pPr>
            <w:r w:rsidRPr="00981AEE">
              <w:t>8.</w:t>
            </w:r>
            <w:r w:rsidRPr="00981AEE">
              <w:tab/>
              <w:t>The PPL Corporation acquisition of E.ON U.S. LLC did not identify any specific merger savings or customer benefits for PPL EU ratepayers, few merger synergies have been identified, and any savings to PPL EU from the merger have not been tracked.</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23"/>
          <w:jc w:val="center"/>
        </w:trPr>
        <w:tc>
          <w:tcPr>
            <w:tcW w:w="2210" w:type="pct"/>
            <w:vAlign w:val="center"/>
          </w:tcPr>
          <w:p w:rsidR="00EB08C6" w:rsidRPr="007246FB" w:rsidRDefault="00EB08C6" w:rsidP="008236C1">
            <w:pPr>
              <w:pStyle w:val="FRTableNumbering"/>
            </w:pPr>
            <w:r w:rsidRPr="00981AEE">
              <w:t>9.</w:t>
            </w:r>
            <w:r w:rsidRPr="00981AEE">
              <w:tab/>
              <w:t>The LKE Best Practices reports to the Kentucky Public Service Commission have identified few tangible merger benefits or cost savings.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624"/>
          <w:jc w:val="center"/>
        </w:trPr>
        <w:tc>
          <w:tcPr>
            <w:tcW w:w="2210" w:type="pct"/>
            <w:vAlign w:val="center"/>
          </w:tcPr>
          <w:p w:rsidR="00EB08C6" w:rsidRPr="007246FB" w:rsidRDefault="00EB08C6" w:rsidP="008236C1">
            <w:pPr>
              <w:pStyle w:val="FRTableNumbering"/>
            </w:pPr>
            <w:r w:rsidRPr="00981AEE">
              <w:t>10.</w:t>
            </w:r>
            <w:r w:rsidRPr="00981AEE">
              <w:tab/>
              <w:t>Most synergy work between the Pennsylvania and Kentucky operations has been informal and there have been no tangible merger synergies realized from the PPL EU perspective.</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921"/>
          <w:jc w:val="center"/>
        </w:trPr>
        <w:tc>
          <w:tcPr>
            <w:tcW w:w="2210" w:type="pct"/>
            <w:vAlign w:val="center"/>
          </w:tcPr>
          <w:p w:rsidR="00EB08C6" w:rsidRPr="007246FB" w:rsidRDefault="00EB08C6" w:rsidP="008236C1">
            <w:pPr>
              <w:pStyle w:val="FRTableNumbering"/>
            </w:pPr>
            <w:r w:rsidRPr="00981AEE">
              <w:t>11.</w:t>
            </w:r>
            <w:r w:rsidRPr="00981AEE">
              <w:tab/>
              <w:t>The current synergy initiative being led by the CIO illustrates the greater potential for achieving synergy savings with consolidated functional leadership.</w:t>
            </w:r>
          </w:p>
        </w:tc>
        <w:tc>
          <w:tcPr>
            <w:tcW w:w="2133" w:type="pct"/>
            <w:gridSpan w:val="2"/>
            <w:vAlign w:val="center"/>
          </w:tcPr>
          <w:p w:rsidR="00EB08C6" w:rsidRPr="00431E7E" w:rsidRDefault="00EB08C6" w:rsidP="00014490">
            <w:pPr>
              <w:spacing w:after="0"/>
              <w:ind w:left="267" w:hanging="360"/>
              <w:jc w:val="left"/>
              <w:rPr>
                <w:szCs w:val="24"/>
              </w:rPr>
            </w:pPr>
            <w:r w:rsidRPr="00431E7E">
              <w:rPr>
                <w:szCs w:val="24"/>
              </w:rPr>
              <w:t>1.</w:t>
            </w:r>
            <w:r w:rsidRPr="00431E7E">
              <w:rPr>
                <w:szCs w:val="24"/>
              </w:rPr>
              <w:tab/>
              <w:t>Appoint PPL Corporation level executives responsible enterprise-wide for each utility and support service, including transmission, distribution, and customer services.  (See Finding</w:t>
            </w:r>
            <w:r w:rsidR="00014490">
              <w:rPr>
                <w:szCs w:val="24"/>
              </w:rPr>
              <w:t> </w:t>
            </w:r>
            <w:r w:rsidRPr="00431E7E">
              <w:rPr>
                <w:szCs w:val="24"/>
              </w:rPr>
              <w:t>11)</w:t>
            </w:r>
          </w:p>
        </w:tc>
        <w:tc>
          <w:tcPr>
            <w:tcW w:w="656" w:type="pct"/>
            <w:gridSpan w:val="2"/>
            <w:vAlign w:val="center"/>
          </w:tcPr>
          <w:p w:rsidR="00EB08C6" w:rsidRPr="00B63D34" w:rsidRDefault="00EB08C6" w:rsidP="008236C1">
            <w:pPr>
              <w:spacing w:after="0"/>
              <w:jc w:val="center"/>
            </w:pPr>
            <w:r>
              <w:t>High</w:t>
            </w:r>
          </w:p>
        </w:tc>
      </w:tr>
      <w:tr w:rsidR="00EB08C6" w:rsidRPr="00B63D34" w:rsidTr="000D142C">
        <w:trPr>
          <w:cantSplit/>
          <w:trHeight w:val="23"/>
          <w:jc w:val="center"/>
        </w:trPr>
        <w:tc>
          <w:tcPr>
            <w:tcW w:w="2210" w:type="pct"/>
            <w:vAlign w:val="center"/>
          </w:tcPr>
          <w:p w:rsidR="00EB08C6" w:rsidRPr="007246FB" w:rsidRDefault="00EB08C6" w:rsidP="008236C1">
            <w:pPr>
              <w:pStyle w:val="FRTableNumbering"/>
            </w:pPr>
            <w:r w:rsidRPr="00981AEE">
              <w:t>12.</w:t>
            </w:r>
            <w:r w:rsidRPr="00981AEE">
              <w:tab/>
              <w:t>Not having consolidated functional management impedes the realization of synergies between Pennsylvania and Kentucky utility and shared services functions.</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318"/>
          <w:jc w:val="center"/>
        </w:trPr>
        <w:tc>
          <w:tcPr>
            <w:tcW w:w="2210" w:type="pct"/>
            <w:vAlign w:val="center"/>
          </w:tcPr>
          <w:p w:rsidR="00EB08C6" w:rsidRPr="007246FB" w:rsidRDefault="00EB08C6" w:rsidP="008236C1">
            <w:pPr>
              <w:pStyle w:val="FRTableNumbering"/>
            </w:pPr>
            <w:r w:rsidRPr="00981AEE">
              <w:t>13.</w:t>
            </w:r>
            <w:r w:rsidRPr="00981AEE">
              <w:tab/>
              <w:t>There are likely significant synergies available between the PPL Corporation Pennsylvania and Kentucky operations that could benefit PPL EU.</w:t>
            </w:r>
          </w:p>
        </w:tc>
        <w:tc>
          <w:tcPr>
            <w:tcW w:w="2133" w:type="pct"/>
            <w:gridSpan w:val="2"/>
            <w:vAlign w:val="center"/>
          </w:tcPr>
          <w:p w:rsidR="00EB08C6" w:rsidRPr="00431E7E" w:rsidRDefault="00EB08C6" w:rsidP="008236C1">
            <w:pPr>
              <w:spacing w:after="0"/>
              <w:jc w:val="left"/>
              <w:rPr>
                <w:szCs w:val="24"/>
              </w:rPr>
            </w:pPr>
          </w:p>
        </w:tc>
        <w:tc>
          <w:tcPr>
            <w:tcW w:w="656" w:type="pct"/>
            <w:gridSpan w:val="2"/>
            <w:vAlign w:val="center"/>
          </w:tcPr>
          <w:p w:rsidR="00EB08C6" w:rsidRPr="00B63D34" w:rsidRDefault="00EB08C6" w:rsidP="008236C1">
            <w:pPr>
              <w:spacing w:after="0"/>
              <w:jc w:val="center"/>
            </w:pPr>
          </w:p>
        </w:tc>
      </w:tr>
      <w:tr w:rsidR="00EB08C6" w:rsidRPr="00B63D34" w:rsidTr="000D142C">
        <w:trPr>
          <w:cantSplit/>
          <w:trHeight w:val="1714"/>
          <w:jc w:val="center"/>
        </w:trPr>
        <w:tc>
          <w:tcPr>
            <w:tcW w:w="2210" w:type="pct"/>
            <w:vAlign w:val="center"/>
          </w:tcPr>
          <w:p w:rsidR="00EB08C6" w:rsidRPr="007246FB" w:rsidRDefault="00EB08C6" w:rsidP="008236C1">
            <w:pPr>
              <w:pStyle w:val="FRTableNumbering"/>
            </w:pPr>
            <w:r w:rsidRPr="00981AEE">
              <w:lastRenderedPageBreak/>
              <w:t>14.</w:t>
            </w:r>
            <w:r w:rsidRPr="00981AEE">
              <w:tab/>
              <w:t>Regulatory merger conditions constrain but do not prevent merger synergy initiatives to achieve cost savings or other benefits.</w:t>
            </w:r>
          </w:p>
        </w:tc>
        <w:tc>
          <w:tcPr>
            <w:tcW w:w="2133" w:type="pct"/>
            <w:gridSpan w:val="2"/>
            <w:vAlign w:val="center"/>
          </w:tcPr>
          <w:p w:rsidR="00EB08C6" w:rsidRPr="00431E7E" w:rsidRDefault="00EB08C6" w:rsidP="008236C1">
            <w:pPr>
              <w:spacing w:after="0"/>
              <w:ind w:left="267" w:hanging="267"/>
              <w:jc w:val="left"/>
              <w:rPr>
                <w:szCs w:val="24"/>
              </w:rPr>
            </w:pPr>
            <w:r w:rsidRPr="00431E7E">
              <w:rPr>
                <w:szCs w:val="24"/>
              </w:rPr>
              <w:t>2.</w:t>
            </w:r>
            <w:r w:rsidRPr="00431E7E">
              <w:rPr>
                <w:szCs w:val="24"/>
              </w:rPr>
              <w:tab/>
              <w:t>Charter a robust merger synergy initiative as constrained by the regulatory merger conditions and follow a well-established process to achieve merger synergies.  (See Findings 1–10 and 12–14)</w:t>
            </w:r>
          </w:p>
        </w:tc>
        <w:tc>
          <w:tcPr>
            <w:tcW w:w="656" w:type="pct"/>
            <w:gridSpan w:val="2"/>
            <w:vAlign w:val="center"/>
          </w:tcPr>
          <w:p w:rsidR="00EB08C6" w:rsidRPr="00B63D34" w:rsidRDefault="00EB08C6" w:rsidP="008236C1">
            <w:pPr>
              <w:spacing w:after="0"/>
              <w:jc w:val="center"/>
            </w:pPr>
            <w:r>
              <w:t>High</w:t>
            </w:r>
          </w:p>
        </w:tc>
      </w:tr>
    </w:tbl>
    <w:p w:rsidR="00EB08C6" w:rsidRPr="00681EB7" w:rsidRDefault="00EB08C6" w:rsidP="008236C1">
      <w:pPr>
        <w:pStyle w:val="Heading30"/>
        <w:rPr>
          <w:rFonts w:eastAsiaTheme="minorHAnsi" w:cs="Arial"/>
          <w:bCs/>
        </w:rPr>
      </w:pPr>
      <w:r>
        <w:rPr>
          <w:rFonts w:eastAsiaTheme="minorHAnsi"/>
        </w:rPr>
        <w:t>cost savings</w:t>
      </w:r>
    </w:p>
    <w:p w:rsidR="00EB08C6" w:rsidRDefault="00EB08C6" w:rsidP="008236C1">
      <w:pPr>
        <w:pStyle w:val="Normal-aftertable"/>
        <w:rPr>
          <w:rFonts w:eastAsiaTheme="minorHAnsi"/>
        </w:rPr>
      </w:pPr>
      <w:r w:rsidRPr="00431E7E">
        <w:t>For the majority of recommendations, it</w:t>
      </w:r>
      <w:r w:rsidRPr="00CB7D2F">
        <w:rPr>
          <w:rFonts w:eastAsiaTheme="minorHAnsi"/>
        </w:rPr>
        <w:t xml:space="preserve"> is not possible or practical to estimate quantitative benefits as their benefits are of a qualitative nature or there was insufficient data available</w:t>
      </w:r>
      <w:r>
        <w:rPr>
          <w:rFonts w:eastAsiaTheme="minorHAnsi"/>
        </w:rPr>
        <w:t xml:space="preserve"> </w:t>
      </w:r>
      <w:r w:rsidRPr="00CB7D2F">
        <w:rPr>
          <w:rFonts w:eastAsiaTheme="minorHAnsi"/>
        </w:rPr>
        <w:t xml:space="preserve">to quantify the impact.  For example, it is difficult to estimate the actual benefit where new management practices or procedures are recommended where such did not previously exist or </w:t>
      </w:r>
      <w:r>
        <w:rPr>
          <w:rFonts w:eastAsiaTheme="minorHAnsi"/>
        </w:rPr>
        <w:t>were</w:t>
      </w:r>
      <w:r w:rsidRPr="00CB7D2F">
        <w:rPr>
          <w:rFonts w:eastAsiaTheme="minorHAnsi"/>
        </w:rPr>
        <w:t xml:space="preserve"> not fully functional.  Similarly, changes in work flow processes or implement</w:t>
      </w:r>
      <w:r>
        <w:rPr>
          <w:rFonts w:eastAsiaTheme="minorHAnsi"/>
        </w:rPr>
        <w:t>ing</w:t>
      </w:r>
      <w:r w:rsidRPr="00CB7D2F">
        <w:rPr>
          <w:rFonts w:eastAsiaTheme="minorHAnsi"/>
        </w:rPr>
        <w:t xml:space="preserve"> good business practices will result in improved effectiveness and efficiency of a specific function but cannot be easily quantified.</w:t>
      </w:r>
    </w:p>
    <w:p w:rsidR="00EB08C6" w:rsidRDefault="00EB08C6" w:rsidP="00CD350B">
      <w:pPr>
        <w:rPr>
          <w:rFonts w:eastAsiaTheme="minorHAnsi"/>
        </w:rPr>
      </w:pPr>
      <w:r>
        <w:rPr>
          <w:rFonts w:eastAsiaTheme="minorHAnsi"/>
        </w:rPr>
        <w:t>PPL EU</w:t>
      </w:r>
      <w:r w:rsidRPr="00CB7D2F">
        <w:rPr>
          <w:rFonts w:eastAsiaTheme="minorHAnsi"/>
        </w:rPr>
        <w:t xml:space="preserve"> will have varying ways to implement the recommendations </w:t>
      </w:r>
      <w:r>
        <w:rPr>
          <w:rFonts w:eastAsiaTheme="minorHAnsi"/>
        </w:rPr>
        <w:t xml:space="preserve">and V&amp;A </w:t>
      </w:r>
      <w:r w:rsidRPr="00CB7D2F">
        <w:rPr>
          <w:rFonts w:eastAsiaTheme="minorHAnsi"/>
        </w:rPr>
        <w:t>has not estimated the cost of imp</w:t>
      </w:r>
      <w:r>
        <w:rPr>
          <w:rFonts w:eastAsiaTheme="minorHAnsi"/>
        </w:rPr>
        <w:t>lementation for recommendations</w:t>
      </w:r>
      <w:r w:rsidRPr="00CB7D2F">
        <w:rPr>
          <w:rFonts w:eastAsiaTheme="minorHAnsi"/>
        </w:rPr>
        <w:t>.  However, it should be noted by the reader that the cost of implementing certain recommendations could be significant.</w:t>
      </w:r>
    </w:p>
    <w:p w:rsidR="009121C2" w:rsidRPr="00BA3C72" w:rsidRDefault="009121C2" w:rsidP="009121C2">
      <w:pPr>
        <w:pStyle w:val="Normal-aftertable"/>
        <w:rPr>
          <w:rFonts w:eastAsiaTheme="minorHAnsi"/>
        </w:rPr>
      </w:pPr>
      <w:r>
        <w:rPr>
          <w:rFonts w:eastAsiaTheme="minorHAnsi"/>
        </w:rPr>
        <w:t>The following table identifies annual savings of $3,383,500 as estimated by PPL EU from implementation of certain recommendations</w:t>
      </w:r>
      <w:r>
        <w:t xml:space="preserve">.   </w:t>
      </w:r>
    </w:p>
    <w:p w:rsidR="000D142C" w:rsidRDefault="000D142C">
      <w:pPr>
        <w:spacing w:after="0"/>
        <w:jc w:val="left"/>
        <w:rPr>
          <w:b/>
          <w:bCs/>
          <w:szCs w:val="18"/>
        </w:rPr>
      </w:pPr>
      <w:r>
        <w:br w:type="page"/>
      </w:r>
    </w:p>
    <w:p w:rsidR="009121C2" w:rsidRDefault="00CA3BDB" w:rsidP="00CA3BDB">
      <w:pPr>
        <w:pStyle w:val="Caption"/>
        <w:rPr>
          <w:rFonts w:eastAsiaTheme="minorHAnsi"/>
        </w:rPr>
      </w:pPr>
      <w:bookmarkStart w:id="14" w:name="_Toc464552926"/>
      <w:r>
        <w:lastRenderedPageBreak/>
        <w:t xml:space="preserve">Exhibit </w:t>
      </w:r>
      <w:r w:rsidR="00CB2B2A">
        <w:fldChar w:fldCharType="begin"/>
      </w:r>
      <w:r w:rsidR="00EC053E">
        <w:instrText xml:space="preserve"> STYLEREF 1 \s </w:instrText>
      </w:r>
      <w:r w:rsidR="00CB2B2A">
        <w:fldChar w:fldCharType="separate"/>
      </w:r>
      <w:r>
        <w:rPr>
          <w:noProof/>
        </w:rPr>
        <w:t>I</w:t>
      </w:r>
      <w:r w:rsidR="00CB2B2A">
        <w:rPr>
          <w:noProof/>
        </w:rPr>
        <w:fldChar w:fldCharType="end"/>
      </w:r>
      <w:r>
        <w:noBreakHyphen/>
      </w:r>
      <w:r w:rsidR="00CB2B2A">
        <w:fldChar w:fldCharType="begin"/>
      </w:r>
      <w:r w:rsidR="00EC053E">
        <w:instrText xml:space="preserve"> SEQ Exhibit \* ARABIC \s 1 </w:instrText>
      </w:r>
      <w:r w:rsidR="00CB2B2A">
        <w:fldChar w:fldCharType="separate"/>
      </w:r>
      <w:r>
        <w:rPr>
          <w:noProof/>
        </w:rPr>
        <w:t>4</w:t>
      </w:r>
      <w:r w:rsidR="00CB2B2A">
        <w:rPr>
          <w:noProof/>
        </w:rPr>
        <w:fldChar w:fldCharType="end"/>
      </w:r>
      <w:r>
        <w:br/>
      </w:r>
      <w:r w:rsidR="009121C2">
        <w:rPr>
          <w:rFonts w:eastAsiaTheme="minorHAnsi"/>
        </w:rPr>
        <w:t>Annual Cost Savings Estimates</w:t>
      </w:r>
      <w:bookmarkEnd w:id="14"/>
    </w:p>
    <w:tbl>
      <w:tblPr>
        <w:tblStyle w:val="TableGrid"/>
        <w:tblW w:w="9469" w:type="dxa"/>
        <w:jc w:val="center"/>
        <w:tblCellMar>
          <w:top w:w="14" w:type="dxa"/>
          <w:left w:w="115" w:type="dxa"/>
          <w:bottom w:w="14" w:type="dxa"/>
          <w:right w:w="115" w:type="dxa"/>
        </w:tblCellMar>
        <w:tblLook w:val="04A0"/>
      </w:tblPr>
      <w:tblGrid>
        <w:gridCol w:w="1084"/>
        <w:gridCol w:w="1940"/>
        <w:gridCol w:w="4360"/>
        <w:gridCol w:w="2085"/>
      </w:tblGrid>
      <w:tr w:rsidR="009121C2" w:rsidRPr="00B63D34" w:rsidTr="005C4908">
        <w:trPr>
          <w:cantSplit/>
          <w:trHeight w:val="315"/>
          <w:tblHeader/>
          <w:jc w:val="center"/>
        </w:trPr>
        <w:tc>
          <w:tcPr>
            <w:tcW w:w="1084" w:type="dxa"/>
            <w:tcBorders>
              <w:top w:val="single" w:sz="4" w:space="0" w:color="auto"/>
              <w:left w:val="single" w:sz="4" w:space="0" w:color="auto"/>
              <w:bottom w:val="single" w:sz="4" w:space="0" w:color="auto"/>
            </w:tcBorders>
            <w:shd w:val="clear" w:color="auto" w:fill="A5CD7E"/>
            <w:noWrap/>
            <w:vAlign w:val="center"/>
            <w:hideMark/>
          </w:tcPr>
          <w:p w:rsidR="009121C2" w:rsidRPr="00B63D34" w:rsidRDefault="009121C2" w:rsidP="005C4908">
            <w:pPr>
              <w:spacing w:before="120"/>
              <w:jc w:val="center"/>
              <w:rPr>
                <w:b/>
                <w:bCs/>
              </w:rPr>
            </w:pPr>
            <w:r w:rsidRPr="00B63D34">
              <w:rPr>
                <w:b/>
                <w:bCs/>
              </w:rPr>
              <w:t>No.</w:t>
            </w:r>
          </w:p>
        </w:tc>
        <w:tc>
          <w:tcPr>
            <w:tcW w:w="1940" w:type="dxa"/>
            <w:tcBorders>
              <w:top w:val="single" w:sz="4" w:space="0" w:color="auto"/>
              <w:bottom w:val="single" w:sz="4" w:space="0" w:color="auto"/>
            </w:tcBorders>
            <w:shd w:val="clear" w:color="auto" w:fill="A5CD7E"/>
            <w:noWrap/>
            <w:vAlign w:val="center"/>
            <w:hideMark/>
          </w:tcPr>
          <w:p w:rsidR="009121C2" w:rsidRPr="00B63D34" w:rsidRDefault="009121C2" w:rsidP="005C4908">
            <w:pPr>
              <w:spacing w:before="120"/>
              <w:jc w:val="center"/>
              <w:rPr>
                <w:b/>
                <w:bCs/>
              </w:rPr>
            </w:pPr>
            <w:r w:rsidRPr="00B63D34">
              <w:rPr>
                <w:b/>
                <w:bCs/>
              </w:rPr>
              <w:t>Chapter</w:t>
            </w:r>
          </w:p>
        </w:tc>
        <w:tc>
          <w:tcPr>
            <w:tcW w:w="4360" w:type="dxa"/>
            <w:tcBorders>
              <w:top w:val="single" w:sz="4" w:space="0" w:color="auto"/>
              <w:bottom w:val="single" w:sz="4" w:space="0" w:color="auto"/>
            </w:tcBorders>
            <w:shd w:val="clear" w:color="auto" w:fill="A5CD7E"/>
            <w:noWrap/>
            <w:vAlign w:val="center"/>
            <w:hideMark/>
          </w:tcPr>
          <w:p w:rsidR="009121C2" w:rsidRPr="00B63D34" w:rsidRDefault="009121C2" w:rsidP="005C4908">
            <w:pPr>
              <w:spacing w:before="120"/>
              <w:jc w:val="center"/>
              <w:rPr>
                <w:b/>
                <w:bCs/>
              </w:rPr>
            </w:pPr>
            <w:r>
              <w:rPr>
                <w:b/>
                <w:bCs/>
              </w:rPr>
              <w:t>Recommendation</w:t>
            </w:r>
          </w:p>
        </w:tc>
        <w:tc>
          <w:tcPr>
            <w:tcW w:w="2085" w:type="dxa"/>
            <w:tcBorders>
              <w:top w:val="single" w:sz="4" w:space="0" w:color="auto"/>
              <w:bottom w:val="single" w:sz="4" w:space="0" w:color="auto"/>
            </w:tcBorders>
            <w:shd w:val="clear" w:color="auto" w:fill="A5CD7E"/>
            <w:noWrap/>
            <w:vAlign w:val="center"/>
            <w:hideMark/>
          </w:tcPr>
          <w:p w:rsidR="009121C2" w:rsidRPr="00B63D34" w:rsidRDefault="009121C2" w:rsidP="005C4908">
            <w:pPr>
              <w:spacing w:before="120"/>
              <w:jc w:val="center"/>
              <w:rPr>
                <w:b/>
                <w:bCs/>
              </w:rPr>
            </w:pPr>
            <w:r w:rsidRPr="00E21107">
              <w:rPr>
                <w:b/>
              </w:rPr>
              <w:t>Annual Savings</w:t>
            </w:r>
          </w:p>
        </w:tc>
      </w:tr>
      <w:tr w:rsidR="009121C2" w:rsidRPr="00B63D34" w:rsidTr="005C4908">
        <w:trPr>
          <w:cantSplit/>
          <w:trHeight w:val="20"/>
          <w:jc w:val="center"/>
        </w:trPr>
        <w:tc>
          <w:tcPr>
            <w:tcW w:w="1084" w:type="dxa"/>
            <w:tcBorders>
              <w:top w:val="single" w:sz="4" w:space="0" w:color="auto"/>
              <w:left w:val="single" w:sz="4" w:space="0" w:color="auto"/>
              <w:bottom w:val="single" w:sz="4" w:space="0" w:color="auto"/>
            </w:tcBorders>
            <w:vAlign w:val="center"/>
          </w:tcPr>
          <w:p w:rsidR="009121C2" w:rsidRPr="00B63D34" w:rsidRDefault="009121C2" w:rsidP="005C4908">
            <w:pPr>
              <w:spacing w:after="0"/>
              <w:jc w:val="center"/>
            </w:pPr>
            <w:r w:rsidRPr="00B63D34">
              <w:t>VI-B</w:t>
            </w:r>
          </w:p>
        </w:tc>
        <w:tc>
          <w:tcPr>
            <w:tcW w:w="1940" w:type="dxa"/>
            <w:tcBorders>
              <w:top w:val="single" w:sz="4" w:space="0" w:color="auto"/>
              <w:bottom w:val="single" w:sz="4" w:space="0" w:color="auto"/>
            </w:tcBorders>
            <w:vAlign w:val="center"/>
          </w:tcPr>
          <w:p w:rsidR="009121C2" w:rsidRPr="00242E06" w:rsidRDefault="009121C2" w:rsidP="005C4908">
            <w:pPr>
              <w:pStyle w:val="FRTableNumbering"/>
              <w:ind w:left="0" w:firstLine="0"/>
              <w:jc w:val="center"/>
              <w:rPr>
                <w:szCs w:val="22"/>
              </w:rPr>
            </w:pPr>
            <w:r w:rsidRPr="00242E06">
              <w:rPr>
                <w:szCs w:val="22"/>
              </w:rPr>
              <w:t>Distribution Operations</w:t>
            </w:r>
          </w:p>
        </w:tc>
        <w:tc>
          <w:tcPr>
            <w:tcW w:w="4360" w:type="dxa"/>
            <w:tcBorders>
              <w:top w:val="single" w:sz="4" w:space="0" w:color="auto"/>
              <w:bottom w:val="single" w:sz="4" w:space="0" w:color="auto"/>
            </w:tcBorders>
            <w:vAlign w:val="center"/>
            <w:hideMark/>
          </w:tcPr>
          <w:p w:rsidR="009121C2" w:rsidRPr="00242E06" w:rsidRDefault="009121C2" w:rsidP="005C4908">
            <w:pPr>
              <w:pStyle w:val="FRTableNumbering"/>
              <w:rPr>
                <w:szCs w:val="22"/>
              </w:rPr>
            </w:pPr>
            <w:r w:rsidRPr="00242E06">
              <w:rPr>
                <w:szCs w:val="22"/>
              </w:rPr>
              <w:t xml:space="preserve">3. </w:t>
            </w:r>
            <w:r w:rsidRPr="00242E06">
              <w:rPr>
                <w:szCs w:val="22"/>
              </w:rPr>
              <w:tab/>
              <w:t>Complete the planned linkage of substation maintenance cycles in the asset management application.</w:t>
            </w:r>
          </w:p>
        </w:tc>
        <w:tc>
          <w:tcPr>
            <w:tcW w:w="2085" w:type="dxa"/>
            <w:tcBorders>
              <w:top w:val="single" w:sz="4" w:space="0" w:color="auto"/>
              <w:bottom w:val="single" w:sz="4" w:space="0" w:color="auto"/>
            </w:tcBorders>
            <w:vAlign w:val="center"/>
            <w:hideMark/>
          </w:tcPr>
          <w:p w:rsidR="009121C2" w:rsidRPr="00B63D34" w:rsidRDefault="009121C2" w:rsidP="005C4908">
            <w:pPr>
              <w:spacing w:after="0"/>
              <w:jc w:val="right"/>
            </w:pPr>
            <w:r>
              <w:t>$62,500</w:t>
            </w:r>
          </w:p>
        </w:tc>
      </w:tr>
      <w:tr w:rsidR="009121C2" w:rsidRPr="00B63D34" w:rsidTr="009121C2">
        <w:trPr>
          <w:cantSplit/>
          <w:trHeight w:val="1606"/>
          <w:jc w:val="center"/>
        </w:trPr>
        <w:tc>
          <w:tcPr>
            <w:tcW w:w="1084" w:type="dxa"/>
            <w:tcBorders>
              <w:top w:val="single" w:sz="4" w:space="0" w:color="auto"/>
              <w:left w:val="single" w:sz="4" w:space="0" w:color="auto"/>
              <w:bottom w:val="single" w:sz="4" w:space="0" w:color="auto"/>
            </w:tcBorders>
            <w:vAlign w:val="center"/>
          </w:tcPr>
          <w:p w:rsidR="009121C2" w:rsidRPr="00B63D34" w:rsidRDefault="009121C2" w:rsidP="005C4908">
            <w:pPr>
              <w:spacing w:after="0"/>
              <w:jc w:val="center"/>
            </w:pPr>
            <w:r w:rsidRPr="00B63D34">
              <w:t>VIII-A</w:t>
            </w:r>
          </w:p>
        </w:tc>
        <w:tc>
          <w:tcPr>
            <w:tcW w:w="1940" w:type="dxa"/>
            <w:tcBorders>
              <w:top w:val="single" w:sz="4" w:space="0" w:color="auto"/>
              <w:bottom w:val="single" w:sz="4" w:space="0" w:color="auto"/>
            </w:tcBorders>
            <w:vAlign w:val="center"/>
          </w:tcPr>
          <w:p w:rsidR="009121C2" w:rsidRPr="00B63D34" w:rsidRDefault="009121C2" w:rsidP="005C4908">
            <w:pPr>
              <w:pStyle w:val="FRTableNumbering"/>
              <w:ind w:left="0" w:firstLine="0"/>
              <w:jc w:val="center"/>
            </w:pPr>
            <w:r w:rsidRPr="00B63D34">
              <w:t>Technical Development and Improvement</w:t>
            </w:r>
          </w:p>
        </w:tc>
        <w:tc>
          <w:tcPr>
            <w:tcW w:w="4360" w:type="dxa"/>
            <w:tcBorders>
              <w:top w:val="single" w:sz="4" w:space="0" w:color="auto"/>
              <w:bottom w:val="single" w:sz="4" w:space="0" w:color="auto"/>
            </w:tcBorders>
            <w:vAlign w:val="center"/>
            <w:hideMark/>
          </w:tcPr>
          <w:p w:rsidR="009121C2" w:rsidRPr="00B63D34" w:rsidRDefault="009121C2" w:rsidP="005C4908">
            <w:pPr>
              <w:pStyle w:val="FRTableNumbering"/>
            </w:pPr>
            <w:r>
              <w:t>1.</w:t>
            </w:r>
            <w:r w:rsidRPr="009A7B2F">
              <w:t xml:space="preserve"> </w:t>
            </w:r>
            <w:r w:rsidRPr="009A7B2F">
              <w:tab/>
            </w:r>
            <w:r w:rsidRPr="00B63D34">
              <w:t>Analyze the causes of all motor vehicle accidents and develop or modify the defensive driving program to focus on avoidance of all types of veh</w:t>
            </w:r>
            <w:r>
              <w:t xml:space="preserve">icle accidents. </w:t>
            </w:r>
          </w:p>
        </w:tc>
        <w:tc>
          <w:tcPr>
            <w:tcW w:w="2085" w:type="dxa"/>
            <w:tcBorders>
              <w:top w:val="single" w:sz="4" w:space="0" w:color="auto"/>
              <w:bottom w:val="single" w:sz="4" w:space="0" w:color="auto"/>
            </w:tcBorders>
            <w:vAlign w:val="center"/>
            <w:hideMark/>
          </w:tcPr>
          <w:p w:rsidR="009121C2" w:rsidRPr="00B63D34" w:rsidRDefault="009121C2" w:rsidP="005C4908">
            <w:pPr>
              <w:spacing w:after="0"/>
              <w:jc w:val="right"/>
            </w:pPr>
            <w:r>
              <w:t>$261,000</w:t>
            </w:r>
          </w:p>
        </w:tc>
      </w:tr>
      <w:tr w:rsidR="009121C2" w:rsidRPr="00B63D34" w:rsidTr="005C4908">
        <w:trPr>
          <w:cantSplit/>
          <w:trHeight w:val="20"/>
          <w:jc w:val="center"/>
        </w:trPr>
        <w:tc>
          <w:tcPr>
            <w:tcW w:w="1084" w:type="dxa"/>
            <w:vMerge w:val="restart"/>
            <w:tcBorders>
              <w:left w:val="single" w:sz="4" w:space="0" w:color="auto"/>
            </w:tcBorders>
            <w:vAlign w:val="center"/>
          </w:tcPr>
          <w:p w:rsidR="009121C2" w:rsidRPr="00B63D34" w:rsidRDefault="009121C2" w:rsidP="005C4908">
            <w:pPr>
              <w:pStyle w:val="FRTableNumbering"/>
              <w:jc w:val="center"/>
            </w:pPr>
            <w:r w:rsidRPr="00B63D34">
              <w:t>VIII-B</w:t>
            </w:r>
          </w:p>
        </w:tc>
        <w:tc>
          <w:tcPr>
            <w:tcW w:w="1940" w:type="dxa"/>
            <w:vMerge w:val="restart"/>
            <w:vAlign w:val="center"/>
          </w:tcPr>
          <w:p w:rsidR="009121C2" w:rsidRPr="00B63D34" w:rsidRDefault="009121C2" w:rsidP="005C4908">
            <w:pPr>
              <w:pStyle w:val="FRTableNumbering"/>
              <w:ind w:left="0" w:firstLine="0"/>
              <w:jc w:val="center"/>
            </w:pPr>
            <w:r w:rsidRPr="00B63D34">
              <w:t>Supply Chain</w:t>
            </w:r>
          </w:p>
        </w:tc>
        <w:tc>
          <w:tcPr>
            <w:tcW w:w="4360" w:type="dxa"/>
            <w:tcBorders>
              <w:bottom w:val="nil"/>
            </w:tcBorders>
            <w:vAlign w:val="center"/>
            <w:hideMark/>
          </w:tcPr>
          <w:p w:rsidR="009121C2" w:rsidRPr="00B63D34" w:rsidRDefault="009121C2" w:rsidP="005C4908">
            <w:pPr>
              <w:pStyle w:val="FRTableNumbering"/>
            </w:pPr>
            <w:r>
              <w:t>3.</w:t>
            </w:r>
            <w:r w:rsidRPr="009A7B2F">
              <w:t xml:space="preserve"> </w:t>
            </w:r>
            <w:r w:rsidRPr="009A7B2F">
              <w:tab/>
            </w:r>
            <w:r w:rsidRPr="00B63D34">
              <w:t>Conduct a comprehensive review of emergency stock and spares at leas</w:t>
            </w:r>
            <w:r>
              <w:t xml:space="preserve">t every two years.  </w:t>
            </w:r>
          </w:p>
        </w:tc>
        <w:tc>
          <w:tcPr>
            <w:tcW w:w="2085" w:type="dxa"/>
            <w:tcBorders>
              <w:bottom w:val="nil"/>
            </w:tcBorders>
            <w:vAlign w:val="center"/>
            <w:hideMark/>
          </w:tcPr>
          <w:p w:rsidR="009121C2" w:rsidRPr="004A677B" w:rsidRDefault="009121C2" w:rsidP="005C4908">
            <w:pPr>
              <w:pStyle w:val="FRTableNumbering"/>
              <w:jc w:val="right"/>
            </w:pPr>
            <w:r>
              <w:t>$240</w:t>
            </w:r>
            <w:r w:rsidRPr="004A677B">
              <w:t>,000</w:t>
            </w:r>
          </w:p>
        </w:tc>
      </w:tr>
      <w:tr w:rsidR="009121C2" w:rsidRPr="00B63D34" w:rsidTr="009121C2">
        <w:trPr>
          <w:cantSplit/>
          <w:trHeight w:val="20"/>
          <w:jc w:val="center"/>
        </w:trPr>
        <w:tc>
          <w:tcPr>
            <w:tcW w:w="1084" w:type="dxa"/>
            <w:vMerge/>
            <w:tcBorders>
              <w:left w:val="single" w:sz="4" w:space="0" w:color="auto"/>
              <w:bottom w:val="single" w:sz="4" w:space="0" w:color="auto"/>
            </w:tcBorders>
            <w:vAlign w:val="center"/>
          </w:tcPr>
          <w:p w:rsidR="009121C2" w:rsidRPr="00B63D34" w:rsidRDefault="009121C2" w:rsidP="005C4908">
            <w:pPr>
              <w:pStyle w:val="FRTableNumbering"/>
              <w:jc w:val="center"/>
            </w:pPr>
          </w:p>
        </w:tc>
        <w:tc>
          <w:tcPr>
            <w:tcW w:w="1940" w:type="dxa"/>
            <w:vMerge/>
            <w:tcBorders>
              <w:bottom w:val="single" w:sz="4" w:space="0" w:color="auto"/>
            </w:tcBorders>
            <w:vAlign w:val="center"/>
          </w:tcPr>
          <w:p w:rsidR="009121C2" w:rsidRPr="00B63D34" w:rsidRDefault="009121C2" w:rsidP="005C4908">
            <w:pPr>
              <w:pStyle w:val="FRTableNumbering"/>
            </w:pPr>
          </w:p>
        </w:tc>
        <w:tc>
          <w:tcPr>
            <w:tcW w:w="4360" w:type="dxa"/>
            <w:tcBorders>
              <w:top w:val="nil"/>
              <w:bottom w:val="single" w:sz="4" w:space="0" w:color="auto"/>
            </w:tcBorders>
            <w:vAlign w:val="center"/>
          </w:tcPr>
          <w:p w:rsidR="009121C2" w:rsidRPr="00B63D34" w:rsidRDefault="009121C2" w:rsidP="005C4908">
            <w:pPr>
              <w:pStyle w:val="FRTableNumbering"/>
            </w:pPr>
            <w:r>
              <w:t>4.</w:t>
            </w:r>
            <w:r w:rsidRPr="009A7B2F">
              <w:t xml:space="preserve"> </w:t>
            </w:r>
            <w:r w:rsidRPr="009A7B2F">
              <w:tab/>
            </w:r>
            <w:r w:rsidRPr="00B63D34">
              <w:t xml:space="preserve">Decrease the threshold for review of zero use items from three years to no more </w:t>
            </w:r>
            <w:r>
              <w:t xml:space="preserve">than two years.  </w:t>
            </w:r>
          </w:p>
        </w:tc>
        <w:tc>
          <w:tcPr>
            <w:tcW w:w="2085" w:type="dxa"/>
            <w:tcBorders>
              <w:top w:val="nil"/>
              <w:bottom w:val="single" w:sz="4" w:space="0" w:color="auto"/>
            </w:tcBorders>
            <w:vAlign w:val="center"/>
          </w:tcPr>
          <w:p w:rsidR="009121C2" w:rsidRPr="004A677B" w:rsidRDefault="009121C2" w:rsidP="005C4908">
            <w:pPr>
              <w:pStyle w:val="FRTableNumbering"/>
              <w:jc w:val="right"/>
            </w:pPr>
            <w:r>
              <w:t>$96</w:t>
            </w:r>
            <w:r w:rsidRPr="004A677B">
              <w:t>,000</w:t>
            </w:r>
          </w:p>
        </w:tc>
      </w:tr>
      <w:tr w:rsidR="009121C2" w:rsidRPr="00B63D34" w:rsidTr="009121C2">
        <w:trPr>
          <w:cantSplit/>
          <w:trHeight w:val="600"/>
          <w:jc w:val="center"/>
        </w:trPr>
        <w:tc>
          <w:tcPr>
            <w:tcW w:w="1084" w:type="dxa"/>
            <w:tcBorders>
              <w:top w:val="single" w:sz="4" w:space="0" w:color="auto"/>
              <w:left w:val="single" w:sz="4" w:space="0" w:color="auto"/>
              <w:bottom w:val="single" w:sz="4" w:space="0" w:color="auto"/>
            </w:tcBorders>
            <w:vAlign w:val="center"/>
          </w:tcPr>
          <w:p w:rsidR="009121C2" w:rsidRDefault="009121C2" w:rsidP="005C4908">
            <w:pPr>
              <w:pStyle w:val="FRTableNumbering"/>
              <w:jc w:val="center"/>
            </w:pPr>
            <w:r>
              <w:t>IX-E</w:t>
            </w:r>
          </w:p>
          <w:p w:rsidR="009121C2" w:rsidRDefault="009121C2" w:rsidP="005C4908">
            <w:pPr>
              <w:pStyle w:val="FRTableNumbering"/>
              <w:jc w:val="center"/>
            </w:pPr>
            <w:r>
              <w:t>and</w:t>
            </w:r>
          </w:p>
          <w:p w:rsidR="009121C2" w:rsidRPr="00B63D34" w:rsidRDefault="009121C2" w:rsidP="005C4908">
            <w:pPr>
              <w:pStyle w:val="FRTableNumbering"/>
              <w:jc w:val="center"/>
            </w:pPr>
            <w:r>
              <w:t>IX-F</w:t>
            </w:r>
          </w:p>
        </w:tc>
        <w:tc>
          <w:tcPr>
            <w:tcW w:w="1940" w:type="dxa"/>
            <w:tcBorders>
              <w:top w:val="single" w:sz="4" w:space="0" w:color="auto"/>
              <w:bottom w:val="single" w:sz="4" w:space="0" w:color="auto"/>
            </w:tcBorders>
            <w:vAlign w:val="center"/>
          </w:tcPr>
          <w:p w:rsidR="009121C2" w:rsidRPr="00B63D34" w:rsidRDefault="009121C2" w:rsidP="005C4908">
            <w:pPr>
              <w:pStyle w:val="FRTableNumbering"/>
              <w:ind w:left="0" w:firstLine="0"/>
              <w:jc w:val="center"/>
            </w:pPr>
            <w:r>
              <w:t>Advanced Metering and Data Operations and Revenue Operations</w:t>
            </w:r>
          </w:p>
        </w:tc>
        <w:tc>
          <w:tcPr>
            <w:tcW w:w="4360" w:type="dxa"/>
            <w:tcBorders>
              <w:top w:val="single" w:sz="4" w:space="0" w:color="auto"/>
              <w:bottom w:val="single" w:sz="4" w:space="0" w:color="auto"/>
            </w:tcBorders>
            <w:vAlign w:val="center"/>
          </w:tcPr>
          <w:p w:rsidR="009121C2" w:rsidRPr="00B63D34" w:rsidRDefault="009121C2" w:rsidP="005C4908">
            <w:pPr>
              <w:pStyle w:val="FRTableNumbering"/>
            </w:pPr>
            <w:r w:rsidRPr="00332354">
              <w:t>1.</w:t>
            </w:r>
            <w:r w:rsidRPr="00332354">
              <w:tab/>
              <w:t>Merge the Metering Operations and Revenue Protection functions to improve performance and reduce O&amp;M cost</w:t>
            </w:r>
            <w:r>
              <w:t xml:space="preserve">s. </w:t>
            </w:r>
          </w:p>
        </w:tc>
        <w:tc>
          <w:tcPr>
            <w:tcW w:w="2085" w:type="dxa"/>
            <w:tcBorders>
              <w:top w:val="single" w:sz="4" w:space="0" w:color="auto"/>
              <w:bottom w:val="single" w:sz="4" w:space="0" w:color="auto"/>
            </w:tcBorders>
            <w:vAlign w:val="center"/>
          </w:tcPr>
          <w:p w:rsidR="009121C2" w:rsidRPr="00B63D34" w:rsidRDefault="009121C2" w:rsidP="005C4908">
            <w:pPr>
              <w:pStyle w:val="FRTableNumbering"/>
              <w:jc w:val="right"/>
            </w:pPr>
            <w:r>
              <w:t>$250</w:t>
            </w:r>
            <w:r w:rsidRPr="004A677B">
              <w:t>,000</w:t>
            </w:r>
          </w:p>
        </w:tc>
      </w:tr>
      <w:tr w:rsidR="009121C2" w:rsidRPr="00B63D34" w:rsidTr="005C4908">
        <w:trPr>
          <w:cantSplit/>
          <w:trHeight w:val="20"/>
          <w:jc w:val="center"/>
        </w:trPr>
        <w:tc>
          <w:tcPr>
            <w:tcW w:w="1084" w:type="dxa"/>
            <w:tcBorders>
              <w:left w:val="single" w:sz="4" w:space="0" w:color="auto"/>
            </w:tcBorders>
            <w:vAlign w:val="center"/>
          </w:tcPr>
          <w:p w:rsidR="009121C2" w:rsidRPr="00B63D34" w:rsidRDefault="009121C2" w:rsidP="005C4908">
            <w:pPr>
              <w:pStyle w:val="FRTableNumbering"/>
              <w:jc w:val="center"/>
            </w:pPr>
            <w:r>
              <w:t>IX-F</w:t>
            </w:r>
          </w:p>
        </w:tc>
        <w:tc>
          <w:tcPr>
            <w:tcW w:w="1940" w:type="dxa"/>
            <w:vAlign w:val="center"/>
          </w:tcPr>
          <w:p w:rsidR="009121C2" w:rsidRPr="00B63D34" w:rsidRDefault="009121C2" w:rsidP="005C4908">
            <w:pPr>
              <w:pStyle w:val="FRTableNumbering"/>
              <w:ind w:left="0" w:firstLine="0"/>
              <w:jc w:val="center"/>
            </w:pPr>
            <w:r>
              <w:t>Revenue Operations</w:t>
            </w:r>
          </w:p>
        </w:tc>
        <w:tc>
          <w:tcPr>
            <w:tcW w:w="4360" w:type="dxa"/>
            <w:tcBorders>
              <w:top w:val="nil"/>
              <w:bottom w:val="single" w:sz="4" w:space="0" w:color="auto"/>
            </w:tcBorders>
            <w:vAlign w:val="center"/>
          </w:tcPr>
          <w:p w:rsidR="009121C2" w:rsidRPr="00B63D34" w:rsidRDefault="009121C2" w:rsidP="005C4908">
            <w:pPr>
              <w:pStyle w:val="FRTableNumbering"/>
            </w:pPr>
            <w:r w:rsidRPr="00332354">
              <w:t>5.</w:t>
            </w:r>
            <w:r w:rsidRPr="00332354">
              <w:tab/>
              <w:t xml:space="preserve">Take actions to reduce the growth in net </w:t>
            </w:r>
            <w:r>
              <w:t xml:space="preserve">write-offs.  </w:t>
            </w:r>
          </w:p>
        </w:tc>
        <w:tc>
          <w:tcPr>
            <w:tcW w:w="2085" w:type="dxa"/>
            <w:tcBorders>
              <w:top w:val="nil"/>
              <w:bottom w:val="single" w:sz="4" w:space="0" w:color="auto"/>
            </w:tcBorders>
            <w:vAlign w:val="center"/>
          </w:tcPr>
          <w:p w:rsidR="009121C2" w:rsidRPr="00EA2907" w:rsidRDefault="009121C2" w:rsidP="005C4908">
            <w:pPr>
              <w:pStyle w:val="FRTableNumbering"/>
              <w:jc w:val="right"/>
              <w:rPr>
                <w:highlight w:val="yellow"/>
              </w:rPr>
            </w:pPr>
            <w:r w:rsidRPr="004A677B">
              <w:t>$2,430,000</w:t>
            </w:r>
          </w:p>
        </w:tc>
      </w:tr>
      <w:tr w:rsidR="009121C2" w:rsidRPr="00B63D34" w:rsidTr="005C4908">
        <w:trPr>
          <w:cantSplit/>
          <w:trHeight w:val="225"/>
          <w:jc w:val="center"/>
        </w:trPr>
        <w:tc>
          <w:tcPr>
            <w:tcW w:w="1084" w:type="dxa"/>
            <w:tcBorders>
              <w:left w:val="single" w:sz="4" w:space="0" w:color="auto"/>
            </w:tcBorders>
            <w:vAlign w:val="center"/>
          </w:tcPr>
          <w:p w:rsidR="009121C2" w:rsidRPr="00B63D34" w:rsidRDefault="009121C2" w:rsidP="005C4908">
            <w:pPr>
              <w:pStyle w:val="FRTableNumbering"/>
              <w:jc w:val="center"/>
            </w:pPr>
            <w:r w:rsidRPr="00B63D34">
              <w:t>X</w:t>
            </w:r>
            <w:r>
              <w:t>-B</w:t>
            </w:r>
          </w:p>
        </w:tc>
        <w:tc>
          <w:tcPr>
            <w:tcW w:w="1940" w:type="dxa"/>
            <w:vAlign w:val="center"/>
          </w:tcPr>
          <w:p w:rsidR="009121C2" w:rsidRPr="00B63D34" w:rsidRDefault="009121C2" w:rsidP="005C4908">
            <w:pPr>
              <w:pStyle w:val="FRTableNumbering"/>
              <w:ind w:left="0" w:firstLine="0"/>
              <w:jc w:val="center"/>
            </w:pPr>
            <w:r>
              <w:t>OnTrack Program Processes</w:t>
            </w:r>
          </w:p>
        </w:tc>
        <w:tc>
          <w:tcPr>
            <w:tcW w:w="4360" w:type="dxa"/>
            <w:vAlign w:val="center"/>
          </w:tcPr>
          <w:p w:rsidR="009121C2" w:rsidRPr="00B63D34" w:rsidRDefault="009121C2" w:rsidP="005C4908">
            <w:pPr>
              <w:pStyle w:val="FRTableNumbering"/>
            </w:pPr>
            <w:r w:rsidRPr="00177B19">
              <w:t>1.</w:t>
            </w:r>
            <w:r w:rsidRPr="00177B19">
              <w:tab/>
              <w:t>Accelerate the evaluation of the system changes and other implementation requirements that are needed to have phone agents enroll custom</w:t>
            </w:r>
            <w:r>
              <w:t xml:space="preserve">ers in OnTrack.  </w:t>
            </w:r>
          </w:p>
        </w:tc>
        <w:tc>
          <w:tcPr>
            <w:tcW w:w="2085" w:type="dxa"/>
            <w:vAlign w:val="center"/>
          </w:tcPr>
          <w:p w:rsidR="009121C2" w:rsidRPr="00B63D34" w:rsidRDefault="009121C2" w:rsidP="005C4908">
            <w:pPr>
              <w:pStyle w:val="FRTableNumbering"/>
              <w:jc w:val="right"/>
            </w:pPr>
            <w:r>
              <w:t>$44,000</w:t>
            </w:r>
          </w:p>
        </w:tc>
      </w:tr>
      <w:tr w:rsidR="009121C2" w:rsidRPr="00B63D34" w:rsidTr="005C4908">
        <w:trPr>
          <w:cantSplit/>
          <w:trHeight w:val="225"/>
          <w:jc w:val="center"/>
        </w:trPr>
        <w:tc>
          <w:tcPr>
            <w:tcW w:w="7384" w:type="dxa"/>
            <w:gridSpan w:val="3"/>
            <w:tcBorders>
              <w:left w:val="single" w:sz="4" w:space="0" w:color="auto"/>
            </w:tcBorders>
            <w:vAlign w:val="center"/>
          </w:tcPr>
          <w:p w:rsidR="009121C2" w:rsidRPr="006C188A" w:rsidRDefault="009121C2" w:rsidP="005C4908">
            <w:pPr>
              <w:pStyle w:val="FRTableNumbering"/>
              <w:rPr>
                <w:b/>
              </w:rPr>
            </w:pPr>
            <w:r w:rsidRPr="006C188A">
              <w:rPr>
                <w:b/>
              </w:rPr>
              <w:t xml:space="preserve">Total </w:t>
            </w:r>
            <w:r>
              <w:rPr>
                <w:b/>
              </w:rPr>
              <w:t xml:space="preserve">Annual </w:t>
            </w:r>
            <w:r w:rsidRPr="006C188A">
              <w:rPr>
                <w:b/>
              </w:rPr>
              <w:t>Savings</w:t>
            </w:r>
          </w:p>
        </w:tc>
        <w:tc>
          <w:tcPr>
            <w:tcW w:w="2085" w:type="dxa"/>
            <w:tcBorders>
              <w:bottom w:val="single" w:sz="4" w:space="0" w:color="auto"/>
            </w:tcBorders>
            <w:vAlign w:val="center"/>
          </w:tcPr>
          <w:p w:rsidR="009121C2" w:rsidRPr="006C188A" w:rsidRDefault="009121C2" w:rsidP="005C4908">
            <w:pPr>
              <w:pStyle w:val="FRTableNumbering"/>
              <w:jc w:val="right"/>
              <w:rPr>
                <w:b/>
              </w:rPr>
            </w:pPr>
            <w:r>
              <w:rPr>
                <w:b/>
              </w:rPr>
              <w:t>$3,383,500</w:t>
            </w:r>
          </w:p>
        </w:tc>
      </w:tr>
    </w:tbl>
    <w:p w:rsidR="009121C2" w:rsidRPr="00CD350B" w:rsidRDefault="009121C2" w:rsidP="00CD350B">
      <w:pPr>
        <w:rPr>
          <w:rFonts w:eastAsiaTheme="minorHAnsi"/>
          <w:bCs/>
        </w:rPr>
      </w:pPr>
    </w:p>
    <w:p w:rsidR="00EB08C6" w:rsidRDefault="00EB08C6" w:rsidP="008236C1">
      <w:pPr>
        <w:pStyle w:val="Normal-aftertable"/>
        <w:rPr>
          <w:rFonts w:eastAsiaTheme="minorHAnsi"/>
        </w:rPr>
      </w:pPr>
    </w:p>
    <w:p w:rsidR="00B523CF" w:rsidRDefault="00B523CF" w:rsidP="00DA7D21">
      <w:pPr>
        <w:sectPr w:rsidR="00B523CF" w:rsidSect="002E1582">
          <w:footerReference w:type="default" r:id="rId13"/>
          <w:pgSz w:w="12240" w:h="15840"/>
          <w:pgMar w:top="1440" w:right="1440" w:bottom="1440" w:left="1440" w:header="720" w:footer="432" w:gutter="0"/>
          <w:pgNumType w:start="1"/>
          <w:cols w:space="720"/>
          <w:docGrid w:linePitch="360"/>
        </w:sectPr>
      </w:pPr>
    </w:p>
    <w:p w:rsidR="003A3B64" w:rsidRDefault="00A05C94" w:rsidP="00407E73">
      <w:pPr>
        <w:pStyle w:val="Heading1"/>
      </w:pPr>
      <w:bookmarkStart w:id="15" w:name="_Toc464551973"/>
      <w:r w:rsidRPr="00407E73">
        <w:lastRenderedPageBreak/>
        <w:t>Executive</w:t>
      </w:r>
      <w:r>
        <w:t xml:space="preserve"> management</w:t>
      </w:r>
      <w:bookmarkEnd w:id="15"/>
    </w:p>
    <w:p w:rsidR="00652B0E" w:rsidRDefault="002F2706" w:rsidP="00AF0F0D">
      <w:pPr>
        <w:pStyle w:val="Heading2"/>
        <w:numPr>
          <w:ilvl w:val="0"/>
          <w:numId w:val="5"/>
        </w:numPr>
      </w:pPr>
      <w:bookmarkStart w:id="16" w:name="_Toc464551974"/>
      <w:r>
        <w:t>background</w:t>
      </w:r>
      <w:bookmarkEnd w:id="16"/>
    </w:p>
    <w:p w:rsidR="00991FF2" w:rsidRDefault="002F2706" w:rsidP="003D7970">
      <w:r>
        <w:t xml:space="preserve">This chapter covers the </w:t>
      </w:r>
      <w:r w:rsidR="003D7970">
        <w:t>executive management of</w:t>
      </w:r>
      <w:r w:rsidR="00D87976">
        <w:t xml:space="preserve"> </w:t>
      </w:r>
      <w:r w:rsidR="000A6BF3">
        <w:t>PPL Electric Utilities Corporation (PPL EU)</w:t>
      </w:r>
      <w:r w:rsidR="003D7970">
        <w:t xml:space="preserve"> including the officers, organization structure, strategic and corporate planning, administrati</w:t>
      </w:r>
      <w:r w:rsidR="000A6BF3">
        <w:t>on, and regulatory compliance.</w:t>
      </w:r>
      <w:r w:rsidR="002D40C0">
        <w:t xml:space="preserve">  </w:t>
      </w:r>
      <w:r w:rsidR="00CE1D3E">
        <w:t>The General Counsel and External A</w:t>
      </w:r>
      <w:r w:rsidR="002D40C0">
        <w:t xml:space="preserve">ffairs </w:t>
      </w:r>
      <w:r w:rsidR="00CE1D3E">
        <w:t xml:space="preserve">functions </w:t>
      </w:r>
      <w:r w:rsidR="00C74474">
        <w:t>are also covered</w:t>
      </w:r>
      <w:r w:rsidR="002D40C0">
        <w:t xml:space="preserve"> in this chapter.</w:t>
      </w:r>
      <w:r w:rsidR="003D7970">
        <w:t xml:space="preserve">  </w:t>
      </w:r>
    </w:p>
    <w:p w:rsidR="003D7970" w:rsidRDefault="000A6BF3" w:rsidP="003D7970">
      <w:r>
        <w:t xml:space="preserve">PPL </w:t>
      </w:r>
      <w:proofErr w:type="gramStart"/>
      <w:r>
        <w:t>EU</w:t>
      </w:r>
      <w:r w:rsidR="00BF638E">
        <w:t>,</w:t>
      </w:r>
      <w:proofErr w:type="gramEnd"/>
      <w:r w:rsidR="00BF638E">
        <w:t xml:space="preserve"> </w:t>
      </w:r>
      <w:r w:rsidR="00D663F9">
        <w:t>was formed in 1920</w:t>
      </w:r>
      <w:r w:rsidR="00BF638E">
        <w:t xml:space="preserve"> as Pennsylvania Power &amp; Light Company,</w:t>
      </w:r>
      <w:r w:rsidR="005D30D2">
        <w:t xml:space="preserve"> </w:t>
      </w:r>
      <w:r w:rsidR="003D7970">
        <w:t xml:space="preserve">a </w:t>
      </w:r>
      <w:r w:rsidR="008F5070">
        <w:t>registered</w:t>
      </w:r>
      <w:r w:rsidR="005D30D2" w:rsidRPr="005D30D2">
        <w:t xml:space="preserve"> </w:t>
      </w:r>
      <w:r w:rsidR="005D30D2">
        <w:t>corporation of</w:t>
      </w:r>
      <w:r w:rsidR="008F5070">
        <w:t xml:space="preserve"> the Commonwealth of Pennsylvania with its registered office at Two North Ninth Street, Allentown, Pennsylvania 18101.  </w:t>
      </w:r>
      <w:r w:rsidR="006D50D3">
        <w:t xml:space="preserve">It became a </w:t>
      </w:r>
      <w:r w:rsidR="003D7970">
        <w:t xml:space="preserve">wholly owned subsidiary of </w:t>
      </w:r>
      <w:r>
        <w:t>PPL Corporation</w:t>
      </w:r>
      <w:r w:rsidR="00BF638E">
        <w:t xml:space="preserve"> (then known as PP&amp;L Resources, Inc.)</w:t>
      </w:r>
      <w:r w:rsidR="006D50D3">
        <w:t xml:space="preserve"> in </w:t>
      </w:r>
      <w:r w:rsidR="00BF638E">
        <w:t>1995</w:t>
      </w:r>
      <w:r w:rsidR="003D7970">
        <w:t xml:space="preserve">.  </w:t>
      </w:r>
      <w:r w:rsidR="00781832">
        <w:t>S</w:t>
      </w:r>
      <w:r w:rsidR="00691B4F">
        <w:t>hared s</w:t>
      </w:r>
      <w:r w:rsidR="003D7970">
        <w:t xml:space="preserve">upport services are provided to </w:t>
      </w:r>
      <w:r>
        <w:t>PPL EU</w:t>
      </w:r>
      <w:r w:rsidR="00E9263E">
        <w:t xml:space="preserve"> by </w:t>
      </w:r>
      <w:r w:rsidR="00781832">
        <w:t xml:space="preserve">PPL </w:t>
      </w:r>
      <w:r w:rsidR="001417E8">
        <w:t xml:space="preserve">Services </w:t>
      </w:r>
      <w:r w:rsidR="00781832">
        <w:t>Corporation</w:t>
      </w:r>
      <w:r w:rsidR="00C74474">
        <w:t xml:space="preserve"> (PPL SC)</w:t>
      </w:r>
      <w:r w:rsidR="00691B4F">
        <w:t xml:space="preserve"> and</w:t>
      </w:r>
      <w:r w:rsidR="00C74474">
        <w:t xml:space="preserve"> PPL EU Services Corporation (PPL EUS), </w:t>
      </w:r>
      <w:r w:rsidR="00691B4F">
        <w:t>which are both</w:t>
      </w:r>
      <w:r w:rsidR="00C74474">
        <w:t xml:space="preserve"> subsidiaries</w:t>
      </w:r>
      <w:r w:rsidR="003D7970">
        <w:t xml:space="preserve"> of the </w:t>
      </w:r>
      <w:r w:rsidR="006809F7">
        <w:t>PPL Corporation</w:t>
      </w:r>
      <w:r w:rsidR="003D7970">
        <w:t xml:space="preserve"> holding company.</w:t>
      </w:r>
    </w:p>
    <w:p w:rsidR="008F0626" w:rsidRDefault="008F0626" w:rsidP="008F0626">
      <w:pPr>
        <w:pStyle w:val="Heading30"/>
      </w:pPr>
      <w:r>
        <w:t>PPL EU Overview</w:t>
      </w:r>
    </w:p>
    <w:p w:rsidR="008F0626" w:rsidRPr="00E51FF4" w:rsidRDefault="008F0626" w:rsidP="008F0626">
      <w:pPr>
        <w:rPr>
          <w:rFonts w:cs="Arial"/>
          <w:szCs w:val="24"/>
        </w:rPr>
      </w:pPr>
      <w:r>
        <w:rPr>
          <w:rFonts w:cs="Arial"/>
          <w:color w:val="000000"/>
          <w:szCs w:val="24"/>
        </w:rPr>
        <w:t>PPL EU is a regulated electric transmission and distribution business.  PPL EU</w:t>
      </w:r>
      <w:r w:rsidRPr="000D342D">
        <w:rPr>
          <w:rFonts w:cs="Arial"/>
          <w:color w:val="000000"/>
          <w:szCs w:val="24"/>
        </w:rPr>
        <w:t xml:space="preserve"> delivers electricity to approximately 1.4 million customers in a 10,000-square mile territory in 29 counties of eastern and ce</w:t>
      </w:r>
      <w:r>
        <w:rPr>
          <w:rFonts w:cs="Arial"/>
          <w:color w:val="000000"/>
          <w:szCs w:val="24"/>
        </w:rPr>
        <w:t>ntral Pennsylvania.</w:t>
      </w:r>
      <w:r w:rsidR="004E3025">
        <w:rPr>
          <w:rFonts w:cs="Arial"/>
          <w:color w:val="000000"/>
          <w:szCs w:val="24"/>
        </w:rPr>
        <w:t xml:space="preserve"> </w:t>
      </w:r>
      <w:r>
        <w:rPr>
          <w:rFonts w:cs="Arial"/>
          <w:color w:val="000000"/>
          <w:szCs w:val="24"/>
        </w:rPr>
        <w:t xml:space="preserve"> PPL EU</w:t>
      </w:r>
      <w:r w:rsidRPr="000D342D">
        <w:rPr>
          <w:rFonts w:cs="Arial"/>
          <w:color w:val="000000"/>
          <w:szCs w:val="24"/>
        </w:rPr>
        <w:t xml:space="preserve"> also provides electricity supply to retail customers in this area as a </w:t>
      </w:r>
      <w:r>
        <w:rPr>
          <w:rFonts w:cs="Arial"/>
          <w:color w:val="000000"/>
          <w:szCs w:val="24"/>
        </w:rPr>
        <w:t>Provider of Last Resort (</w:t>
      </w:r>
      <w:r w:rsidRPr="000D342D">
        <w:rPr>
          <w:rFonts w:cs="Arial"/>
          <w:color w:val="000000"/>
          <w:szCs w:val="24"/>
        </w:rPr>
        <w:t>P</w:t>
      </w:r>
      <w:r>
        <w:rPr>
          <w:rFonts w:cs="Arial"/>
          <w:color w:val="000000"/>
          <w:szCs w:val="24"/>
        </w:rPr>
        <w:t>O</w:t>
      </w:r>
      <w:r w:rsidRPr="000D342D">
        <w:rPr>
          <w:rFonts w:cs="Arial"/>
          <w:color w:val="000000"/>
          <w:szCs w:val="24"/>
        </w:rPr>
        <w:t>LR</w:t>
      </w:r>
      <w:r>
        <w:rPr>
          <w:rFonts w:cs="Arial"/>
          <w:color w:val="000000"/>
          <w:szCs w:val="24"/>
        </w:rPr>
        <w:t>)</w:t>
      </w:r>
      <w:r w:rsidRPr="000D342D">
        <w:rPr>
          <w:rFonts w:cs="Arial"/>
          <w:color w:val="000000"/>
          <w:szCs w:val="24"/>
        </w:rPr>
        <w:t xml:space="preserve"> under the </w:t>
      </w:r>
      <w:r>
        <w:rPr>
          <w:rFonts w:cs="Arial"/>
          <w:color w:val="000000"/>
          <w:szCs w:val="24"/>
        </w:rPr>
        <w:t>P</w:t>
      </w:r>
      <w:r w:rsidR="00691B4F">
        <w:rPr>
          <w:rFonts w:cs="Arial"/>
          <w:color w:val="000000"/>
          <w:szCs w:val="24"/>
        </w:rPr>
        <w:t>ennsylvania</w:t>
      </w:r>
      <w:r>
        <w:rPr>
          <w:rFonts w:cs="Arial"/>
          <w:color w:val="000000"/>
          <w:szCs w:val="24"/>
        </w:rPr>
        <w:t xml:space="preserve"> </w:t>
      </w:r>
      <w:r w:rsidRPr="000D342D">
        <w:rPr>
          <w:rFonts w:cs="Arial"/>
          <w:color w:val="000000"/>
          <w:szCs w:val="24"/>
        </w:rPr>
        <w:t>Customer Choice Act.</w:t>
      </w:r>
      <w:r w:rsidR="00B2245E">
        <w:rPr>
          <w:rFonts w:cs="Arial"/>
          <w:color w:val="000000"/>
          <w:szCs w:val="24"/>
        </w:rPr>
        <w:t xml:space="preserve">  </w:t>
      </w:r>
      <w:r w:rsidR="00D67C0F">
        <w:rPr>
          <w:rFonts w:cs="Arial"/>
          <w:color w:val="000000"/>
          <w:szCs w:val="24"/>
        </w:rPr>
        <w:t xml:space="preserve">In 2015, </w:t>
      </w:r>
      <w:r w:rsidR="00B2245E">
        <w:rPr>
          <w:rFonts w:cs="Arial"/>
          <w:color w:val="000000"/>
          <w:szCs w:val="24"/>
        </w:rPr>
        <w:t xml:space="preserve">PPL EU’s operating revenue was </w:t>
      </w:r>
      <w:r w:rsidR="00D67C0F">
        <w:rPr>
          <w:rFonts w:cs="Arial"/>
          <w:color w:val="000000"/>
          <w:szCs w:val="24"/>
        </w:rPr>
        <w:t xml:space="preserve">approximately </w:t>
      </w:r>
      <w:r w:rsidR="00B2245E">
        <w:rPr>
          <w:rFonts w:cs="Arial"/>
          <w:color w:val="000000"/>
          <w:szCs w:val="24"/>
        </w:rPr>
        <w:t>$2.1</w:t>
      </w:r>
      <w:r>
        <w:rPr>
          <w:rFonts w:cs="Arial"/>
          <w:color w:val="000000"/>
          <w:szCs w:val="24"/>
        </w:rPr>
        <w:t xml:space="preserve"> bil</w:t>
      </w:r>
      <w:r w:rsidR="00B2245E">
        <w:rPr>
          <w:rFonts w:cs="Arial"/>
          <w:color w:val="000000"/>
          <w:szCs w:val="24"/>
        </w:rPr>
        <w:t>lion and its net income was $252</w:t>
      </w:r>
      <w:r>
        <w:rPr>
          <w:rFonts w:cs="Arial"/>
          <w:color w:val="000000"/>
          <w:szCs w:val="24"/>
        </w:rPr>
        <w:t xml:space="preserve"> million.  </w:t>
      </w:r>
      <w:r w:rsidRPr="00E51FF4">
        <w:rPr>
          <w:rFonts w:cs="Arial"/>
          <w:color w:val="000000"/>
          <w:szCs w:val="24"/>
        </w:rPr>
        <w:t>In 201</w:t>
      </w:r>
      <w:r w:rsidR="0012336A">
        <w:rPr>
          <w:rFonts w:cs="Arial"/>
          <w:color w:val="000000"/>
          <w:szCs w:val="24"/>
        </w:rPr>
        <w:t>5</w:t>
      </w:r>
      <w:r w:rsidRPr="00E51FF4">
        <w:rPr>
          <w:rFonts w:cs="Arial"/>
          <w:color w:val="000000"/>
          <w:szCs w:val="24"/>
        </w:rPr>
        <w:t xml:space="preserve">, </w:t>
      </w:r>
      <w:r>
        <w:rPr>
          <w:rFonts w:cs="Arial"/>
          <w:color w:val="000000"/>
          <w:szCs w:val="24"/>
        </w:rPr>
        <w:t>PPL EU</w:t>
      </w:r>
      <w:r w:rsidRPr="00E51FF4">
        <w:rPr>
          <w:rFonts w:cs="Arial"/>
          <w:color w:val="000000"/>
          <w:szCs w:val="24"/>
        </w:rPr>
        <w:t xml:space="preserve"> </w:t>
      </w:r>
      <w:r w:rsidR="00B2245E">
        <w:rPr>
          <w:rFonts w:cs="Arial"/>
          <w:color w:val="000000"/>
          <w:szCs w:val="24"/>
        </w:rPr>
        <w:t>delivered 36</w:t>
      </w:r>
      <w:r>
        <w:rPr>
          <w:rFonts w:cs="Arial"/>
          <w:color w:val="000000"/>
          <w:szCs w:val="24"/>
        </w:rPr>
        <w:t>,</w:t>
      </w:r>
      <w:r w:rsidR="00EA22EA">
        <w:rPr>
          <w:rFonts w:cs="Arial"/>
          <w:color w:val="000000"/>
          <w:szCs w:val="24"/>
        </w:rPr>
        <w:t>984</w:t>
      </w:r>
      <w:r>
        <w:rPr>
          <w:rFonts w:cs="Arial"/>
          <w:color w:val="000000"/>
          <w:szCs w:val="24"/>
        </w:rPr>
        <w:t xml:space="preserve"> GWh of electric energy to its customers.</w:t>
      </w:r>
      <w:r w:rsidRPr="00E51FF4">
        <w:rPr>
          <w:rFonts w:cs="Arial"/>
          <w:color w:val="000000"/>
          <w:szCs w:val="24"/>
        </w:rPr>
        <w:t xml:space="preserve"> </w:t>
      </w:r>
    </w:p>
    <w:p w:rsidR="008F0626" w:rsidRDefault="00AB30BE" w:rsidP="008F0626">
      <w:pPr>
        <w:rPr>
          <w:rFonts w:cs="Arial"/>
          <w:color w:val="000000"/>
          <w:szCs w:val="24"/>
        </w:rPr>
      </w:pPr>
      <w:r>
        <w:rPr>
          <w:rFonts w:cs="Arial"/>
          <w:color w:val="000000"/>
          <w:szCs w:val="24"/>
        </w:rPr>
        <w:t>As a public utility</w:t>
      </w:r>
      <w:r w:rsidR="0012336A">
        <w:rPr>
          <w:rFonts w:cs="Arial"/>
          <w:color w:val="000000"/>
          <w:szCs w:val="24"/>
        </w:rPr>
        <w:t>,</w:t>
      </w:r>
      <w:r>
        <w:rPr>
          <w:rFonts w:cs="Arial"/>
          <w:color w:val="000000"/>
          <w:szCs w:val="24"/>
        </w:rPr>
        <w:t xml:space="preserve"> </w:t>
      </w:r>
      <w:r w:rsidR="008F0626">
        <w:rPr>
          <w:rFonts w:cs="Arial"/>
          <w:color w:val="000000"/>
          <w:szCs w:val="24"/>
        </w:rPr>
        <w:t>PPL EU</w:t>
      </w:r>
      <w:r w:rsidR="008F0626" w:rsidRPr="000D04BD">
        <w:rPr>
          <w:rFonts w:cs="Arial"/>
          <w:color w:val="000000"/>
          <w:szCs w:val="24"/>
        </w:rPr>
        <w:t xml:space="preserve"> is subject to regulation by the </w:t>
      </w:r>
      <w:r w:rsidR="00691B4F">
        <w:rPr>
          <w:rFonts w:cs="Arial"/>
          <w:color w:val="000000"/>
          <w:szCs w:val="24"/>
        </w:rPr>
        <w:t xml:space="preserve">Pennsylvania Public </w:t>
      </w:r>
      <w:r w:rsidR="00CA5DD3">
        <w:rPr>
          <w:rFonts w:cs="Arial"/>
          <w:color w:val="000000"/>
          <w:szCs w:val="24"/>
        </w:rPr>
        <w:t xml:space="preserve">Utility </w:t>
      </w:r>
      <w:r w:rsidR="00691B4F">
        <w:rPr>
          <w:rFonts w:cs="Arial"/>
          <w:color w:val="000000"/>
          <w:szCs w:val="24"/>
        </w:rPr>
        <w:t>Commission (</w:t>
      </w:r>
      <w:r w:rsidR="008F0626">
        <w:rPr>
          <w:rFonts w:cs="Arial"/>
          <w:color w:val="000000"/>
          <w:szCs w:val="24"/>
        </w:rPr>
        <w:t>PUC</w:t>
      </w:r>
      <w:r w:rsidR="00691B4F">
        <w:rPr>
          <w:rFonts w:cs="Arial"/>
          <w:color w:val="000000"/>
          <w:szCs w:val="24"/>
        </w:rPr>
        <w:t>)</w:t>
      </w:r>
      <w:r w:rsidR="008F0626" w:rsidRPr="000D04BD">
        <w:rPr>
          <w:rFonts w:cs="Arial"/>
          <w:color w:val="000000"/>
          <w:szCs w:val="24"/>
        </w:rPr>
        <w:t xml:space="preserve">, and certain of its transmission activities are subject to the jurisdiction of the </w:t>
      </w:r>
      <w:r w:rsidR="00691B4F">
        <w:rPr>
          <w:rFonts w:cs="Arial"/>
          <w:color w:val="000000"/>
          <w:szCs w:val="24"/>
        </w:rPr>
        <w:t>Federal Energy Regulatory Commission (</w:t>
      </w:r>
      <w:r w:rsidR="008F0626">
        <w:rPr>
          <w:rFonts w:cs="Arial"/>
          <w:color w:val="000000"/>
          <w:szCs w:val="24"/>
        </w:rPr>
        <w:t>FERC</w:t>
      </w:r>
      <w:r w:rsidR="00691B4F">
        <w:rPr>
          <w:rFonts w:cs="Arial"/>
          <w:color w:val="000000"/>
          <w:szCs w:val="24"/>
        </w:rPr>
        <w:t>)</w:t>
      </w:r>
      <w:r w:rsidR="008F0626" w:rsidRPr="000D04BD">
        <w:rPr>
          <w:rFonts w:cs="Arial"/>
          <w:color w:val="000000"/>
          <w:szCs w:val="24"/>
        </w:rPr>
        <w:t xml:space="preserve"> under the Federal Power Act.</w:t>
      </w:r>
      <w:r w:rsidR="008F0626">
        <w:rPr>
          <w:rFonts w:cs="Arial"/>
          <w:color w:val="000000"/>
          <w:szCs w:val="24"/>
        </w:rPr>
        <w:t xml:space="preserve">  The transmission rates are regulated by the FER</w:t>
      </w:r>
      <w:r w:rsidR="008F0626" w:rsidRPr="00E51FF4">
        <w:rPr>
          <w:rFonts w:cs="Arial"/>
          <w:color w:val="000000"/>
          <w:szCs w:val="24"/>
        </w:rPr>
        <w:t>C</w:t>
      </w:r>
      <w:r w:rsidR="008F0626">
        <w:rPr>
          <w:rFonts w:cs="Arial"/>
          <w:color w:val="000000"/>
          <w:szCs w:val="24"/>
        </w:rPr>
        <w:t xml:space="preserve"> and the transmission system </w:t>
      </w:r>
      <w:r w:rsidR="00A052DD">
        <w:rPr>
          <w:rFonts w:cs="Arial"/>
          <w:color w:val="000000"/>
          <w:szCs w:val="24"/>
        </w:rPr>
        <w:t>is</w:t>
      </w:r>
      <w:r w:rsidR="00C32674">
        <w:rPr>
          <w:rFonts w:cs="Arial"/>
          <w:color w:val="000000"/>
          <w:szCs w:val="24"/>
        </w:rPr>
        <w:t xml:space="preserve"> </w:t>
      </w:r>
      <w:r w:rsidR="0048291E">
        <w:rPr>
          <w:rFonts w:cs="Arial"/>
          <w:color w:val="000000"/>
          <w:szCs w:val="24"/>
        </w:rPr>
        <w:t>operated by</w:t>
      </w:r>
      <w:r w:rsidR="008F0626">
        <w:rPr>
          <w:rFonts w:cs="Arial"/>
          <w:color w:val="000000"/>
          <w:szCs w:val="24"/>
        </w:rPr>
        <w:t xml:space="preserve"> </w:t>
      </w:r>
      <w:r w:rsidR="00BF638E">
        <w:rPr>
          <w:rFonts w:cs="Arial"/>
          <w:color w:val="000000"/>
          <w:szCs w:val="24"/>
        </w:rPr>
        <w:t>PJM Interconnection, L.L.C. (PJM)</w:t>
      </w:r>
      <w:r w:rsidR="008F0626">
        <w:rPr>
          <w:rFonts w:cs="Arial"/>
          <w:color w:val="000000"/>
          <w:szCs w:val="24"/>
        </w:rPr>
        <w:t>, the regional transmission organization (RTO) of which PPL EU is a transmission owning member.</w:t>
      </w:r>
    </w:p>
    <w:p w:rsidR="008F0626" w:rsidRDefault="008F0626" w:rsidP="008F0626">
      <w:pPr>
        <w:pStyle w:val="Heading40"/>
      </w:pPr>
      <w:r w:rsidRPr="00AA67AC">
        <w:t>Legal Entity</w:t>
      </w:r>
    </w:p>
    <w:p w:rsidR="008F0626" w:rsidRPr="00FD14CF" w:rsidRDefault="008F0626" w:rsidP="008F0626">
      <w:r>
        <w:t xml:space="preserve">PPL EU is a registered Pennsylvania corporation and, as such, it has directors and officers.  It is the legal entity among the PPL Corporation subsidiaries that the PUC regulates.  </w:t>
      </w:r>
    </w:p>
    <w:p w:rsidR="008F0626" w:rsidRDefault="008F0626" w:rsidP="008F0626">
      <w:r>
        <w:t xml:space="preserve">Although PPL EU performs electric utility functions and delivers electric utility services to its customers, many of the support services it requires are provided by </w:t>
      </w:r>
      <w:r w:rsidR="00691B4F">
        <w:t xml:space="preserve">other </w:t>
      </w:r>
      <w:r>
        <w:t xml:space="preserve">subsidiaries of PPL Corporation. </w:t>
      </w:r>
      <w:r w:rsidRPr="00C82004">
        <w:t xml:space="preserve"> </w:t>
      </w:r>
      <w:r w:rsidR="00691B4F">
        <w:t>Most h</w:t>
      </w:r>
      <w:r>
        <w:t>uman resources, accounting, regulatory, supply chain, corporate communications, energy procurement, load forecasting</w:t>
      </w:r>
      <w:r w:rsidR="004E3025">
        <w:t>,</w:t>
      </w:r>
      <w:r>
        <w:t xml:space="preserve"> and facilities services are provided by PPL EUS</w:t>
      </w:r>
      <w:r w:rsidR="00166B9D">
        <w:t>,</w:t>
      </w:r>
      <w:r>
        <w:t xml:space="preserve"> a</w:t>
      </w:r>
      <w:r w:rsidR="00691B4F">
        <w:t xml:space="preserve"> direct</w:t>
      </w:r>
      <w:r>
        <w:t xml:space="preserve"> subsidiary of PPL Corporation. </w:t>
      </w:r>
      <w:r w:rsidR="004E3025">
        <w:t xml:space="preserve"> </w:t>
      </w:r>
      <w:r>
        <w:t>Other services, such as legal</w:t>
      </w:r>
      <w:r w:rsidR="00691B4F">
        <w:t>, finance, and</w:t>
      </w:r>
      <w:r>
        <w:t xml:space="preserve"> audit</w:t>
      </w:r>
      <w:r w:rsidR="004C7A7B">
        <w:t xml:space="preserve">, </w:t>
      </w:r>
      <w:r w:rsidR="00691B4F">
        <w:t xml:space="preserve">along with additional </w:t>
      </w:r>
      <w:r w:rsidR="004C7A7B">
        <w:t>communications</w:t>
      </w:r>
      <w:r>
        <w:t xml:space="preserve"> and human resources services</w:t>
      </w:r>
      <w:r w:rsidR="00257B9D">
        <w:t>,</w:t>
      </w:r>
      <w:r>
        <w:t xml:space="preserve"> </w:t>
      </w:r>
      <w:proofErr w:type="gramStart"/>
      <w:r>
        <w:t>are</w:t>
      </w:r>
      <w:proofErr w:type="gramEnd"/>
      <w:r>
        <w:t xml:space="preserve"> provided by PPL SC, a</w:t>
      </w:r>
      <w:r w:rsidR="004C7A7B">
        <w:t>lso a</w:t>
      </w:r>
      <w:r>
        <w:t xml:space="preserve"> direct subsidiary of PPL Corporation.</w:t>
      </w:r>
    </w:p>
    <w:p w:rsidR="008F0626" w:rsidRDefault="008F0626" w:rsidP="00473B2C">
      <w:pPr>
        <w:pStyle w:val="Heading40"/>
      </w:pPr>
      <w:r>
        <w:lastRenderedPageBreak/>
        <w:t xml:space="preserve">PPL EU Corporation Board of Directors </w:t>
      </w:r>
    </w:p>
    <w:p w:rsidR="008F0626" w:rsidRDefault="008F0626" w:rsidP="008F0626">
      <w:r>
        <w:t>The PPL EU Board of Directors is comprised of four PPL</w:t>
      </w:r>
      <w:r w:rsidR="0095420E">
        <w:t xml:space="preserve"> Corporation </w:t>
      </w:r>
      <w:r w:rsidR="00AB30BE">
        <w:t>or</w:t>
      </w:r>
      <w:r w:rsidR="0095420E">
        <w:t xml:space="preserve"> PPL EU</w:t>
      </w:r>
      <w:r>
        <w:t xml:space="preserve"> senior executives:</w:t>
      </w:r>
    </w:p>
    <w:p w:rsidR="008F0626" w:rsidRDefault="008F0626" w:rsidP="00212877">
      <w:pPr>
        <w:pStyle w:val="Bullet"/>
      </w:pPr>
      <w:r>
        <w:t>Chairman, President</w:t>
      </w:r>
      <w:r w:rsidR="00257B9D">
        <w:t>,</w:t>
      </w:r>
      <w:r>
        <w:t xml:space="preserve"> and Chief Executive Officer of PPL Corporation</w:t>
      </w:r>
    </w:p>
    <w:p w:rsidR="008F0626" w:rsidRDefault="008F0626" w:rsidP="00212877">
      <w:pPr>
        <w:pStyle w:val="Bullet"/>
      </w:pPr>
      <w:r>
        <w:t xml:space="preserve">Executive Vice President and </w:t>
      </w:r>
      <w:r w:rsidR="00BF638E">
        <w:t>Chief Legal Officer</w:t>
      </w:r>
      <w:r>
        <w:t xml:space="preserve"> of PPL Corporation</w:t>
      </w:r>
    </w:p>
    <w:p w:rsidR="008F0626" w:rsidRDefault="008F0626" w:rsidP="00212877">
      <w:pPr>
        <w:pStyle w:val="Bullet"/>
      </w:pPr>
      <w:r>
        <w:t>Senior Vice President and Chief Financial Officer of PPL Corporation</w:t>
      </w:r>
    </w:p>
    <w:p w:rsidR="008F0626" w:rsidRDefault="008F0626" w:rsidP="00257B9D">
      <w:pPr>
        <w:pStyle w:val="Bullet"/>
      </w:pPr>
      <w:r>
        <w:t>President of PPL E</w:t>
      </w:r>
      <w:r w:rsidR="0095420E">
        <w:t>U</w:t>
      </w:r>
    </w:p>
    <w:p w:rsidR="008F0626" w:rsidRDefault="008F0626" w:rsidP="00257B9D">
      <w:pPr>
        <w:pStyle w:val="Normal-aftertable"/>
      </w:pPr>
      <w:r>
        <w:t xml:space="preserve">There are no external directors.  </w:t>
      </w:r>
      <w:r w:rsidRPr="00E51FF4">
        <w:t xml:space="preserve">Directors are elected </w:t>
      </w:r>
      <w:r>
        <w:t xml:space="preserve">at the </w:t>
      </w:r>
      <w:r w:rsidRPr="00E51FF4">
        <w:t>annual</w:t>
      </w:r>
      <w:r>
        <w:t xml:space="preserve"> shareholder meeting</w:t>
      </w:r>
      <w:r w:rsidRPr="00E51FF4">
        <w:t xml:space="preserve"> to serve for one year until</w:t>
      </w:r>
      <w:r>
        <w:t xml:space="preserve"> reelected or</w:t>
      </w:r>
      <w:r w:rsidRPr="00E51FF4">
        <w:t xml:space="preserve"> their succ</w:t>
      </w:r>
      <w:r>
        <w:t>essors are elected</w:t>
      </w:r>
      <w:r w:rsidRPr="00E51FF4">
        <w:t>.</w:t>
      </w:r>
      <w:r>
        <w:t xml:space="preserve">  The Chairman, President</w:t>
      </w:r>
      <w:r w:rsidR="0095420E">
        <w:t>,</w:t>
      </w:r>
      <w:r>
        <w:t xml:space="preserve"> and Chief Executive Officer</w:t>
      </w:r>
      <w:r w:rsidR="0095420E">
        <w:t xml:space="preserve"> of PPL Corporation</w:t>
      </w:r>
      <w:r>
        <w:t>, acting</w:t>
      </w:r>
      <w:r w:rsidR="00C32674">
        <w:t xml:space="preserve"> on behalf of PPL Corporation</w:t>
      </w:r>
      <w:r>
        <w:t xml:space="preserve"> as </w:t>
      </w:r>
      <w:r w:rsidR="0095420E">
        <w:t xml:space="preserve">the </w:t>
      </w:r>
      <w:r>
        <w:t xml:space="preserve">sole PPL EU shareholder, </w:t>
      </w:r>
      <w:proofErr w:type="gramStart"/>
      <w:r>
        <w:t>elects</w:t>
      </w:r>
      <w:proofErr w:type="gramEnd"/>
      <w:r>
        <w:t xml:space="preserve"> the Directors.</w:t>
      </w:r>
      <w:r w:rsidRPr="00E51FF4">
        <w:t xml:space="preserve"> </w:t>
      </w:r>
    </w:p>
    <w:p w:rsidR="008F0626" w:rsidRDefault="008F0626" w:rsidP="008F0626">
      <w:pPr>
        <w:pStyle w:val="Heading40"/>
      </w:pPr>
      <w:r w:rsidRPr="00F769DA">
        <w:t>PPL EU Officers</w:t>
      </w:r>
    </w:p>
    <w:p w:rsidR="008F0626" w:rsidRPr="00E51FF4" w:rsidRDefault="008F0626" w:rsidP="008F0626">
      <w:pPr>
        <w:rPr>
          <w:rFonts w:cs="Arial"/>
          <w:szCs w:val="24"/>
        </w:rPr>
      </w:pPr>
      <w:r>
        <w:t xml:space="preserve">There are </w:t>
      </w:r>
      <w:r w:rsidR="00BF638E">
        <w:t xml:space="preserve">ten </w:t>
      </w:r>
      <w:r>
        <w:t xml:space="preserve">PPL EU officers who are </w:t>
      </w:r>
      <w:r w:rsidR="00873B50">
        <w:t>elect</w:t>
      </w:r>
      <w:r>
        <w:t xml:space="preserve">ed by the PPL EU Board.  The following are the PPL EU officer titles: </w:t>
      </w:r>
    </w:p>
    <w:p w:rsidR="008F0626" w:rsidRPr="00212877" w:rsidRDefault="008F0626" w:rsidP="00212877">
      <w:pPr>
        <w:pStyle w:val="Bullet"/>
      </w:pPr>
      <w:r w:rsidRPr="00212877">
        <w:t>President</w:t>
      </w:r>
    </w:p>
    <w:p w:rsidR="008F0626" w:rsidRPr="00212877" w:rsidRDefault="008F0626" w:rsidP="00212877">
      <w:pPr>
        <w:pStyle w:val="Bullet"/>
      </w:pPr>
      <w:r w:rsidRPr="00212877">
        <w:t>Vice President – Distribution Operations</w:t>
      </w:r>
    </w:p>
    <w:p w:rsidR="008F0626" w:rsidRPr="00212877" w:rsidRDefault="008F0626" w:rsidP="00212877">
      <w:pPr>
        <w:pStyle w:val="Bullet"/>
      </w:pPr>
      <w:r w:rsidRPr="00212877">
        <w:t>Vice President – Transmission and Substations</w:t>
      </w:r>
    </w:p>
    <w:p w:rsidR="008F0626" w:rsidRPr="004B49C7" w:rsidRDefault="008F0626" w:rsidP="00212877">
      <w:pPr>
        <w:pStyle w:val="Bullet"/>
      </w:pPr>
      <w:r w:rsidRPr="00212877">
        <w:t>Treasurer</w:t>
      </w:r>
    </w:p>
    <w:p w:rsidR="008F0626" w:rsidRPr="00B93227" w:rsidRDefault="008F0626" w:rsidP="004B49C7">
      <w:pPr>
        <w:pStyle w:val="Bullet"/>
      </w:pPr>
      <w:r w:rsidRPr="00B93227">
        <w:t>Assistant Treasurer (three officers with this title)</w:t>
      </w:r>
    </w:p>
    <w:p w:rsidR="008F0626" w:rsidRPr="00B25372" w:rsidRDefault="00BF638E" w:rsidP="00B93227">
      <w:pPr>
        <w:pStyle w:val="Bullet"/>
      </w:pPr>
      <w:r>
        <w:t xml:space="preserve">Vice President and </w:t>
      </w:r>
      <w:r w:rsidR="008F0626" w:rsidRPr="00B25372">
        <w:t>Controller</w:t>
      </w:r>
    </w:p>
    <w:p w:rsidR="008F0626" w:rsidRPr="00257B9D" w:rsidRDefault="008F0626" w:rsidP="00257B9D">
      <w:pPr>
        <w:pStyle w:val="Bullet"/>
      </w:pPr>
      <w:r w:rsidRPr="00257B9D">
        <w:t>Secretary</w:t>
      </w:r>
    </w:p>
    <w:p w:rsidR="008F0626" w:rsidRDefault="008F0626" w:rsidP="00771FE1">
      <w:pPr>
        <w:pStyle w:val="Bullet"/>
      </w:pPr>
      <w:r w:rsidRPr="00771FE1">
        <w:t>Assistant</w:t>
      </w:r>
      <w:r>
        <w:t xml:space="preserve"> Secretary (two officers with this title)</w:t>
      </w:r>
    </w:p>
    <w:p w:rsidR="008F0626" w:rsidRDefault="008F0626" w:rsidP="007421A0">
      <w:pPr>
        <w:pStyle w:val="Normal-aftertable"/>
      </w:pPr>
      <w:r>
        <w:t>Note:  One incumbent holds positions of both Assistant Treasurer and Assistant Secretary.</w:t>
      </w:r>
    </w:p>
    <w:p w:rsidR="003733B1" w:rsidRDefault="003733B1" w:rsidP="003733B1">
      <w:pPr>
        <w:pStyle w:val="Heading30"/>
      </w:pPr>
      <w:r>
        <w:t>PPL EU Operating environment</w:t>
      </w:r>
    </w:p>
    <w:p w:rsidR="008F0626" w:rsidRDefault="008F0626" w:rsidP="008F0626">
      <w:pPr>
        <w:pStyle w:val="Heading40"/>
        <w:rPr>
          <w:rFonts w:cs="Arial"/>
          <w:color w:val="000000"/>
          <w:szCs w:val="24"/>
        </w:rPr>
      </w:pPr>
      <w:r>
        <w:rPr>
          <w:rFonts w:cs="Arial"/>
          <w:color w:val="000000"/>
          <w:szCs w:val="24"/>
        </w:rPr>
        <w:t>Competition</w:t>
      </w:r>
    </w:p>
    <w:p w:rsidR="008F0626" w:rsidRPr="00647B95" w:rsidRDefault="008F0626" w:rsidP="008F0626">
      <w:r>
        <w:t>Pursuant to authorizations from the Commonwealth of Pennsylvania and the PUC, PPL E</w:t>
      </w:r>
      <w:r w:rsidR="00114642">
        <w:t>U</w:t>
      </w:r>
      <w:r>
        <w:t xml:space="preserve"> operates a regulated distribution monopoly in its service area.</w:t>
      </w:r>
      <w:r w:rsidR="00114642">
        <w:t xml:space="preserve"> </w:t>
      </w:r>
      <w:r>
        <w:t xml:space="preserve"> Accordingly, PPL E</w:t>
      </w:r>
      <w:r w:rsidR="00114642">
        <w:t>U</w:t>
      </w:r>
      <w:r>
        <w:t xml:space="preserve"> does not face competition in its electricity distribution</w:t>
      </w:r>
      <w:r w:rsidR="006F27F0">
        <w:t xml:space="preserve"> </w:t>
      </w:r>
      <w:r>
        <w:t>business.</w:t>
      </w:r>
      <w:r w:rsidR="00114642">
        <w:t xml:space="preserve"> </w:t>
      </w:r>
      <w:r>
        <w:t xml:space="preserve"> Pursuant to the Customer Choice Act, generation of electricity is a competitive business in Pennsylvania, and PPL E</w:t>
      </w:r>
      <w:r w:rsidR="00114642">
        <w:t>U</w:t>
      </w:r>
      <w:r>
        <w:t xml:space="preserve"> does not own or operate any generation facilities.  </w:t>
      </w:r>
    </w:p>
    <w:p w:rsidR="008F0626" w:rsidRPr="00647B95" w:rsidRDefault="008F0626" w:rsidP="008F0626">
      <w:r w:rsidRPr="00647B95">
        <w:t>The PPL EU transmission business, operating under a FERC-approved PJM Open Access Transmission Tariff, is subject to competition pursuant to FERC Order 1000 from entities that are not incumbent PJM transmission owners with respect to the construction and ownership of transmission facilities within PJM.</w:t>
      </w:r>
    </w:p>
    <w:p w:rsidR="008F0626" w:rsidRPr="00694ADF" w:rsidRDefault="008F0626" w:rsidP="00694ADF">
      <w:r w:rsidRPr="00694ADF">
        <w:t>Distribution Rates and Regulation</w:t>
      </w:r>
    </w:p>
    <w:p w:rsidR="008F0626" w:rsidRPr="009E384D" w:rsidRDefault="008F0626" w:rsidP="008F0626">
      <w:pPr>
        <w:rPr>
          <w:rFonts w:cs="Arial"/>
          <w:szCs w:val="24"/>
        </w:rPr>
      </w:pPr>
      <w:r w:rsidRPr="009E384D">
        <w:rPr>
          <w:rFonts w:cs="Arial"/>
          <w:szCs w:val="24"/>
        </w:rPr>
        <w:t xml:space="preserve">PPL </w:t>
      </w:r>
      <w:r>
        <w:rPr>
          <w:rFonts w:cs="Arial"/>
          <w:szCs w:val="24"/>
        </w:rPr>
        <w:t>EU</w:t>
      </w:r>
      <w:r w:rsidRPr="009E384D">
        <w:rPr>
          <w:rFonts w:cs="Arial"/>
          <w:szCs w:val="24"/>
        </w:rPr>
        <w:t xml:space="preserve">'s distribution base rates are calculated based on a return on rate base (net utility plant plus a cash working capital allowance less plant-related deferred taxes and other miscellaneous additions and deductions).  </w:t>
      </w:r>
      <w:r w:rsidR="00086956">
        <w:rPr>
          <w:rFonts w:cs="Arial"/>
          <w:szCs w:val="24"/>
        </w:rPr>
        <w:t>Certain r</w:t>
      </w:r>
      <w:r w:rsidRPr="009E384D">
        <w:rPr>
          <w:rFonts w:cs="Arial"/>
          <w:szCs w:val="24"/>
        </w:rPr>
        <w:t xml:space="preserve">egulatory assets and liabilities </w:t>
      </w:r>
      <w:r w:rsidRPr="009E384D">
        <w:rPr>
          <w:rFonts w:cs="Arial"/>
          <w:szCs w:val="24"/>
        </w:rPr>
        <w:lastRenderedPageBreak/>
        <w:t xml:space="preserve">are </w:t>
      </w:r>
      <w:r>
        <w:rPr>
          <w:rFonts w:cs="Arial"/>
          <w:szCs w:val="24"/>
        </w:rPr>
        <w:t xml:space="preserve">the only </w:t>
      </w:r>
      <w:r w:rsidR="00086956">
        <w:rPr>
          <w:rFonts w:cs="Arial"/>
          <w:szCs w:val="24"/>
        </w:rPr>
        <w:t>items</w:t>
      </w:r>
      <w:r>
        <w:rPr>
          <w:rFonts w:cs="Arial"/>
          <w:szCs w:val="24"/>
        </w:rPr>
        <w:t xml:space="preserve"> allowed to earn a</w:t>
      </w:r>
      <w:r w:rsidRPr="009E384D">
        <w:rPr>
          <w:rFonts w:cs="Arial"/>
          <w:szCs w:val="24"/>
        </w:rPr>
        <w:t xml:space="preserve"> return </w:t>
      </w:r>
      <w:r>
        <w:rPr>
          <w:rFonts w:cs="Arial"/>
          <w:szCs w:val="24"/>
        </w:rPr>
        <w:t>immediately</w:t>
      </w:r>
      <w:r w:rsidR="00257B9D">
        <w:rPr>
          <w:rFonts w:cs="Arial"/>
          <w:szCs w:val="24"/>
        </w:rPr>
        <w:t>,</w:t>
      </w:r>
      <w:r w:rsidR="00C32674">
        <w:rPr>
          <w:rFonts w:cs="Arial"/>
          <w:szCs w:val="24"/>
        </w:rPr>
        <w:t xml:space="preserve"> </w:t>
      </w:r>
      <w:r w:rsidR="00086956">
        <w:rPr>
          <w:rFonts w:cs="Arial"/>
          <w:szCs w:val="24"/>
        </w:rPr>
        <w:t>if</w:t>
      </w:r>
      <w:r w:rsidR="00892EB8">
        <w:rPr>
          <w:rFonts w:cs="Arial"/>
          <w:szCs w:val="24"/>
        </w:rPr>
        <w:t xml:space="preserve"> </w:t>
      </w:r>
      <w:r>
        <w:rPr>
          <w:rFonts w:cs="Arial"/>
          <w:szCs w:val="24"/>
        </w:rPr>
        <w:t>they are</w:t>
      </w:r>
      <w:r w:rsidR="00086956">
        <w:rPr>
          <w:rFonts w:cs="Arial"/>
          <w:szCs w:val="24"/>
        </w:rPr>
        <w:t xml:space="preserve"> approved by the PUC to be</w:t>
      </w:r>
      <w:r>
        <w:rPr>
          <w:rFonts w:cs="Arial"/>
          <w:szCs w:val="24"/>
        </w:rPr>
        <w:t xml:space="preserve"> handled through an automatic adjustment clause</w:t>
      </w:r>
      <w:r w:rsidRPr="009E384D">
        <w:rPr>
          <w:rFonts w:cs="Arial"/>
          <w:szCs w:val="24"/>
        </w:rPr>
        <w:t xml:space="preserve">. </w:t>
      </w:r>
      <w:r w:rsidR="00257B9D">
        <w:rPr>
          <w:rFonts w:cs="Arial"/>
          <w:szCs w:val="24"/>
        </w:rPr>
        <w:t xml:space="preserve"> </w:t>
      </w:r>
      <w:r w:rsidRPr="009E384D">
        <w:rPr>
          <w:rFonts w:cs="Arial"/>
          <w:szCs w:val="24"/>
        </w:rPr>
        <w:t xml:space="preserve">Currently, PPL </w:t>
      </w:r>
      <w:r>
        <w:rPr>
          <w:rFonts w:cs="Arial"/>
          <w:szCs w:val="24"/>
        </w:rPr>
        <w:t>EU</w:t>
      </w:r>
      <w:r w:rsidRPr="009E384D">
        <w:rPr>
          <w:rFonts w:cs="Arial"/>
          <w:szCs w:val="24"/>
        </w:rPr>
        <w:t xml:space="preserve">'s Smart Meter rider and the </w:t>
      </w:r>
      <w:r>
        <w:rPr>
          <w:rFonts w:cs="Arial"/>
          <w:szCs w:val="24"/>
        </w:rPr>
        <w:t>Distribution System Improvement Charge (</w:t>
      </w:r>
      <w:r w:rsidRPr="009E384D">
        <w:rPr>
          <w:rFonts w:cs="Arial"/>
          <w:szCs w:val="24"/>
        </w:rPr>
        <w:t>DSIC</w:t>
      </w:r>
      <w:r>
        <w:rPr>
          <w:rFonts w:cs="Arial"/>
          <w:szCs w:val="24"/>
        </w:rPr>
        <w:t>)</w:t>
      </w:r>
      <w:r w:rsidRPr="009E384D">
        <w:rPr>
          <w:rFonts w:cs="Arial"/>
          <w:szCs w:val="24"/>
        </w:rPr>
        <w:t xml:space="preserve"> are the only </w:t>
      </w:r>
      <w:r w:rsidR="00436317">
        <w:rPr>
          <w:rFonts w:cs="Arial"/>
          <w:szCs w:val="24"/>
        </w:rPr>
        <w:t>auto</w:t>
      </w:r>
      <w:r w:rsidR="0048291E">
        <w:rPr>
          <w:rFonts w:cs="Arial"/>
          <w:szCs w:val="24"/>
        </w:rPr>
        <w:t>matic adjustment clauses permit</w:t>
      </w:r>
      <w:r w:rsidR="00086956">
        <w:rPr>
          <w:rFonts w:cs="Arial"/>
          <w:szCs w:val="24"/>
        </w:rPr>
        <w:t>t</w:t>
      </w:r>
      <w:r w:rsidR="00436317">
        <w:rPr>
          <w:rFonts w:cs="Arial"/>
          <w:szCs w:val="24"/>
        </w:rPr>
        <w:t>ed</w:t>
      </w:r>
      <w:r w:rsidR="00086956">
        <w:rPr>
          <w:rFonts w:cs="Arial"/>
          <w:szCs w:val="24"/>
        </w:rPr>
        <w:t>.</w:t>
      </w:r>
      <w:r>
        <w:rPr>
          <w:rFonts w:cs="Arial"/>
          <w:szCs w:val="24"/>
        </w:rPr>
        <w:t xml:space="preserve"> These assets </w:t>
      </w:r>
      <w:r w:rsidR="00E903E2">
        <w:rPr>
          <w:rFonts w:cs="Arial"/>
          <w:szCs w:val="24"/>
        </w:rPr>
        <w:t xml:space="preserve">may </w:t>
      </w:r>
      <w:r>
        <w:rPr>
          <w:rFonts w:cs="Arial"/>
          <w:szCs w:val="24"/>
        </w:rPr>
        <w:t xml:space="preserve">then </w:t>
      </w:r>
      <w:r w:rsidR="00E903E2">
        <w:rPr>
          <w:rFonts w:cs="Arial"/>
          <w:szCs w:val="24"/>
        </w:rPr>
        <w:t xml:space="preserve">be </w:t>
      </w:r>
      <w:r>
        <w:rPr>
          <w:rFonts w:cs="Arial"/>
          <w:szCs w:val="24"/>
        </w:rPr>
        <w:t>added to base rates during the next rate base proceeding</w:t>
      </w:r>
      <w:r w:rsidR="00D529E6">
        <w:rPr>
          <w:rFonts w:cs="Arial"/>
          <w:szCs w:val="24"/>
        </w:rPr>
        <w:t xml:space="preserve"> with the PUC</w:t>
      </w:r>
      <w:r w:rsidR="00436317">
        <w:rPr>
          <w:rFonts w:cs="Arial"/>
          <w:szCs w:val="24"/>
        </w:rPr>
        <w:t xml:space="preserve"> and the clauses are set to zero</w:t>
      </w:r>
      <w:r w:rsidRPr="009E384D">
        <w:rPr>
          <w:rFonts w:cs="Arial"/>
          <w:szCs w:val="24"/>
        </w:rPr>
        <w:t xml:space="preserve">.  Certain operating expenses are also included in PPL </w:t>
      </w:r>
      <w:r>
        <w:rPr>
          <w:rFonts w:cs="Arial"/>
          <w:szCs w:val="24"/>
        </w:rPr>
        <w:t>EU</w:t>
      </w:r>
      <w:r w:rsidRPr="009E384D">
        <w:rPr>
          <w:rFonts w:cs="Arial"/>
          <w:szCs w:val="24"/>
        </w:rPr>
        <w:t>'s distribution base rates including wages and benefits, other operation and maintenance expenses, depreciation</w:t>
      </w:r>
      <w:r w:rsidR="00C94951">
        <w:rPr>
          <w:rFonts w:cs="Arial"/>
          <w:szCs w:val="24"/>
        </w:rPr>
        <w:t>,</w:t>
      </w:r>
      <w:r w:rsidRPr="009E384D">
        <w:rPr>
          <w:rFonts w:cs="Arial"/>
          <w:szCs w:val="24"/>
        </w:rPr>
        <w:t xml:space="preserve"> and taxes.</w:t>
      </w:r>
    </w:p>
    <w:p w:rsidR="008F0626" w:rsidRPr="009E384D" w:rsidRDefault="008F0626" w:rsidP="008F0626">
      <w:pPr>
        <w:rPr>
          <w:rFonts w:cs="Arial"/>
          <w:szCs w:val="24"/>
        </w:rPr>
      </w:pPr>
      <w:r w:rsidRPr="009E384D">
        <w:rPr>
          <w:rFonts w:cs="Arial"/>
          <w:szCs w:val="24"/>
        </w:rPr>
        <w:t>Pennsylvania's Alternative Energy Portfolio Standard</w:t>
      </w:r>
      <w:r w:rsidR="00436317">
        <w:rPr>
          <w:rFonts w:cs="Arial"/>
          <w:szCs w:val="24"/>
        </w:rPr>
        <w:t>s</w:t>
      </w:r>
      <w:r w:rsidRPr="009E384D">
        <w:rPr>
          <w:rFonts w:cs="Arial"/>
          <w:szCs w:val="24"/>
        </w:rPr>
        <w:t xml:space="preserve"> </w:t>
      </w:r>
      <w:r>
        <w:rPr>
          <w:rFonts w:cs="Arial"/>
          <w:szCs w:val="24"/>
        </w:rPr>
        <w:t>(</w:t>
      </w:r>
      <w:r w:rsidRPr="009E384D">
        <w:rPr>
          <w:rFonts w:cs="Arial"/>
          <w:szCs w:val="24"/>
        </w:rPr>
        <w:t>AEPS</w:t>
      </w:r>
      <w:r>
        <w:rPr>
          <w:rFonts w:cs="Arial"/>
          <w:szCs w:val="24"/>
        </w:rPr>
        <w:t>)</w:t>
      </w:r>
      <w:r w:rsidR="00436317">
        <w:rPr>
          <w:rFonts w:cs="Arial"/>
          <w:szCs w:val="24"/>
        </w:rPr>
        <w:t xml:space="preserve"> Act</w:t>
      </w:r>
      <w:r w:rsidRPr="009E384D">
        <w:rPr>
          <w:rFonts w:cs="Arial"/>
          <w:szCs w:val="24"/>
        </w:rPr>
        <w:t xml:space="preserve"> requires electric distribution companies and electric generation suppliers to obtain a portion of the electricity sold to retail customers in Pennsylvania from alternative energy sources. </w:t>
      </w:r>
      <w:r w:rsidR="00257B9D">
        <w:rPr>
          <w:rFonts w:cs="Arial"/>
          <w:szCs w:val="24"/>
        </w:rPr>
        <w:t xml:space="preserve"> </w:t>
      </w:r>
      <w:r w:rsidRPr="009E384D">
        <w:rPr>
          <w:rFonts w:cs="Arial"/>
          <w:szCs w:val="24"/>
        </w:rPr>
        <w:t xml:space="preserve">Under the default service procurement plans approved by the PUC, PPL </w:t>
      </w:r>
      <w:r>
        <w:rPr>
          <w:rFonts w:cs="Arial"/>
          <w:szCs w:val="24"/>
        </w:rPr>
        <w:t>EU</w:t>
      </w:r>
      <w:r w:rsidRPr="009E384D">
        <w:rPr>
          <w:rFonts w:cs="Arial"/>
          <w:szCs w:val="24"/>
        </w:rPr>
        <w:t xml:space="preserve"> purchases all of the alternative energy generation</w:t>
      </w:r>
      <w:r>
        <w:rPr>
          <w:rFonts w:cs="Arial"/>
          <w:szCs w:val="24"/>
        </w:rPr>
        <w:t xml:space="preserve"> supply it needs to comply with </w:t>
      </w:r>
      <w:r w:rsidRPr="009E384D">
        <w:rPr>
          <w:rFonts w:cs="Arial"/>
          <w:szCs w:val="24"/>
        </w:rPr>
        <w:t>the AEPS.</w:t>
      </w:r>
    </w:p>
    <w:p w:rsidR="008F0626" w:rsidRDefault="008F0626" w:rsidP="006F27F0">
      <w:pPr>
        <w:rPr>
          <w:rFonts w:cs="Arial"/>
          <w:szCs w:val="24"/>
        </w:rPr>
      </w:pPr>
      <w:r w:rsidRPr="009E384D">
        <w:rPr>
          <w:rFonts w:cs="Arial"/>
          <w:szCs w:val="24"/>
        </w:rPr>
        <w:t xml:space="preserve">Act 11 authorizes the PUC to approve two specific ratemaking mechanisms: the use of a fully projected future test year in base rate proceedings and, subject to certain conditions, the use of a DSIC.  Such alternative ratemaking procedures and mechanisms provide opportunity for accelerated cost-recovery and, therefore, are important to PPL </w:t>
      </w:r>
      <w:r>
        <w:rPr>
          <w:rFonts w:cs="Arial"/>
          <w:szCs w:val="24"/>
        </w:rPr>
        <w:t>EU</w:t>
      </w:r>
      <w:r w:rsidRPr="009E384D">
        <w:rPr>
          <w:rFonts w:cs="Arial"/>
          <w:szCs w:val="24"/>
        </w:rPr>
        <w:t xml:space="preserve"> as it is in a period of significant capital investment to maintain and enhance the reliability of its delivery system, including the replacement of aging assets.</w:t>
      </w:r>
      <w:r w:rsidR="00C94951">
        <w:rPr>
          <w:rFonts w:cs="Arial"/>
          <w:szCs w:val="24"/>
        </w:rPr>
        <w:t xml:space="preserve"> </w:t>
      </w:r>
      <w:r w:rsidRPr="009E384D">
        <w:rPr>
          <w:rFonts w:cs="Arial"/>
          <w:szCs w:val="24"/>
        </w:rPr>
        <w:t xml:space="preserve"> In January 2013, PPL </w:t>
      </w:r>
      <w:r>
        <w:rPr>
          <w:rFonts w:cs="Arial"/>
          <w:szCs w:val="24"/>
        </w:rPr>
        <w:t>EU</w:t>
      </w:r>
      <w:r w:rsidRPr="009E384D">
        <w:rPr>
          <w:rFonts w:cs="Arial"/>
          <w:szCs w:val="24"/>
        </w:rPr>
        <w:t xml:space="preserve"> filed a petition requesting permission to establish a DSIC. </w:t>
      </w:r>
      <w:r w:rsidR="00257B9D">
        <w:rPr>
          <w:rFonts w:cs="Arial"/>
          <w:szCs w:val="24"/>
        </w:rPr>
        <w:t xml:space="preserve"> </w:t>
      </w:r>
      <w:r w:rsidRPr="009E384D">
        <w:rPr>
          <w:rFonts w:cs="Arial"/>
          <w:szCs w:val="24"/>
        </w:rPr>
        <w:t>In May 2013, the</w:t>
      </w:r>
      <w:r>
        <w:rPr>
          <w:rFonts w:cs="Arial"/>
          <w:szCs w:val="24"/>
        </w:rPr>
        <w:t xml:space="preserve"> </w:t>
      </w:r>
      <w:r w:rsidRPr="009E384D">
        <w:rPr>
          <w:rFonts w:cs="Arial"/>
          <w:szCs w:val="24"/>
        </w:rPr>
        <w:t xml:space="preserve">PUC approved PPL </w:t>
      </w:r>
      <w:r>
        <w:rPr>
          <w:rFonts w:cs="Arial"/>
          <w:szCs w:val="24"/>
        </w:rPr>
        <w:t>EU</w:t>
      </w:r>
      <w:r w:rsidRPr="009E384D">
        <w:rPr>
          <w:rFonts w:cs="Arial"/>
          <w:szCs w:val="24"/>
        </w:rPr>
        <w:t>'s proposed DSIC with an initial rate effective July 1, 2013</w:t>
      </w:r>
      <w:r w:rsidR="00E903E2">
        <w:rPr>
          <w:rFonts w:cs="Arial"/>
          <w:szCs w:val="24"/>
        </w:rPr>
        <w:t>.</w:t>
      </w:r>
    </w:p>
    <w:p w:rsidR="008F0626" w:rsidRPr="00694ADF" w:rsidRDefault="008F0626" w:rsidP="00694ADF">
      <w:pPr>
        <w:pStyle w:val="Heading40"/>
      </w:pPr>
      <w:r w:rsidRPr="00694ADF">
        <w:t>Transmission Rates and Regulation</w:t>
      </w:r>
    </w:p>
    <w:p w:rsidR="008F0626" w:rsidRPr="00694ADF" w:rsidRDefault="008F0626" w:rsidP="00694ADF">
      <w:r w:rsidRPr="00694ADF">
        <w:t>PPL EU's transmission facilities are within PJM, which operates the electricity transmission network and electric energy market in the Mid-Atlantic and Midwest regions of the U.S.</w:t>
      </w:r>
      <w:r w:rsidR="00B52102" w:rsidRPr="00694ADF">
        <w:t xml:space="preserve"> </w:t>
      </w:r>
      <w:r w:rsidRPr="00694ADF">
        <w:t xml:space="preserve"> PJM serves as a FERC-approved </w:t>
      </w:r>
      <w:r w:rsidR="00F1163B" w:rsidRPr="00694ADF">
        <w:t>RTO</w:t>
      </w:r>
      <w:r w:rsidRPr="00694ADF">
        <w:t xml:space="preserve"> to promote greater participation and competition in the region it serves.  In addition to operating the electricity transmission network, PJM also administers regional markets for energy, capacity</w:t>
      </w:r>
      <w:r w:rsidR="00257B9D" w:rsidRPr="00694ADF">
        <w:t>,</w:t>
      </w:r>
      <w:r w:rsidRPr="00694ADF">
        <w:t xml:space="preserve"> and ancillary services.  A primary objective of any RTO is to separate the operation of, and access to, the transmission grid from market participants that buy or sell electricity in the same markets. </w:t>
      </w:r>
      <w:r w:rsidR="00B52102" w:rsidRPr="00694ADF">
        <w:t xml:space="preserve"> </w:t>
      </w:r>
      <w:r w:rsidRPr="00694ADF">
        <w:t>PJM utilities continue to own the transmission assets and to receive their share of transmission revenues, but</w:t>
      </w:r>
      <w:r w:rsidR="00694ADF">
        <w:t xml:space="preserve"> the </w:t>
      </w:r>
      <w:r w:rsidRPr="00694ADF">
        <w:t xml:space="preserve">RTO directs the control and operation of the transmission facilities. </w:t>
      </w:r>
      <w:r w:rsidR="00B52102" w:rsidRPr="00694ADF">
        <w:t xml:space="preserve"> </w:t>
      </w:r>
      <w:r w:rsidRPr="00694ADF">
        <w:t>Certain types of transmission investment are subject to competitive processes outlined in the PJM tariff.</w:t>
      </w:r>
    </w:p>
    <w:p w:rsidR="008F0626" w:rsidRDefault="008F0626" w:rsidP="008F0626">
      <w:pPr>
        <w:rPr>
          <w:rFonts w:cs="Arial"/>
          <w:color w:val="000000"/>
          <w:szCs w:val="24"/>
        </w:rPr>
      </w:pPr>
      <w:r w:rsidRPr="00C85946">
        <w:rPr>
          <w:rFonts w:cs="Arial"/>
          <w:color w:val="000000"/>
          <w:szCs w:val="24"/>
        </w:rPr>
        <w:t xml:space="preserve">As a transmission owner, PPL </w:t>
      </w:r>
      <w:r>
        <w:rPr>
          <w:rFonts w:cs="Arial"/>
          <w:color w:val="000000"/>
          <w:szCs w:val="24"/>
        </w:rPr>
        <w:t>EU</w:t>
      </w:r>
      <w:r w:rsidRPr="00C85946">
        <w:rPr>
          <w:rFonts w:cs="Arial"/>
          <w:color w:val="000000"/>
          <w:szCs w:val="24"/>
        </w:rPr>
        <w:t xml:space="preserve">'s transmission revenues are </w:t>
      </w:r>
      <w:r w:rsidRPr="00694ADF">
        <w:t>recovered</w:t>
      </w:r>
      <w:r w:rsidRPr="00C85946">
        <w:rPr>
          <w:rFonts w:cs="Arial"/>
          <w:color w:val="000000"/>
          <w:szCs w:val="24"/>
        </w:rPr>
        <w:t xml:space="preserve"> through PJM in accordance with a FERC approved tariff that allows recovery of incurred transmission costs, a return on transmission-related plant</w:t>
      </w:r>
      <w:r w:rsidR="00B52102">
        <w:rPr>
          <w:rFonts w:cs="Arial"/>
          <w:color w:val="000000"/>
          <w:szCs w:val="24"/>
        </w:rPr>
        <w:t>,</w:t>
      </w:r>
      <w:r w:rsidRPr="00C85946">
        <w:rPr>
          <w:rFonts w:cs="Arial"/>
          <w:color w:val="000000"/>
          <w:szCs w:val="24"/>
        </w:rPr>
        <w:t xml:space="preserve"> and an automatic annual update based on a formula rate mechanism.  As a P</w:t>
      </w:r>
      <w:r>
        <w:rPr>
          <w:rFonts w:cs="Arial"/>
          <w:color w:val="000000"/>
          <w:szCs w:val="24"/>
        </w:rPr>
        <w:t>O</w:t>
      </w:r>
      <w:r w:rsidRPr="00C85946">
        <w:rPr>
          <w:rFonts w:cs="Arial"/>
          <w:color w:val="000000"/>
          <w:szCs w:val="24"/>
        </w:rPr>
        <w:t xml:space="preserve">LR, PPL </w:t>
      </w:r>
      <w:r>
        <w:rPr>
          <w:rFonts w:cs="Arial"/>
          <w:color w:val="000000"/>
          <w:szCs w:val="24"/>
        </w:rPr>
        <w:t>EU</w:t>
      </w:r>
      <w:r w:rsidRPr="00C85946">
        <w:rPr>
          <w:rFonts w:cs="Arial"/>
          <w:color w:val="000000"/>
          <w:szCs w:val="24"/>
        </w:rPr>
        <w:t xml:space="preserve"> also purchases transmission services from PJM.</w:t>
      </w:r>
    </w:p>
    <w:p w:rsidR="008F0626" w:rsidRDefault="008F0626" w:rsidP="008F0626">
      <w:pPr>
        <w:pStyle w:val="Heading40"/>
        <w:jc w:val="both"/>
      </w:pPr>
      <w:r>
        <w:t xml:space="preserve">Provider of Last Resort </w:t>
      </w:r>
    </w:p>
    <w:p w:rsidR="008F0626" w:rsidRDefault="008F0626" w:rsidP="008F0626">
      <w:r>
        <w:t>The Customer Choice Act requires Electric Distribution Companies (EDCs), including PPL EU, or an alternative supplier approved by the PUC</w:t>
      </w:r>
      <w:r w:rsidR="00B52102">
        <w:t>,</w:t>
      </w:r>
      <w:r>
        <w:t xml:space="preserve"> to ac</w:t>
      </w:r>
      <w:r w:rsidR="00F1163B">
        <w:t xml:space="preserve">t as </w:t>
      </w:r>
      <w:r w:rsidR="00B52102">
        <w:t>the</w:t>
      </w:r>
      <w:r w:rsidR="00F1163B">
        <w:t xml:space="preserve"> </w:t>
      </w:r>
      <w:r>
        <w:t xml:space="preserve">POLR of electricity supply for customers who do not choose to shop for supply with a competitive </w:t>
      </w:r>
      <w:r>
        <w:lastRenderedPageBreak/>
        <w:t>supplier and provides that electricity supply costs will be recovered by the POLR pursuant to regulations established by the PUC. As of December 31, 201</w:t>
      </w:r>
      <w:r w:rsidR="004927D3">
        <w:t>5</w:t>
      </w:r>
      <w:r>
        <w:t>, the following percentages of PPL EU's customer load were provided by competitive s</w:t>
      </w:r>
      <w:r w:rsidR="00F1163B">
        <w:t>uppliers: 50% of residential, 85</w:t>
      </w:r>
      <w:r>
        <w:t>% of small commercial and industrial</w:t>
      </w:r>
      <w:r w:rsidR="00B52102">
        <w:t>,</w:t>
      </w:r>
      <w:r>
        <w:t xml:space="preserve"> and 99% of large commercial and industrial customers.    </w:t>
      </w:r>
    </w:p>
    <w:p w:rsidR="008F0626" w:rsidRDefault="008F0626" w:rsidP="008F0626">
      <w:r>
        <w:t>PPL EU's cost of electricity generation is based on a competitive solicitation process.  The PUC approved PPL EU's default servi</w:t>
      </w:r>
      <w:r w:rsidR="00F1163B">
        <w:t>ce plan for the period June 2015 through May 2017</w:t>
      </w:r>
      <w:r>
        <w:t xml:space="preserve">, which includes four solicitations for electricity supply held in April and October, annually.  Pursuant to this plan, PPL EU contracts for all of the electricity supply for residential, small commercial, small industrial, large </w:t>
      </w:r>
      <w:proofErr w:type="gramStart"/>
      <w:r>
        <w:t>commercial,</w:t>
      </w:r>
      <w:proofErr w:type="gramEnd"/>
      <w:r>
        <w:t xml:space="preserve"> and large industrial customers who elect to take that service from PPL EU.  These solicitations include a </w:t>
      </w:r>
      <w:r w:rsidR="002D50D7">
        <w:t>mix of 6- and 12</w:t>
      </w:r>
      <w:r>
        <w:t>-month fixed-price load-following contracts for residential, small commercial</w:t>
      </w:r>
      <w:r w:rsidR="00B52102">
        <w:t>,</w:t>
      </w:r>
      <w:r>
        <w:t xml:space="preserve"> and small industrial customers, and 12-month real-time pricing contracts for large commercial and large industrial customers, to fulfill PPL EU's obligation to provide customer electricity supply as a POLR.</w:t>
      </w:r>
    </w:p>
    <w:p w:rsidR="008F0626" w:rsidRDefault="008F0626" w:rsidP="008F0626">
      <w:r>
        <w:t>Numerous alternative suppliers have offered to provide generation supply to customers in PPL EU's service territory.  Since the cost of generation supply is a pass-through cost for PPL EU, its financial results are not impacted if its customers purchase electricity supply from these alternative suppliers.</w:t>
      </w:r>
    </w:p>
    <w:p w:rsidR="008F0626" w:rsidRDefault="003733B1" w:rsidP="003733B1">
      <w:pPr>
        <w:pStyle w:val="Heading30"/>
      </w:pPr>
      <w:r>
        <w:t>PPL EU Organization</w:t>
      </w:r>
    </w:p>
    <w:p w:rsidR="008F0626" w:rsidRDefault="008F0626" w:rsidP="008F0626">
      <w:r w:rsidRPr="00063101">
        <w:t xml:space="preserve">The top level organization structure for </w:t>
      </w:r>
      <w:r>
        <w:t>PPL EU</w:t>
      </w:r>
      <w:r w:rsidRPr="00063101">
        <w:t xml:space="preserve"> is shown in the following organization chart.</w:t>
      </w:r>
    </w:p>
    <w:p w:rsidR="008F0626" w:rsidRDefault="00356110" w:rsidP="00356110">
      <w:pPr>
        <w:pStyle w:val="Caption"/>
      </w:pPr>
      <w:bookmarkStart w:id="17" w:name="_Toc464552927"/>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F03CD4">
        <w:br/>
      </w:r>
      <w:r w:rsidR="008F0626" w:rsidRPr="00B97744">
        <w:t xml:space="preserve">PPL Electric Utilities </w:t>
      </w:r>
      <w:r w:rsidR="00B97744" w:rsidRPr="00B97744">
        <w:t xml:space="preserve">Corporation </w:t>
      </w:r>
      <w:r w:rsidR="008F0626" w:rsidRPr="00B97744">
        <w:t>Organization Chart</w:t>
      </w:r>
      <w:bookmarkEnd w:id="17"/>
      <w:r w:rsidR="008F0626" w:rsidRPr="00B97744">
        <w:t xml:space="preserve"> </w:t>
      </w:r>
    </w:p>
    <w:p w:rsidR="005662BD" w:rsidRDefault="00F816A4" w:rsidP="005662BD">
      <w:r>
        <w:rPr>
          <w:noProof/>
        </w:rPr>
        <w:drawing>
          <wp:inline distT="0" distB="0" distL="0" distR="0">
            <wp:extent cx="5943600" cy="27990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PL-EU_01071_page1_v2.jp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799080"/>
                    </a:xfrm>
                    <a:prstGeom prst="rect">
                      <a:avLst/>
                    </a:prstGeom>
                  </pic:spPr>
                </pic:pic>
              </a:graphicData>
            </a:graphic>
          </wp:inline>
        </w:drawing>
      </w:r>
    </w:p>
    <w:p w:rsidR="008F0626" w:rsidRPr="005D30D2" w:rsidRDefault="008F0626" w:rsidP="00212877">
      <w:r>
        <w:t>Source:  DN 01-071</w:t>
      </w:r>
    </w:p>
    <w:p w:rsidR="008F0626" w:rsidRDefault="008F0626" w:rsidP="008F0626">
      <w:r>
        <w:lastRenderedPageBreak/>
        <w:t>The President, PPL EU</w:t>
      </w:r>
      <w:r w:rsidR="009C32D2">
        <w:t>,</w:t>
      </w:r>
      <w:r>
        <w:t xml:space="preserve"> has an Executive Secretary, </w:t>
      </w:r>
      <w:r w:rsidR="00F8783F">
        <w:t xml:space="preserve">an Administrative Supervisor </w:t>
      </w:r>
      <w:r>
        <w:t xml:space="preserve">and </w:t>
      </w:r>
      <w:r w:rsidR="00F8783F">
        <w:t>ten</w:t>
      </w:r>
      <w:r>
        <w:t xml:space="preserve"> direct reports who each lead a segment of the utility organization.  Reports to the President include:  </w:t>
      </w:r>
    </w:p>
    <w:p w:rsidR="008F0626" w:rsidRDefault="008F0626" w:rsidP="008F0626">
      <w:pPr>
        <w:pStyle w:val="Bullet"/>
      </w:pPr>
      <w:r>
        <w:t>Vice President – Distribution Operati</w:t>
      </w:r>
      <w:r w:rsidR="00F8783F">
        <w:t>ons.  Distribution Operations are</w:t>
      </w:r>
      <w:r>
        <w:t xml:space="preserve"> covered in Chapter VI; Fleet Management in Chapter </w:t>
      </w:r>
      <w:r w:rsidR="00407A72">
        <w:t>VIII.</w:t>
      </w:r>
    </w:p>
    <w:p w:rsidR="008F0626" w:rsidRDefault="008F0626" w:rsidP="008F0626">
      <w:pPr>
        <w:pStyle w:val="Bullet"/>
      </w:pPr>
      <w:r>
        <w:t>Vice President – Transmission and Substations. Transmission and Substations are covered in Chapter VI.</w:t>
      </w:r>
    </w:p>
    <w:p w:rsidR="008F0626" w:rsidRDefault="008F0626" w:rsidP="008F0626">
      <w:pPr>
        <w:pStyle w:val="Bullet"/>
      </w:pPr>
      <w:r>
        <w:t>Customer Service</w:t>
      </w:r>
      <w:r w:rsidR="00436317">
        <w:t>s Vice President</w:t>
      </w:r>
      <w:r>
        <w:t>.  Customer Service is covered in Chapter I</w:t>
      </w:r>
      <w:r w:rsidR="009C32D2">
        <w:t>X</w:t>
      </w:r>
      <w:r>
        <w:t>; Customer Assistance Programs are covered in Chapter X.</w:t>
      </w:r>
    </w:p>
    <w:p w:rsidR="00204F68" w:rsidRDefault="00204F68" w:rsidP="008F0626">
      <w:pPr>
        <w:pStyle w:val="Bullet"/>
      </w:pPr>
      <w:r>
        <w:t>Director – Accounting and Financial Reporting</w:t>
      </w:r>
      <w:r w:rsidR="00F8783F">
        <w:t>.  Accounting and Financial Reporting are covered in Chapter V.</w:t>
      </w:r>
    </w:p>
    <w:p w:rsidR="00204F68" w:rsidRDefault="008F0626" w:rsidP="008F0626">
      <w:pPr>
        <w:pStyle w:val="Bullet"/>
      </w:pPr>
      <w:r>
        <w:t>Director – Technical Development and Improvement</w:t>
      </w:r>
      <w:r w:rsidR="009541AE">
        <w:t xml:space="preserve">. </w:t>
      </w:r>
      <w:r w:rsidR="00E129C3">
        <w:t xml:space="preserve"> </w:t>
      </w:r>
      <w:r w:rsidR="00AE1ED0">
        <w:t>Technical Development and Improvement is covered in Chapter VIII</w:t>
      </w:r>
      <w:r w:rsidR="004012E3">
        <w:t xml:space="preserve"> and Emergency Response in Chapter VII</w:t>
      </w:r>
      <w:r>
        <w:t>.</w:t>
      </w:r>
    </w:p>
    <w:p w:rsidR="00204F68" w:rsidRDefault="00204F68" w:rsidP="008F0626">
      <w:pPr>
        <w:pStyle w:val="Bullet"/>
      </w:pPr>
      <w:r>
        <w:t>Director – Corporate Communications</w:t>
      </w:r>
      <w:r w:rsidR="00E129C3">
        <w:t xml:space="preserve"> (described below)</w:t>
      </w:r>
      <w:r>
        <w:t>.</w:t>
      </w:r>
    </w:p>
    <w:p w:rsidR="00204F68" w:rsidRDefault="00204F68" w:rsidP="00204F68">
      <w:pPr>
        <w:pStyle w:val="Bullet"/>
      </w:pPr>
      <w:r>
        <w:t xml:space="preserve">Director – Human Resources.  Human Resources are covered in Chapter </w:t>
      </w:r>
      <w:r w:rsidR="009C32D2">
        <w:t>XII</w:t>
      </w:r>
      <w:r>
        <w:t>; Executive Compensation in Chapter X</w:t>
      </w:r>
      <w:r w:rsidR="009C32D2">
        <w:t>III</w:t>
      </w:r>
      <w:r>
        <w:t xml:space="preserve">, </w:t>
      </w:r>
      <w:r w:rsidR="009C32D2">
        <w:t xml:space="preserve">and </w:t>
      </w:r>
      <w:r>
        <w:t>Diversity/Equal Employment Opportunity in Chapter X</w:t>
      </w:r>
      <w:r w:rsidR="009C32D2">
        <w:t>IV</w:t>
      </w:r>
      <w:r>
        <w:t>.</w:t>
      </w:r>
    </w:p>
    <w:p w:rsidR="00204F68" w:rsidRDefault="008F0626" w:rsidP="00204F68">
      <w:pPr>
        <w:pStyle w:val="Bullet"/>
      </w:pPr>
      <w:r>
        <w:t xml:space="preserve">Director – Supply Chain.  Supply chain is covered in Chapter </w:t>
      </w:r>
      <w:r w:rsidR="009C32D2">
        <w:t>VIII</w:t>
      </w:r>
      <w:r>
        <w:t>.</w:t>
      </w:r>
    </w:p>
    <w:p w:rsidR="00F8783F" w:rsidRDefault="00204F68" w:rsidP="00204F68">
      <w:pPr>
        <w:pStyle w:val="Bullet"/>
      </w:pPr>
      <w:r>
        <w:t>Director – Facilities Operations</w:t>
      </w:r>
      <w:r w:rsidR="00F8783F">
        <w:t>. Facilities Operations are covered in Chapter V.</w:t>
      </w:r>
    </w:p>
    <w:p w:rsidR="003733B1" w:rsidRDefault="00F8783F" w:rsidP="003733B1">
      <w:pPr>
        <w:pStyle w:val="Bullet"/>
      </w:pPr>
      <w:r>
        <w:t>Manager – Regulatory Operations.  Regulatory Affairs are covered in Chapter V.</w:t>
      </w:r>
    </w:p>
    <w:p w:rsidR="00C701A2" w:rsidRDefault="00C701A2" w:rsidP="00C701A2">
      <w:pPr>
        <w:pStyle w:val="Heading40"/>
      </w:pPr>
      <w:r>
        <w:t>PPL EU Communications</w:t>
      </w:r>
    </w:p>
    <w:p w:rsidR="00A83094" w:rsidRDefault="00C701A2" w:rsidP="00A83094">
      <w:r>
        <w:t xml:space="preserve">This organization, one of two communications </w:t>
      </w:r>
      <w:r w:rsidR="00A83094">
        <w:t>group</w:t>
      </w:r>
      <w:r>
        <w:t>s</w:t>
      </w:r>
      <w:r w:rsidR="003733B1">
        <w:t xml:space="preserve"> </w:t>
      </w:r>
      <w:r w:rsidR="0032237A">
        <w:t>managed from</w:t>
      </w:r>
      <w:r w:rsidR="003733B1">
        <w:t xml:space="preserve"> the Allentown</w:t>
      </w:r>
      <w:r w:rsidR="0032237A">
        <w:t xml:space="preserve"> headquarters</w:t>
      </w:r>
      <w:r w:rsidR="00A83094">
        <w:t xml:space="preserve">, </w:t>
      </w:r>
      <w:r>
        <w:t>is</w:t>
      </w:r>
      <w:r w:rsidR="00A83094">
        <w:t xml:space="preserve"> en</w:t>
      </w:r>
      <w:r w:rsidR="0032237A">
        <w:t xml:space="preserve">titled </w:t>
      </w:r>
      <w:r w:rsidR="009A7041">
        <w:t>EU</w:t>
      </w:r>
      <w:r w:rsidR="0032237A">
        <w:t xml:space="preserve"> </w:t>
      </w:r>
      <w:r w:rsidR="002A2C2C">
        <w:t xml:space="preserve">Communications </w:t>
      </w:r>
      <w:r w:rsidR="0032237A">
        <w:t>and</w:t>
      </w:r>
      <w:r w:rsidR="00A83094">
        <w:t xml:space="preserve"> is led by a Director</w:t>
      </w:r>
      <w:r w:rsidR="00E10C08">
        <w:t>–</w:t>
      </w:r>
      <w:r w:rsidR="00A83094">
        <w:t xml:space="preserve">Corporate Communications who </w:t>
      </w:r>
      <w:r w:rsidR="00A83094" w:rsidRPr="00212BFA">
        <w:t>reports directly to the President of PPL E</w:t>
      </w:r>
      <w:r w:rsidR="00140FBD">
        <w:t>U</w:t>
      </w:r>
      <w:r w:rsidR="00A83094" w:rsidRPr="00212BFA">
        <w:t xml:space="preserve">.  </w:t>
      </w:r>
      <w:r w:rsidR="00A83094">
        <w:t>This group resides organizationally within PPL EUS.  The Director</w:t>
      </w:r>
      <w:r w:rsidR="00A83094" w:rsidRPr="00212BFA">
        <w:t xml:space="preserve"> has eight direct reports.  These include four Regional Affairs </w:t>
      </w:r>
      <w:proofErr w:type="gramStart"/>
      <w:r w:rsidR="00A83094" w:rsidRPr="00212BFA">
        <w:t>Directors</w:t>
      </w:r>
      <w:r w:rsidR="00BD1B1F">
        <w:t>,</w:t>
      </w:r>
      <w:proofErr w:type="gramEnd"/>
      <w:r w:rsidR="00BD1B1F">
        <w:t xml:space="preserve"> one each</w:t>
      </w:r>
      <w:r w:rsidRPr="00C701A2">
        <w:t xml:space="preserve"> </w:t>
      </w:r>
      <w:r w:rsidRPr="00212BFA">
        <w:t>located in Allentown, Harrisburg/Lancaster, Wilkes-Barre/Scranton and Williamsport/Bloomsburg</w:t>
      </w:r>
      <w:r>
        <w:t xml:space="preserve"> offices</w:t>
      </w:r>
      <w:r w:rsidRPr="00212BFA">
        <w:t xml:space="preserve"> within the PPL</w:t>
      </w:r>
      <w:r w:rsidR="00140FBD">
        <w:t xml:space="preserve"> EU</w:t>
      </w:r>
      <w:r w:rsidRPr="00212BFA">
        <w:t xml:space="preserve"> service area.  </w:t>
      </w:r>
      <w:r>
        <w:t xml:space="preserve">The remaining staff includes </w:t>
      </w:r>
      <w:r w:rsidR="009A7041">
        <w:t>one</w:t>
      </w:r>
      <w:r w:rsidR="009A7041" w:rsidRPr="00212BFA">
        <w:t xml:space="preserve"> </w:t>
      </w:r>
      <w:r w:rsidR="00A83094" w:rsidRPr="00212BFA">
        <w:t>S</w:t>
      </w:r>
      <w:r w:rsidR="00140FBD">
        <w:t>enior</w:t>
      </w:r>
      <w:r w:rsidR="00A83094" w:rsidRPr="00212BFA">
        <w:t xml:space="preserve"> Information Specialist</w:t>
      </w:r>
      <w:r w:rsidR="009A7041">
        <w:t>,</w:t>
      </w:r>
      <w:r w:rsidR="00407A72">
        <w:t xml:space="preserve"> </w:t>
      </w:r>
      <w:r w:rsidR="009A7041">
        <w:t>one Communications Specialist, and two Strategic Communications Managers (one of these positions is vacant)</w:t>
      </w:r>
      <w:r w:rsidR="00407A72">
        <w:t xml:space="preserve"> </w:t>
      </w:r>
      <w:r>
        <w:t>who are located in the Allentown corporate office</w:t>
      </w:r>
      <w:r w:rsidR="00A83094" w:rsidRPr="00212BFA">
        <w:t xml:space="preserve">.  </w:t>
      </w:r>
      <w:r w:rsidR="00A83094">
        <w:t>This group carries out the following activities:</w:t>
      </w:r>
    </w:p>
    <w:p w:rsidR="00A83094" w:rsidRDefault="00A83094" w:rsidP="00A83094">
      <w:pPr>
        <w:pStyle w:val="Bullet"/>
      </w:pPr>
      <w:r>
        <w:t>Production of several internal communications</w:t>
      </w:r>
      <w:r w:rsidR="00C701A2">
        <w:t xml:space="preserve"> </w:t>
      </w:r>
    </w:p>
    <w:p w:rsidR="00A83094" w:rsidRDefault="00A83094" w:rsidP="00A83094">
      <w:pPr>
        <w:pStyle w:val="Bullet"/>
      </w:pPr>
      <w:r>
        <w:t>Production of posters, bulletin board materials</w:t>
      </w:r>
      <w:r w:rsidR="00E10C08">
        <w:t>,</w:t>
      </w:r>
      <w:r>
        <w:t xml:space="preserve"> and internal videos</w:t>
      </w:r>
    </w:p>
    <w:p w:rsidR="00A83094" w:rsidRDefault="00A83094" w:rsidP="00A83094">
      <w:pPr>
        <w:pStyle w:val="Bullet"/>
      </w:pPr>
      <w:r>
        <w:t xml:space="preserve">Production of a broad array of external communications media, including </w:t>
      </w:r>
      <w:r w:rsidR="00140FBD">
        <w:t xml:space="preserve">the </w:t>
      </w:r>
      <w:r w:rsidR="007E1B3F">
        <w:t>PPL</w:t>
      </w:r>
      <w:r>
        <w:t xml:space="preserve"> </w:t>
      </w:r>
      <w:r w:rsidR="00140FBD">
        <w:t xml:space="preserve">EU </w:t>
      </w:r>
      <w:r>
        <w:t>website, news releases, bill stuffers, social media, television commercials, presentations, and media interviews</w:t>
      </w:r>
    </w:p>
    <w:p w:rsidR="00A83094" w:rsidRDefault="00A83094" w:rsidP="00A83094">
      <w:pPr>
        <w:pStyle w:val="Bullet"/>
      </w:pPr>
      <w:r>
        <w:t>Maintaining PPL</w:t>
      </w:r>
      <w:r w:rsidR="009A7041">
        <w:t xml:space="preserve"> EU</w:t>
      </w:r>
      <w:r>
        <w:t>’s Facebook, Twitter</w:t>
      </w:r>
      <w:r w:rsidR="00140FBD">
        <w:t>,</w:t>
      </w:r>
      <w:r>
        <w:t xml:space="preserve"> and Pinterest pages</w:t>
      </w:r>
    </w:p>
    <w:p w:rsidR="00A83094" w:rsidRDefault="00A83094" w:rsidP="00A83094">
      <w:pPr>
        <w:pStyle w:val="Bullet"/>
      </w:pPr>
      <w:r>
        <w:t>Communicating with the public and responding to media inquiries during service outages</w:t>
      </w:r>
    </w:p>
    <w:p w:rsidR="00A83094" w:rsidRDefault="00A83094" w:rsidP="00A83094">
      <w:pPr>
        <w:pStyle w:val="Bullet"/>
      </w:pPr>
      <w:r>
        <w:t>Development of pre-storm communications and providing continuous service status reports during storm restoration activities</w:t>
      </w:r>
    </w:p>
    <w:p w:rsidR="00A83094" w:rsidRDefault="00A83094" w:rsidP="008F0626">
      <w:pPr>
        <w:pStyle w:val="Bullet"/>
      </w:pPr>
      <w:r>
        <w:lastRenderedPageBreak/>
        <w:t>Maintaining online capabilities to keep the public fully apprised of storm restoration efforts and progress.</w:t>
      </w:r>
    </w:p>
    <w:p w:rsidR="00144C8A" w:rsidRDefault="00632F9C" w:rsidP="00212877">
      <w:pPr>
        <w:pStyle w:val="Normal-aftertable"/>
      </w:pPr>
      <w:r>
        <w:t>The second communications group resides organizationally within the PPL SC and is discussed later in this chapter.</w:t>
      </w:r>
    </w:p>
    <w:p w:rsidR="008F0626" w:rsidRDefault="00BD1B1F" w:rsidP="008F0626">
      <w:pPr>
        <w:pStyle w:val="Heading40"/>
      </w:pPr>
      <w:r w:rsidRPr="00F769DA">
        <w:t xml:space="preserve">PPL EU </w:t>
      </w:r>
      <w:r w:rsidR="00FC3F2B" w:rsidRPr="00F769DA">
        <w:t>Staffing</w:t>
      </w:r>
    </w:p>
    <w:p w:rsidR="00C53B30" w:rsidRDefault="00C53B30" w:rsidP="00C53B30">
      <w:r>
        <w:t>The following table shows the PPL EU employee staffing trend from 2010 through 2015.</w:t>
      </w:r>
    </w:p>
    <w:p w:rsidR="008F0626" w:rsidRPr="00B84010" w:rsidRDefault="00356110" w:rsidP="00356110">
      <w:pPr>
        <w:pStyle w:val="Caption"/>
      </w:pPr>
      <w:bookmarkStart w:id="18" w:name="_Toc464552928"/>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F03CD4">
        <w:br/>
      </w:r>
      <w:r w:rsidR="008F0626">
        <w:t>PPL EU Employee Headcount</w:t>
      </w:r>
      <w:bookmarkEnd w:id="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1992"/>
        <w:gridCol w:w="831"/>
        <w:gridCol w:w="831"/>
        <w:gridCol w:w="831"/>
        <w:gridCol w:w="831"/>
        <w:gridCol w:w="831"/>
        <w:gridCol w:w="831"/>
      </w:tblGrid>
      <w:tr w:rsidR="00F8783F" w:rsidRPr="00BA001C" w:rsidTr="00933480">
        <w:trPr>
          <w:jc w:val="center"/>
        </w:trPr>
        <w:tc>
          <w:tcPr>
            <w:tcW w:w="0" w:type="auto"/>
            <w:shd w:val="clear" w:color="auto" w:fill="A5CD7E"/>
          </w:tcPr>
          <w:p w:rsidR="00F8783F" w:rsidRDefault="00921010" w:rsidP="00933480">
            <w:pPr>
              <w:spacing w:before="120"/>
              <w:jc w:val="center"/>
              <w:rPr>
                <w:b/>
                <w:szCs w:val="24"/>
              </w:rPr>
            </w:pPr>
            <w:r>
              <w:rPr>
                <w:b/>
                <w:szCs w:val="24"/>
              </w:rPr>
              <w:t>Area</w:t>
            </w:r>
          </w:p>
        </w:tc>
        <w:tc>
          <w:tcPr>
            <w:tcW w:w="0" w:type="auto"/>
            <w:shd w:val="clear" w:color="auto" w:fill="A5CD7E"/>
            <w:vAlign w:val="center"/>
          </w:tcPr>
          <w:p w:rsidR="00F8783F" w:rsidRPr="00AC37C7" w:rsidRDefault="00F8783F" w:rsidP="00933480">
            <w:pPr>
              <w:spacing w:before="120"/>
              <w:jc w:val="center"/>
              <w:rPr>
                <w:b/>
                <w:szCs w:val="24"/>
              </w:rPr>
            </w:pPr>
            <w:r>
              <w:rPr>
                <w:b/>
                <w:szCs w:val="24"/>
              </w:rPr>
              <w:t>2010</w:t>
            </w:r>
          </w:p>
        </w:tc>
        <w:tc>
          <w:tcPr>
            <w:tcW w:w="0" w:type="auto"/>
            <w:shd w:val="clear" w:color="auto" w:fill="A5CD7E"/>
            <w:vAlign w:val="center"/>
          </w:tcPr>
          <w:p w:rsidR="00F8783F" w:rsidRPr="00AC37C7" w:rsidRDefault="00F8783F" w:rsidP="00933480">
            <w:pPr>
              <w:spacing w:before="120"/>
              <w:jc w:val="center"/>
              <w:rPr>
                <w:b/>
                <w:szCs w:val="24"/>
              </w:rPr>
            </w:pPr>
            <w:r>
              <w:rPr>
                <w:b/>
                <w:szCs w:val="24"/>
              </w:rPr>
              <w:t>2011</w:t>
            </w:r>
          </w:p>
        </w:tc>
        <w:tc>
          <w:tcPr>
            <w:tcW w:w="0" w:type="auto"/>
            <w:shd w:val="clear" w:color="auto" w:fill="A5CD7E"/>
            <w:vAlign w:val="center"/>
          </w:tcPr>
          <w:p w:rsidR="00F8783F" w:rsidRPr="00AC37C7" w:rsidRDefault="00F8783F" w:rsidP="00933480">
            <w:pPr>
              <w:spacing w:before="120"/>
              <w:jc w:val="center"/>
              <w:rPr>
                <w:b/>
                <w:szCs w:val="24"/>
              </w:rPr>
            </w:pPr>
            <w:r>
              <w:rPr>
                <w:b/>
                <w:szCs w:val="24"/>
              </w:rPr>
              <w:t>2012</w:t>
            </w:r>
          </w:p>
        </w:tc>
        <w:tc>
          <w:tcPr>
            <w:tcW w:w="0" w:type="auto"/>
            <w:shd w:val="clear" w:color="auto" w:fill="A5CD7E"/>
            <w:vAlign w:val="center"/>
          </w:tcPr>
          <w:p w:rsidR="00F8783F" w:rsidRPr="00AC37C7" w:rsidRDefault="00F8783F" w:rsidP="00933480">
            <w:pPr>
              <w:spacing w:before="120"/>
              <w:jc w:val="center"/>
              <w:rPr>
                <w:b/>
                <w:szCs w:val="24"/>
              </w:rPr>
            </w:pPr>
            <w:r>
              <w:rPr>
                <w:b/>
                <w:szCs w:val="24"/>
              </w:rPr>
              <w:t>2013</w:t>
            </w:r>
          </w:p>
        </w:tc>
        <w:tc>
          <w:tcPr>
            <w:tcW w:w="0" w:type="auto"/>
            <w:shd w:val="clear" w:color="auto" w:fill="A5CD7E"/>
            <w:vAlign w:val="center"/>
          </w:tcPr>
          <w:p w:rsidR="00F8783F" w:rsidRPr="00AC37C7" w:rsidRDefault="00F8783F" w:rsidP="00933480">
            <w:pPr>
              <w:spacing w:before="120"/>
              <w:jc w:val="center"/>
              <w:rPr>
                <w:b/>
                <w:szCs w:val="24"/>
              </w:rPr>
            </w:pPr>
            <w:r>
              <w:rPr>
                <w:b/>
                <w:szCs w:val="24"/>
              </w:rPr>
              <w:t>2014</w:t>
            </w:r>
          </w:p>
        </w:tc>
        <w:tc>
          <w:tcPr>
            <w:tcW w:w="0" w:type="auto"/>
            <w:shd w:val="clear" w:color="auto" w:fill="A5CD7E"/>
          </w:tcPr>
          <w:p w:rsidR="00F8783F" w:rsidRDefault="00F8783F" w:rsidP="00933480">
            <w:pPr>
              <w:spacing w:before="120"/>
              <w:jc w:val="center"/>
              <w:rPr>
                <w:b/>
                <w:szCs w:val="24"/>
              </w:rPr>
            </w:pPr>
            <w:r>
              <w:rPr>
                <w:b/>
                <w:szCs w:val="24"/>
              </w:rPr>
              <w:t>2015</w:t>
            </w:r>
          </w:p>
        </w:tc>
      </w:tr>
      <w:tr w:rsidR="00F8783F" w:rsidRPr="002E3C5B" w:rsidTr="00933480">
        <w:trPr>
          <w:jc w:val="center"/>
        </w:trPr>
        <w:tc>
          <w:tcPr>
            <w:tcW w:w="0" w:type="auto"/>
          </w:tcPr>
          <w:p w:rsidR="00F8783F" w:rsidRDefault="00055806" w:rsidP="008F0626">
            <w:pPr>
              <w:spacing w:after="0"/>
              <w:jc w:val="center"/>
              <w:rPr>
                <w:szCs w:val="24"/>
              </w:rPr>
            </w:pPr>
            <w:r>
              <w:rPr>
                <w:szCs w:val="24"/>
              </w:rPr>
              <w:t>Total</w:t>
            </w:r>
            <w:r w:rsidR="002E3C5B">
              <w:rPr>
                <w:szCs w:val="24"/>
              </w:rPr>
              <w:t xml:space="preserve"> Headcount</w:t>
            </w:r>
          </w:p>
        </w:tc>
        <w:tc>
          <w:tcPr>
            <w:tcW w:w="0" w:type="auto"/>
            <w:vAlign w:val="center"/>
          </w:tcPr>
          <w:p w:rsidR="00F8783F" w:rsidRDefault="00F8783F" w:rsidP="008F0626">
            <w:pPr>
              <w:spacing w:after="0"/>
              <w:jc w:val="center"/>
              <w:rPr>
                <w:szCs w:val="24"/>
              </w:rPr>
            </w:pPr>
            <w:r>
              <w:rPr>
                <w:szCs w:val="24"/>
              </w:rPr>
              <w:t>2,293</w:t>
            </w:r>
          </w:p>
        </w:tc>
        <w:tc>
          <w:tcPr>
            <w:tcW w:w="0" w:type="auto"/>
            <w:vAlign w:val="center"/>
          </w:tcPr>
          <w:p w:rsidR="00F8783F" w:rsidRDefault="00F8783F" w:rsidP="008F0626">
            <w:pPr>
              <w:spacing w:after="0"/>
              <w:jc w:val="center"/>
              <w:rPr>
                <w:szCs w:val="24"/>
              </w:rPr>
            </w:pPr>
            <w:r>
              <w:rPr>
                <w:szCs w:val="24"/>
              </w:rPr>
              <w:t>2,304</w:t>
            </w:r>
          </w:p>
        </w:tc>
        <w:tc>
          <w:tcPr>
            <w:tcW w:w="0" w:type="auto"/>
            <w:vAlign w:val="center"/>
          </w:tcPr>
          <w:p w:rsidR="00F8783F" w:rsidRDefault="00F8783F" w:rsidP="008F0626">
            <w:pPr>
              <w:spacing w:after="0"/>
              <w:jc w:val="center"/>
              <w:rPr>
                <w:szCs w:val="24"/>
              </w:rPr>
            </w:pPr>
            <w:r>
              <w:rPr>
                <w:szCs w:val="24"/>
              </w:rPr>
              <w:t>2,311</w:t>
            </w:r>
          </w:p>
        </w:tc>
        <w:tc>
          <w:tcPr>
            <w:tcW w:w="0" w:type="auto"/>
            <w:vAlign w:val="center"/>
          </w:tcPr>
          <w:p w:rsidR="00F8783F" w:rsidRDefault="00F8783F" w:rsidP="008F0626">
            <w:pPr>
              <w:spacing w:after="0"/>
              <w:jc w:val="center"/>
              <w:rPr>
                <w:szCs w:val="24"/>
              </w:rPr>
            </w:pPr>
            <w:r>
              <w:rPr>
                <w:szCs w:val="24"/>
              </w:rPr>
              <w:t>2,239</w:t>
            </w:r>
          </w:p>
        </w:tc>
        <w:tc>
          <w:tcPr>
            <w:tcW w:w="0" w:type="auto"/>
            <w:vAlign w:val="center"/>
          </w:tcPr>
          <w:p w:rsidR="00F8783F" w:rsidRDefault="00F8783F" w:rsidP="008F0626">
            <w:pPr>
              <w:spacing w:after="0"/>
              <w:jc w:val="center"/>
              <w:rPr>
                <w:szCs w:val="24"/>
              </w:rPr>
            </w:pPr>
            <w:r>
              <w:rPr>
                <w:szCs w:val="24"/>
              </w:rPr>
              <w:t>2,122</w:t>
            </w:r>
          </w:p>
        </w:tc>
        <w:tc>
          <w:tcPr>
            <w:tcW w:w="0" w:type="auto"/>
            <w:vAlign w:val="center"/>
          </w:tcPr>
          <w:p w:rsidR="00F8783F" w:rsidRDefault="004927D3" w:rsidP="002E3C5B">
            <w:pPr>
              <w:spacing w:after="0"/>
              <w:jc w:val="center"/>
              <w:rPr>
                <w:szCs w:val="24"/>
              </w:rPr>
            </w:pPr>
            <w:r>
              <w:rPr>
                <w:szCs w:val="24"/>
              </w:rPr>
              <w:t>1</w:t>
            </w:r>
            <w:r w:rsidR="002E3C5B">
              <w:rPr>
                <w:szCs w:val="24"/>
              </w:rPr>
              <w:t>,</w:t>
            </w:r>
            <w:r>
              <w:rPr>
                <w:szCs w:val="24"/>
              </w:rPr>
              <w:t>935</w:t>
            </w:r>
          </w:p>
        </w:tc>
      </w:tr>
      <w:tr w:rsidR="002E3C5B" w:rsidRPr="002E3C5B" w:rsidTr="00933480">
        <w:trPr>
          <w:jc w:val="center"/>
        </w:trPr>
        <w:tc>
          <w:tcPr>
            <w:tcW w:w="0" w:type="auto"/>
            <w:gridSpan w:val="7"/>
            <w:vAlign w:val="center"/>
          </w:tcPr>
          <w:p w:rsidR="002E3C5B" w:rsidRPr="00377857" w:rsidRDefault="002E3C5B" w:rsidP="00AC0FFA">
            <w:pPr>
              <w:pStyle w:val="Normal-aftertable"/>
              <w:spacing w:before="0" w:after="0"/>
              <w:jc w:val="left"/>
              <w:rPr>
                <w:b/>
                <w:szCs w:val="24"/>
              </w:rPr>
            </w:pPr>
            <w:r>
              <w:t>Sources:  DN 0</w:t>
            </w:r>
            <w:r w:rsidR="00982CCC">
              <w:t>1-044 and PPL EU</w:t>
            </w:r>
            <w:r>
              <w:t xml:space="preserve"> Annual Reports 2010– 2015</w:t>
            </w:r>
          </w:p>
        </w:tc>
      </w:tr>
    </w:tbl>
    <w:p w:rsidR="00C53B30" w:rsidRDefault="00C53B30" w:rsidP="00C53B30">
      <w:pPr>
        <w:pStyle w:val="Normal-aftertable"/>
      </w:pPr>
      <w:r>
        <w:t xml:space="preserve">As of year-end 2015, PPL EU had 1,935 employees.  The employee headcount over the five year period from 2010 through 2015 has declined by 358 positions, or 15.6%.  This translates to a reduction in headcount of approximately 3.3% per year over the period.  </w:t>
      </w:r>
    </w:p>
    <w:p w:rsidR="008F0626" w:rsidRDefault="008F0626" w:rsidP="008F0626">
      <w:pPr>
        <w:pStyle w:val="Heading40"/>
      </w:pPr>
      <w:r>
        <w:t>Corporate Policies</w:t>
      </w:r>
    </w:p>
    <w:p w:rsidR="008F0626" w:rsidRDefault="00632F9C" w:rsidP="008F0626">
      <w:r>
        <w:t xml:space="preserve">PPL SC and </w:t>
      </w:r>
      <w:r w:rsidR="008F0626">
        <w:t>PPL EU maintain</w:t>
      </w:r>
      <w:r w:rsidR="00312EAE">
        <w:t xml:space="preserve"> the following formal policy titles</w:t>
      </w:r>
      <w:r w:rsidR="008F0626">
        <w:t xml:space="preserve"> in the categories specified:</w:t>
      </w:r>
    </w:p>
    <w:p w:rsidR="008F0626" w:rsidRPr="00F31D07" w:rsidRDefault="008F0626" w:rsidP="00F31D07">
      <w:pPr>
        <w:pStyle w:val="Bullet"/>
      </w:pPr>
      <w:r w:rsidRPr="00F31D07">
        <w:t xml:space="preserve">Conduct </w:t>
      </w:r>
      <w:r w:rsidR="007421A0" w:rsidRPr="00F31D07">
        <w:t xml:space="preserve">and </w:t>
      </w:r>
      <w:r w:rsidRPr="00F31D07">
        <w:t>Business Ethics</w:t>
      </w:r>
    </w:p>
    <w:p w:rsidR="008F0626" w:rsidRDefault="008F0626" w:rsidP="00F31D07">
      <w:pPr>
        <w:pStyle w:val="Bullet-indent1"/>
      </w:pPr>
      <w:r>
        <w:t>Standards of Integrity</w:t>
      </w:r>
    </w:p>
    <w:p w:rsidR="008F0626" w:rsidRDefault="008F0626" w:rsidP="00F31D07">
      <w:pPr>
        <w:pStyle w:val="Bullet-indent1"/>
      </w:pPr>
      <w:r>
        <w:t>Regulatory Codes of Conduct</w:t>
      </w:r>
    </w:p>
    <w:p w:rsidR="008F0626" w:rsidRDefault="008F0626" w:rsidP="00F31D07">
      <w:pPr>
        <w:pStyle w:val="Bullet-indent1"/>
      </w:pPr>
      <w:r>
        <w:t>Employee Rights to Report Workplace Concerns</w:t>
      </w:r>
    </w:p>
    <w:p w:rsidR="008F0626" w:rsidRDefault="008F0626" w:rsidP="00F31D07">
      <w:pPr>
        <w:pStyle w:val="Bullet-indent1"/>
      </w:pPr>
      <w:r>
        <w:t>Use of an Independent Auditor That Provides Audit Services, Audit Partner Rotations, and Periodic Solicitation of Proposals</w:t>
      </w:r>
    </w:p>
    <w:p w:rsidR="008F0626" w:rsidRDefault="008F0626" w:rsidP="00F31D07">
      <w:pPr>
        <w:pStyle w:val="Bullet-indent1"/>
      </w:pPr>
      <w:r>
        <w:t>Ongoing Disclosure of Material Information</w:t>
      </w:r>
    </w:p>
    <w:p w:rsidR="008F0626" w:rsidRDefault="008F0626" w:rsidP="00F31D07">
      <w:pPr>
        <w:pStyle w:val="Bullet-indent1"/>
      </w:pPr>
      <w:r>
        <w:t>Handling Complaints, Concerns</w:t>
      </w:r>
      <w:r w:rsidR="00140FBD">
        <w:t>,</w:t>
      </w:r>
      <w:r>
        <w:t xml:space="preserve"> and Inquiries to the Corporate Audit and Business Ethics Department</w:t>
      </w:r>
    </w:p>
    <w:p w:rsidR="008F0626" w:rsidRDefault="008F0626" w:rsidP="00F31D07">
      <w:pPr>
        <w:pStyle w:val="Bullet-indent1"/>
      </w:pPr>
      <w:r>
        <w:t>Harassment</w:t>
      </w:r>
    </w:p>
    <w:p w:rsidR="008F0626" w:rsidRDefault="008F0626" w:rsidP="00F31D07">
      <w:pPr>
        <w:pStyle w:val="Bullet-indent1"/>
      </w:pPr>
      <w:r>
        <w:t>Sexual Harassment</w:t>
      </w:r>
    </w:p>
    <w:p w:rsidR="008F0626" w:rsidRDefault="008F0626" w:rsidP="00F31D07">
      <w:pPr>
        <w:pStyle w:val="Bullet-indent1"/>
      </w:pPr>
      <w:r>
        <w:t>Management's Responsibility for Internal Controls</w:t>
      </w:r>
    </w:p>
    <w:p w:rsidR="008F0626" w:rsidRDefault="008F0626" w:rsidP="00F31D07">
      <w:pPr>
        <w:pStyle w:val="Bullet-indent1"/>
      </w:pPr>
      <w:r>
        <w:t xml:space="preserve">Managing Changes That Impact </w:t>
      </w:r>
      <w:r w:rsidR="00F33A0C">
        <w:t>Sarbanes-Oxley (</w:t>
      </w:r>
      <w:r>
        <w:t>SOX</w:t>
      </w:r>
      <w:r w:rsidR="00F33A0C">
        <w:t>)</w:t>
      </w:r>
      <w:r>
        <w:t xml:space="preserve"> Compliance</w:t>
      </w:r>
    </w:p>
    <w:p w:rsidR="008F0626" w:rsidRDefault="008F0626" w:rsidP="00F31D07">
      <w:pPr>
        <w:pStyle w:val="Bullet-indent1"/>
      </w:pPr>
      <w:r>
        <w:t>PPL Dodd-Frank Title VII Compliance Program</w:t>
      </w:r>
    </w:p>
    <w:p w:rsidR="00314905" w:rsidRDefault="00314905" w:rsidP="00F31D07">
      <w:pPr>
        <w:pStyle w:val="Bullet-indent1"/>
      </w:pPr>
      <w:r>
        <w:t>Seven additional</w:t>
      </w:r>
      <w:r w:rsidR="004C35E6">
        <w:t xml:space="preserve"> policy</w:t>
      </w:r>
      <w:r>
        <w:t xml:space="preserve"> titles</w:t>
      </w:r>
    </w:p>
    <w:p w:rsidR="008F0626" w:rsidRPr="00F31D07" w:rsidRDefault="008F0626" w:rsidP="00F31D07">
      <w:pPr>
        <w:pStyle w:val="Bullet"/>
      </w:pPr>
      <w:r w:rsidRPr="00F31D07">
        <w:t xml:space="preserve">Health </w:t>
      </w:r>
      <w:r w:rsidR="007421A0" w:rsidRPr="00F31D07">
        <w:t xml:space="preserve">and </w:t>
      </w:r>
      <w:r w:rsidRPr="00F31D07">
        <w:t>Safety</w:t>
      </w:r>
    </w:p>
    <w:p w:rsidR="008F0626" w:rsidRDefault="008F0626" w:rsidP="00F31D07">
      <w:pPr>
        <w:pStyle w:val="Bullet-indent1"/>
      </w:pPr>
      <w:r>
        <w:t>Alcohol and Drugs</w:t>
      </w:r>
    </w:p>
    <w:p w:rsidR="008F0626" w:rsidRDefault="008F0626" w:rsidP="00F31D07">
      <w:pPr>
        <w:pStyle w:val="Bullet-indent1"/>
      </w:pPr>
      <w:r>
        <w:t>Smoke-Free Work Environment</w:t>
      </w:r>
    </w:p>
    <w:p w:rsidR="008F0626" w:rsidRPr="00F31D07" w:rsidRDefault="008F0626" w:rsidP="00F31D07">
      <w:pPr>
        <w:pStyle w:val="Bullet"/>
      </w:pPr>
      <w:r w:rsidRPr="00F31D07">
        <w:t>Physical Security</w:t>
      </w:r>
    </w:p>
    <w:p w:rsidR="008F0626" w:rsidRDefault="008F0626" w:rsidP="00F31D07">
      <w:pPr>
        <w:pStyle w:val="Bullet-indent1"/>
      </w:pPr>
      <w:r>
        <w:t>Preparedness/Response and Business Continuity Planning for Emergencies</w:t>
      </w:r>
    </w:p>
    <w:p w:rsidR="008F0626" w:rsidRDefault="008F0626" w:rsidP="00F31D07">
      <w:pPr>
        <w:pStyle w:val="Bullet-indent1"/>
      </w:pPr>
      <w:r>
        <w:lastRenderedPageBreak/>
        <w:t>Emergency Plan</w:t>
      </w:r>
    </w:p>
    <w:p w:rsidR="008F0626" w:rsidRDefault="008F0626" w:rsidP="00F31D07">
      <w:pPr>
        <w:pStyle w:val="Bullet-indent1"/>
      </w:pPr>
      <w:r>
        <w:t>Investigations</w:t>
      </w:r>
    </w:p>
    <w:p w:rsidR="008F0626" w:rsidRDefault="008F0626" w:rsidP="00F31D07">
      <w:pPr>
        <w:pStyle w:val="Bullet-indent1"/>
      </w:pPr>
      <w:r>
        <w:t>Security Plan Policy</w:t>
      </w:r>
    </w:p>
    <w:p w:rsidR="008F0626" w:rsidRDefault="008F0626" w:rsidP="00F31D07">
      <w:pPr>
        <w:pStyle w:val="Bullet-indent1"/>
      </w:pPr>
      <w:r>
        <w:t>Workplace Violence</w:t>
      </w:r>
    </w:p>
    <w:p w:rsidR="008F0626" w:rsidRDefault="008F0626" w:rsidP="00F31D07">
      <w:pPr>
        <w:pStyle w:val="Bullet-indent1"/>
      </w:pPr>
      <w:r>
        <w:t>Weapons Policy</w:t>
      </w:r>
    </w:p>
    <w:p w:rsidR="008F0626" w:rsidRPr="00F31D07" w:rsidRDefault="008F0626" w:rsidP="00F31D07">
      <w:pPr>
        <w:pStyle w:val="Bullet"/>
      </w:pPr>
      <w:r w:rsidRPr="00F31D07">
        <w:t>Information Security</w:t>
      </w:r>
    </w:p>
    <w:p w:rsidR="008F0626" w:rsidRDefault="008F0626" w:rsidP="00F31D07">
      <w:pPr>
        <w:pStyle w:val="Bullet-indent1"/>
      </w:pPr>
      <w:r>
        <w:t>Requests for HR or HRPR Data or Information, including Information on Active and Former Employees</w:t>
      </w:r>
    </w:p>
    <w:p w:rsidR="008F0626" w:rsidRDefault="008F0626" w:rsidP="00F31D07">
      <w:pPr>
        <w:pStyle w:val="Bullet-indent1"/>
      </w:pPr>
      <w:r>
        <w:t>Mobile Computing Devices</w:t>
      </w:r>
    </w:p>
    <w:p w:rsidR="008F0626" w:rsidRDefault="008F0626" w:rsidP="00F31D07">
      <w:pPr>
        <w:pStyle w:val="Bullet-indent1"/>
      </w:pPr>
      <w:r>
        <w:t>Information Security</w:t>
      </w:r>
    </w:p>
    <w:p w:rsidR="008F0626" w:rsidRDefault="008F0626" w:rsidP="00F31D07">
      <w:pPr>
        <w:pStyle w:val="Bullet-indent1"/>
      </w:pPr>
      <w:r>
        <w:t>Information Classification and Handling</w:t>
      </w:r>
    </w:p>
    <w:p w:rsidR="008F0626" w:rsidRDefault="008F0626" w:rsidP="00F31D07">
      <w:pPr>
        <w:pStyle w:val="Bullet-indent1"/>
      </w:pPr>
      <w:r>
        <w:t>Electronic Information Security</w:t>
      </w:r>
    </w:p>
    <w:p w:rsidR="00314905" w:rsidRDefault="00314905" w:rsidP="00F31D07">
      <w:pPr>
        <w:pStyle w:val="Bullet-indent1"/>
      </w:pPr>
      <w:r>
        <w:t xml:space="preserve">Six additional </w:t>
      </w:r>
      <w:r w:rsidR="004C35E6">
        <w:t>policy titles</w:t>
      </w:r>
    </w:p>
    <w:p w:rsidR="008F0626" w:rsidRPr="00F31D07" w:rsidRDefault="008F0626" w:rsidP="00F31D07">
      <w:pPr>
        <w:pStyle w:val="Bullet"/>
      </w:pPr>
      <w:r w:rsidRPr="00F31D07">
        <w:t>Employment</w:t>
      </w:r>
    </w:p>
    <w:p w:rsidR="008F0626" w:rsidRDefault="008F0626" w:rsidP="00F31D07">
      <w:pPr>
        <w:pStyle w:val="Bullet-indent1"/>
      </w:pPr>
      <w:r>
        <w:t>Equal Employment Opportunity</w:t>
      </w:r>
    </w:p>
    <w:p w:rsidR="008F0626" w:rsidRDefault="008F0626" w:rsidP="00F31D07">
      <w:pPr>
        <w:pStyle w:val="Bullet-indent1"/>
      </w:pPr>
      <w:r>
        <w:t>Employment Status</w:t>
      </w:r>
    </w:p>
    <w:p w:rsidR="008F0626" w:rsidRDefault="008F0626" w:rsidP="00F31D07">
      <w:pPr>
        <w:pStyle w:val="Bullet-indent1"/>
      </w:pPr>
      <w:r>
        <w:t>Employment and Placement of Relatives and Domestic Partners of Employees</w:t>
      </w:r>
    </w:p>
    <w:p w:rsidR="008F0626" w:rsidRDefault="008F0626" w:rsidP="00F31D07">
      <w:pPr>
        <w:pStyle w:val="Bullet-indent1"/>
      </w:pPr>
      <w:r>
        <w:t>Exit Interviews</w:t>
      </w:r>
    </w:p>
    <w:p w:rsidR="008F0626" w:rsidRDefault="008F0626" w:rsidP="00F31D07">
      <w:pPr>
        <w:pStyle w:val="Bullet-indent1"/>
      </w:pPr>
      <w:r>
        <w:t>Classification of Contingent Workers as Employees or Independent Contractors</w:t>
      </w:r>
    </w:p>
    <w:p w:rsidR="008F0626" w:rsidRDefault="008F0626" w:rsidP="00F31D07">
      <w:pPr>
        <w:pStyle w:val="Bullet-indent1"/>
      </w:pPr>
      <w:r>
        <w:t>Current and Former Employees as an Independent Contractor</w:t>
      </w:r>
    </w:p>
    <w:p w:rsidR="008F0626" w:rsidRDefault="008F0626" w:rsidP="00F31D07">
      <w:pPr>
        <w:pStyle w:val="Bullet-indent1"/>
      </w:pPr>
      <w:r>
        <w:t>Requirements for Implementing Personnel Changes</w:t>
      </w:r>
    </w:p>
    <w:p w:rsidR="008F0626" w:rsidRPr="00F31D07" w:rsidRDefault="008F0626" w:rsidP="00F31D07">
      <w:pPr>
        <w:pStyle w:val="Bullet"/>
      </w:pPr>
      <w:r w:rsidRPr="00F31D07">
        <w:t xml:space="preserve">PPL Supply Chain Policies </w:t>
      </w:r>
    </w:p>
    <w:p w:rsidR="008F0626" w:rsidRDefault="008F0626" w:rsidP="00F31D07">
      <w:pPr>
        <w:pStyle w:val="Bullet-indent1"/>
      </w:pPr>
      <w:r>
        <w:t>Acquisition of Materials and Services</w:t>
      </w:r>
    </w:p>
    <w:p w:rsidR="008F0626" w:rsidRDefault="008F0626" w:rsidP="00F31D07">
      <w:pPr>
        <w:pStyle w:val="Bullet-indent1"/>
      </w:pPr>
      <w:r>
        <w:t>Fuel Card</w:t>
      </w:r>
    </w:p>
    <w:p w:rsidR="008F0626" w:rsidRDefault="008F0626" w:rsidP="00F31D07">
      <w:pPr>
        <w:pStyle w:val="Bullet-indent1"/>
      </w:pPr>
      <w:r>
        <w:t>Supplier Qualification</w:t>
      </w:r>
    </w:p>
    <w:p w:rsidR="008F0626" w:rsidRDefault="008F0626" w:rsidP="00F31D07">
      <w:pPr>
        <w:pStyle w:val="Bullet-indent1"/>
      </w:pPr>
      <w:r>
        <w:t>Receipt of Material</w:t>
      </w:r>
    </w:p>
    <w:p w:rsidR="008F0626" w:rsidRDefault="008F0626" w:rsidP="00F31D07">
      <w:pPr>
        <w:pStyle w:val="Bullet-indent1"/>
      </w:pPr>
      <w:r>
        <w:t>Corporate Card</w:t>
      </w:r>
    </w:p>
    <w:p w:rsidR="008F0626" w:rsidRDefault="008F0626" w:rsidP="00F31D07">
      <w:pPr>
        <w:pStyle w:val="Bullet-indent1"/>
      </w:pPr>
      <w:r>
        <w:t>Contract Administration</w:t>
      </w:r>
    </w:p>
    <w:p w:rsidR="008F0626" w:rsidRDefault="008F0626" w:rsidP="00F31D07">
      <w:pPr>
        <w:pStyle w:val="Bullet-indent1"/>
      </w:pPr>
      <w:r>
        <w:t>Major Contract Review</w:t>
      </w:r>
    </w:p>
    <w:p w:rsidR="008F0626" w:rsidRDefault="008F0626" w:rsidP="00F31D07">
      <w:pPr>
        <w:pStyle w:val="Bullet-indent1"/>
      </w:pPr>
      <w:r>
        <w:t>e-Commerce</w:t>
      </w:r>
    </w:p>
    <w:p w:rsidR="008F0626" w:rsidRDefault="008F0626" w:rsidP="00F31D07">
      <w:pPr>
        <w:pStyle w:val="Bullet-indent1"/>
      </w:pPr>
      <w:r>
        <w:t>Supplier Relationship Ethics</w:t>
      </w:r>
    </w:p>
    <w:p w:rsidR="008F0626" w:rsidRDefault="008F0626" w:rsidP="00F31D07">
      <w:pPr>
        <w:pStyle w:val="Bullet-indent1"/>
      </w:pPr>
      <w:r>
        <w:t>Inventory Management</w:t>
      </w:r>
    </w:p>
    <w:p w:rsidR="008F0626" w:rsidRDefault="008F0626" w:rsidP="00F31D07">
      <w:pPr>
        <w:pStyle w:val="Bullet-indent1"/>
      </w:pPr>
      <w:r>
        <w:t>Supplier Diversity</w:t>
      </w:r>
    </w:p>
    <w:p w:rsidR="00314905" w:rsidRDefault="00314905" w:rsidP="00F31D07">
      <w:pPr>
        <w:pStyle w:val="Bullet-indent1"/>
      </w:pPr>
      <w:r>
        <w:t xml:space="preserve">Eight additional </w:t>
      </w:r>
      <w:r w:rsidR="004C35E6">
        <w:t>policy titles</w:t>
      </w:r>
    </w:p>
    <w:p w:rsidR="008F0626" w:rsidRPr="00F31D07" w:rsidRDefault="008F0626" w:rsidP="00F31D07">
      <w:pPr>
        <w:pStyle w:val="Bullet"/>
      </w:pPr>
      <w:r w:rsidRPr="00F31D07">
        <w:t>Benefits and Allowances</w:t>
      </w:r>
    </w:p>
    <w:p w:rsidR="00632F9C" w:rsidRDefault="00632F9C" w:rsidP="00F31D07">
      <w:pPr>
        <w:pStyle w:val="Bullet-indent1"/>
      </w:pPr>
      <w:r>
        <w:t xml:space="preserve">Vacation Policy </w:t>
      </w:r>
      <w:r w:rsidR="00DC68AC">
        <w:t>–</w:t>
      </w:r>
      <w:r>
        <w:t xml:space="preserve"> Salaried Employees</w:t>
      </w:r>
    </w:p>
    <w:p w:rsidR="008F0626" w:rsidRDefault="00632F9C" w:rsidP="00F31D07">
      <w:pPr>
        <w:pStyle w:val="Bullet-indent1"/>
      </w:pPr>
      <w:r>
        <w:t>Indemnification for Employees</w:t>
      </w:r>
    </w:p>
    <w:p w:rsidR="008F0626" w:rsidRPr="00F31D07" w:rsidRDefault="008F0626" w:rsidP="00F31D07">
      <w:pPr>
        <w:pStyle w:val="Bullet"/>
      </w:pPr>
      <w:r w:rsidRPr="00F31D07">
        <w:lastRenderedPageBreak/>
        <w:t xml:space="preserve">Environmental Policies </w:t>
      </w:r>
      <w:r w:rsidR="007421A0" w:rsidRPr="00F31D07">
        <w:t xml:space="preserve">and </w:t>
      </w:r>
      <w:r w:rsidRPr="00F31D07">
        <w:t>Procedures</w:t>
      </w:r>
    </w:p>
    <w:p w:rsidR="008F0626" w:rsidRPr="00F31D07" w:rsidRDefault="008F0626" w:rsidP="00F31D07">
      <w:pPr>
        <w:pStyle w:val="Bullet"/>
      </w:pPr>
      <w:r w:rsidRPr="00F31D07">
        <w:t>Miscellaneous</w:t>
      </w:r>
    </w:p>
    <w:p w:rsidR="00632F9C" w:rsidRDefault="00632F9C" w:rsidP="00F31D07">
      <w:pPr>
        <w:pStyle w:val="Bullet-indent1"/>
      </w:pPr>
      <w:r>
        <w:t>Public and Charitable Contributions</w:t>
      </w:r>
    </w:p>
    <w:p w:rsidR="00632F9C" w:rsidRDefault="00632F9C" w:rsidP="00F31D07">
      <w:pPr>
        <w:pStyle w:val="Bullet-indent1"/>
      </w:pPr>
      <w:r>
        <w:t>Employees Who Seek Public Office</w:t>
      </w:r>
    </w:p>
    <w:p w:rsidR="00632F9C" w:rsidRDefault="00632F9C" w:rsidP="00F31D07">
      <w:pPr>
        <w:pStyle w:val="Bullet-indent1"/>
      </w:pPr>
      <w:r>
        <w:t>Telecommuting</w:t>
      </w:r>
    </w:p>
    <w:p w:rsidR="008F0626" w:rsidRDefault="00632F9C" w:rsidP="00F31D07">
      <w:pPr>
        <w:pStyle w:val="Bullet-indent1"/>
      </w:pPr>
      <w:r>
        <w:t>Dress Code</w:t>
      </w:r>
    </w:p>
    <w:p w:rsidR="008F0626" w:rsidRPr="00F31D07" w:rsidRDefault="00F31D07" w:rsidP="00F31D07">
      <w:pPr>
        <w:pStyle w:val="Bullet"/>
      </w:pPr>
      <w:r>
        <w:t xml:space="preserve">Federal Energy Regulatory Commission (FERC) and </w:t>
      </w:r>
      <w:r w:rsidR="00312EAE" w:rsidRPr="00F31D07">
        <w:t>North American Electric Reliability Corporation (</w:t>
      </w:r>
      <w:r w:rsidR="008F0626" w:rsidRPr="00F31D07">
        <w:t>NERC</w:t>
      </w:r>
      <w:r w:rsidR="00312EAE" w:rsidRPr="00F31D07">
        <w:t>)</w:t>
      </w:r>
      <w:r w:rsidR="008F0626" w:rsidRPr="00F31D07">
        <w:t xml:space="preserve"> Compliance</w:t>
      </w:r>
    </w:p>
    <w:p w:rsidR="008F0626" w:rsidRDefault="008F0626" w:rsidP="00F31D07">
      <w:pPr>
        <w:pStyle w:val="Bullet-indent1"/>
      </w:pPr>
      <w:r>
        <w:t>Corporate NERC Compliance Program</w:t>
      </w:r>
    </w:p>
    <w:p w:rsidR="008F0626" w:rsidRDefault="008F0626" w:rsidP="00F31D07">
      <w:pPr>
        <w:pStyle w:val="Bullet-indent1"/>
      </w:pPr>
      <w:r>
        <w:t>FERC Compliance Program</w:t>
      </w:r>
    </w:p>
    <w:p w:rsidR="008F0626" w:rsidRDefault="00F31D07" w:rsidP="00F31D07">
      <w:pPr>
        <w:pStyle w:val="Bullet-indent1"/>
      </w:pPr>
      <w:r>
        <w:t xml:space="preserve">PPL </w:t>
      </w:r>
      <w:r w:rsidR="008F0626">
        <w:t>EU NERC-</w:t>
      </w:r>
      <w:r w:rsidR="00312EAE">
        <w:t>Critical Infrastructure Protection (</w:t>
      </w:r>
      <w:r w:rsidR="008F0626">
        <w:t>CIP</w:t>
      </w:r>
      <w:r w:rsidR="00312EAE">
        <w:t>)</w:t>
      </w:r>
    </w:p>
    <w:p w:rsidR="008F0626" w:rsidRDefault="008F0626" w:rsidP="00F31D07">
      <w:pPr>
        <w:pStyle w:val="Bullet-indent1"/>
      </w:pPr>
      <w:r>
        <w:t>PPL E</w:t>
      </w:r>
      <w:r w:rsidR="009C2618">
        <w:t>U</w:t>
      </w:r>
      <w:r>
        <w:t xml:space="preserve"> Cybersecurity Policy</w:t>
      </w:r>
    </w:p>
    <w:p w:rsidR="008F0626" w:rsidRDefault="008F0626" w:rsidP="00212877">
      <w:pPr>
        <w:pStyle w:val="Normal-aftertable"/>
      </w:pPr>
      <w:r>
        <w:t xml:space="preserve">Specific supporting procedures are maintained to </w:t>
      </w:r>
      <w:r w:rsidR="006D47DE">
        <w:t xml:space="preserve">support </w:t>
      </w:r>
      <w:r>
        <w:t>implement</w:t>
      </w:r>
      <w:r w:rsidR="006D47DE">
        <w:t>ation of some of</w:t>
      </w:r>
      <w:r>
        <w:t xml:space="preserve"> the policies.</w:t>
      </w:r>
    </w:p>
    <w:p w:rsidR="008F0626" w:rsidRDefault="00E11F21" w:rsidP="008F0626">
      <w:pPr>
        <w:pStyle w:val="Heading30"/>
      </w:pPr>
      <w:r>
        <w:t xml:space="preserve">PPL EU </w:t>
      </w:r>
      <w:r w:rsidR="008F0626">
        <w:t>capital program</w:t>
      </w:r>
    </w:p>
    <w:p w:rsidR="000E016B" w:rsidRDefault="000E016B" w:rsidP="000E016B">
      <w:r w:rsidRPr="00A5530D">
        <w:t>PPL E</w:t>
      </w:r>
      <w:r>
        <w:t>U</w:t>
      </w:r>
      <w:r w:rsidRPr="00A5530D">
        <w:t xml:space="preserve"> plan</w:t>
      </w:r>
      <w:r>
        <w:t>s</w:t>
      </w:r>
      <w:r w:rsidRPr="00A5530D">
        <w:t xml:space="preserve"> to achieve growth by providing efficient, reliable</w:t>
      </w:r>
      <w:r>
        <w:t>,</w:t>
      </w:r>
      <w:r w:rsidRPr="00A5530D">
        <w:t xml:space="preserve"> and safe operations and strong customer service</w:t>
      </w:r>
      <w:r>
        <w:t>;</w:t>
      </w:r>
      <w:r w:rsidRPr="00A5530D">
        <w:t xml:space="preserve"> maintaining constructive regulatory relationships</w:t>
      </w:r>
      <w:r>
        <w:t>;</w:t>
      </w:r>
      <w:r w:rsidRPr="00A5530D">
        <w:t xml:space="preserve"> and achieving timely recovery of costs. </w:t>
      </w:r>
      <w:r>
        <w:t xml:space="preserve"> The utility</w:t>
      </w:r>
      <w:r w:rsidRPr="00A5530D">
        <w:t xml:space="preserve"> expect</w:t>
      </w:r>
      <w:r>
        <w:t>s</w:t>
      </w:r>
      <w:r w:rsidRPr="00A5530D">
        <w:t xml:space="preserve"> to achieve strong, long-term growth in rate base, driven by </w:t>
      </w:r>
      <w:r w:rsidR="001B07F7">
        <w:t xml:space="preserve">significant </w:t>
      </w:r>
      <w:r w:rsidRPr="00A5530D">
        <w:t xml:space="preserve">planned capital expenditures </w:t>
      </w:r>
      <w:r w:rsidR="001B07F7">
        <w:t xml:space="preserve">needed </w:t>
      </w:r>
      <w:r w:rsidRPr="00A5530D">
        <w:t>to maintain existing assets and improve system reliability</w:t>
      </w:r>
      <w:r w:rsidR="001B07F7">
        <w:t>.</w:t>
      </w:r>
      <w:r w:rsidRPr="00A5530D">
        <w:t xml:space="preserve"> </w:t>
      </w:r>
      <w:r w:rsidR="001B07F7">
        <w:t>S</w:t>
      </w:r>
      <w:r w:rsidRPr="00A5530D">
        <w:t>ignificant transmiss</w:t>
      </w:r>
      <w:r>
        <w:t>ion rate base growth</w:t>
      </w:r>
      <w:r w:rsidR="001B07F7">
        <w:t xml:space="preserve"> is expected</w:t>
      </w:r>
      <w:r>
        <w:t xml:space="preserve"> through 2020</w:t>
      </w:r>
      <w:r w:rsidRPr="00A5530D">
        <w:t>.</w:t>
      </w:r>
      <w:r>
        <w:t xml:space="preserve">  PPL EU expects to recover these capital expenditures through rates, pending regulatory approvals.</w:t>
      </w:r>
      <w:r w:rsidR="00087472">
        <w:t xml:space="preserve"> </w:t>
      </w:r>
    </w:p>
    <w:p w:rsidR="00446F58" w:rsidRDefault="00446F58" w:rsidP="00446F58">
      <w:pPr>
        <w:pStyle w:val="Heading40"/>
      </w:pPr>
      <w:r>
        <w:t>Transmission Capital Program</w:t>
      </w:r>
    </w:p>
    <w:p w:rsidR="00446F58" w:rsidRDefault="00446F58" w:rsidP="00446F58">
      <w:r>
        <w:t xml:space="preserve">Since 2012, PPL EU has invested extensively in Transmission capital projects and plans to continue to invest at a high level through 2020. Annual capital expenditures in Transmission facilities over the 2011 to 2015 period are shown in the following table. </w:t>
      </w:r>
    </w:p>
    <w:p w:rsidR="00446F58" w:rsidRPr="004C47E8" w:rsidRDefault="00356110" w:rsidP="00356110">
      <w:pPr>
        <w:pStyle w:val="Caption"/>
      </w:pPr>
      <w:bookmarkStart w:id="19" w:name="_Toc464552929"/>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F03CD4">
        <w:br/>
      </w:r>
      <w:r w:rsidR="00446F58" w:rsidRPr="004C47E8">
        <w:t>PPL EU Transmission Capital Spending 2011</w:t>
      </w:r>
      <w:r w:rsidR="00446F58">
        <w:t>–</w:t>
      </w:r>
      <w:r w:rsidR="00446F58" w:rsidRPr="004C47E8">
        <w:t>2015</w:t>
      </w:r>
      <w:bookmarkEnd w:id="19"/>
      <w:r w:rsidR="00F03CD4">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4099"/>
        <w:gridCol w:w="965"/>
        <w:gridCol w:w="965"/>
        <w:gridCol w:w="965"/>
        <w:gridCol w:w="965"/>
        <w:gridCol w:w="965"/>
      </w:tblGrid>
      <w:tr w:rsidR="00446F58" w:rsidRPr="008B411F" w:rsidTr="00493518">
        <w:trPr>
          <w:cantSplit/>
          <w:trHeight w:val="20"/>
          <w:tblHeader/>
          <w:jc w:val="center"/>
        </w:trPr>
        <w:tc>
          <w:tcPr>
            <w:tcW w:w="4099" w:type="dxa"/>
            <w:shd w:val="clear" w:color="auto" w:fill="A5CD7E"/>
            <w:vAlign w:val="center"/>
          </w:tcPr>
          <w:p w:rsidR="00446F58" w:rsidRPr="008B411F" w:rsidRDefault="00446F58" w:rsidP="00933480">
            <w:pPr>
              <w:spacing w:before="120"/>
              <w:jc w:val="center"/>
              <w:rPr>
                <w:b/>
                <w:szCs w:val="24"/>
              </w:rPr>
            </w:pPr>
            <w:r w:rsidRPr="008B411F">
              <w:rPr>
                <w:b/>
                <w:szCs w:val="24"/>
              </w:rPr>
              <w:t>Metric</w:t>
            </w:r>
          </w:p>
        </w:tc>
        <w:tc>
          <w:tcPr>
            <w:tcW w:w="963" w:type="dxa"/>
            <w:shd w:val="clear" w:color="auto" w:fill="A5CD7E"/>
            <w:vAlign w:val="center"/>
          </w:tcPr>
          <w:p w:rsidR="00446F58" w:rsidRPr="008B411F" w:rsidRDefault="00446F58" w:rsidP="00933480">
            <w:pPr>
              <w:spacing w:before="120"/>
              <w:jc w:val="center"/>
              <w:rPr>
                <w:b/>
                <w:szCs w:val="24"/>
              </w:rPr>
            </w:pPr>
            <w:r w:rsidRPr="008B411F">
              <w:rPr>
                <w:b/>
                <w:szCs w:val="24"/>
              </w:rPr>
              <w:t>2011</w:t>
            </w:r>
          </w:p>
        </w:tc>
        <w:tc>
          <w:tcPr>
            <w:tcW w:w="964" w:type="dxa"/>
            <w:shd w:val="clear" w:color="auto" w:fill="A5CD7E"/>
            <w:vAlign w:val="center"/>
          </w:tcPr>
          <w:p w:rsidR="00446F58" w:rsidRPr="008B411F" w:rsidRDefault="00446F58" w:rsidP="00933480">
            <w:pPr>
              <w:spacing w:before="120"/>
              <w:jc w:val="center"/>
              <w:rPr>
                <w:b/>
                <w:szCs w:val="24"/>
              </w:rPr>
            </w:pPr>
            <w:r w:rsidRPr="008B411F">
              <w:rPr>
                <w:b/>
                <w:szCs w:val="24"/>
              </w:rPr>
              <w:t>2012</w:t>
            </w:r>
          </w:p>
        </w:tc>
        <w:tc>
          <w:tcPr>
            <w:tcW w:w="963" w:type="dxa"/>
            <w:shd w:val="clear" w:color="auto" w:fill="A5CD7E"/>
            <w:vAlign w:val="center"/>
          </w:tcPr>
          <w:p w:rsidR="00446F58" w:rsidRPr="008B411F" w:rsidRDefault="00446F58" w:rsidP="00933480">
            <w:pPr>
              <w:spacing w:before="120"/>
              <w:jc w:val="center"/>
              <w:rPr>
                <w:b/>
                <w:szCs w:val="24"/>
              </w:rPr>
            </w:pPr>
            <w:r w:rsidRPr="008B411F">
              <w:rPr>
                <w:b/>
                <w:szCs w:val="24"/>
              </w:rPr>
              <w:t>2013</w:t>
            </w:r>
          </w:p>
        </w:tc>
        <w:tc>
          <w:tcPr>
            <w:tcW w:w="964" w:type="dxa"/>
            <w:shd w:val="clear" w:color="auto" w:fill="A5CD7E"/>
            <w:vAlign w:val="center"/>
          </w:tcPr>
          <w:p w:rsidR="00446F58" w:rsidRPr="008B411F" w:rsidRDefault="00446F58" w:rsidP="00933480">
            <w:pPr>
              <w:spacing w:before="120"/>
              <w:jc w:val="center"/>
              <w:rPr>
                <w:b/>
                <w:szCs w:val="24"/>
              </w:rPr>
            </w:pPr>
            <w:r w:rsidRPr="008B411F">
              <w:rPr>
                <w:b/>
                <w:szCs w:val="24"/>
              </w:rPr>
              <w:t>2014</w:t>
            </w:r>
          </w:p>
        </w:tc>
        <w:tc>
          <w:tcPr>
            <w:tcW w:w="964" w:type="dxa"/>
            <w:shd w:val="clear" w:color="auto" w:fill="A5CD7E"/>
            <w:vAlign w:val="center"/>
          </w:tcPr>
          <w:p w:rsidR="00446F58" w:rsidRPr="008B411F" w:rsidRDefault="00446F58" w:rsidP="00933480">
            <w:pPr>
              <w:spacing w:before="120"/>
              <w:jc w:val="center"/>
              <w:rPr>
                <w:b/>
                <w:szCs w:val="24"/>
              </w:rPr>
            </w:pPr>
            <w:r w:rsidRPr="008B411F">
              <w:rPr>
                <w:b/>
                <w:szCs w:val="24"/>
              </w:rPr>
              <w:t xml:space="preserve">2015 </w:t>
            </w:r>
          </w:p>
        </w:tc>
      </w:tr>
      <w:tr w:rsidR="00446F58" w:rsidRPr="004C47E8" w:rsidTr="00493518">
        <w:trPr>
          <w:trHeight w:val="20"/>
          <w:jc w:val="center"/>
        </w:trPr>
        <w:tc>
          <w:tcPr>
            <w:tcW w:w="4099" w:type="dxa"/>
            <w:shd w:val="clear" w:color="auto" w:fill="auto"/>
            <w:vAlign w:val="center"/>
          </w:tcPr>
          <w:p w:rsidR="00446F58" w:rsidRPr="004C47E8" w:rsidRDefault="00446F58" w:rsidP="000933C6">
            <w:pPr>
              <w:pStyle w:val="Tabletext"/>
            </w:pPr>
            <w:r w:rsidRPr="004C47E8">
              <w:t>Total Transmission Capital</w:t>
            </w:r>
            <w:r w:rsidR="000C4738">
              <w:t xml:space="preserve"> (millions)</w:t>
            </w:r>
          </w:p>
        </w:tc>
        <w:tc>
          <w:tcPr>
            <w:tcW w:w="963" w:type="dxa"/>
            <w:vAlign w:val="center"/>
          </w:tcPr>
          <w:p w:rsidR="00446F58" w:rsidRPr="004C47E8" w:rsidRDefault="00493518" w:rsidP="000933C6">
            <w:pPr>
              <w:pStyle w:val="Tabletext"/>
            </w:pPr>
            <w:r>
              <w:t>$</w:t>
            </w:r>
            <w:r w:rsidR="00446F58" w:rsidRPr="004C47E8">
              <w:t>154.2</w:t>
            </w:r>
          </w:p>
        </w:tc>
        <w:tc>
          <w:tcPr>
            <w:tcW w:w="964" w:type="dxa"/>
            <w:vAlign w:val="center"/>
          </w:tcPr>
          <w:p w:rsidR="00446F58" w:rsidRPr="004C47E8" w:rsidRDefault="00493518" w:rsidP="000933C6">
            <w:pPr>
              <w:pStyle w:val="Tabletext"/>
            </w:pPr>
            <w:r>
              <w:t>$</w:t>
            </w:r>
            <w:r w:rsidR="00446F58" w:rsidRPr="004C47E8">
              <w:t>342.5</w:t>
            </w:r>
          </w:p>
        </w:tc>
        <w:tc>
          <w:tcPr>
            <w:tcW w:w="963" w:type="dxa"/>
            <w:vAlign w:val="center"/>
          </w:tcPr>
          <w:p w:rsidR="00446F58" w:rsidRPr="004C47E8" w:rsidRDefault="00493518" w:rsidP="000933C6">
            <w:pPr>
              <w:pStyle w:val="Tabletext"/>
            </w:pPr>
            <w:r>
              <w:t>$</w:t>
            </w:r>
            <w:r w:rsidR="00446F58" w:rsidRPr="004C47E8">
              <w:t>627.5</w:t>
            </w:r>
          </w:p>
        </w:tc>
        <w:tc>
          <w:tcPr>
            <w:tcW w:w="964" w:type="dxa"/>
            <w:vAlign w:val="center"/>
          </w:tcPr>
          <w:p w:rsidR="00446F58" w:rsidRPr="004C47E8" w:rsidRDefault="00493518" w:rsidP="000933C6">
            <w:pPr>
              <w:pStyle w:val="Tabletext"/>
            </w:pPr>
            <w:r>
              <w:t>$</w:t>
            </w:r>
            <w:r w:rsidR="00446F58" w:rsidRPr="004C47E8">
              <w:t>626.9</w:t>
            </w:r>
          </w:p>
        </w:tc>
        <w:tc>
          <w:tcPr>
            <w:tcW w:w="964" w:type="dxa"/>
            <w:vAlign w:val="center"/>
          </w:tcPr>
          <w:p w:rsidR="00446F58" w:rsidRPr="004C47E8" w:rsidRDefault="00493518" w:rsidP="000933C6">
            <w:pPr>
              <w:pStyle w:val="Tabletext"/>
            </w:pPr>
            <w:r>
              <w:t>$</w:t>
            </w:r>
            <w:r w:rsidR="00446F58">
              <w:t>695.1</w:t>
            </w:r>
          </w:p>
        </w:tc>
      </w:tr>
      <w:tr w:rsidR="00446F58" w:rsidRPr="004C47E8" w:rsidTr="00933480">
        <w:trPr>
          <w:trHeight w:val="20"/>
          <w:jc w:val="center"/>
        </w:trPr>
        <w:tc>
          <w:tcPr>
            <w:tcW w:w="8917" w:type="dxa"/>
            <w:gridSpan w:val="6"/>
            <w:vAlign w:val="center"/>
          </w:tcPr>
          <w:p w:rsidR="00446F58" w:rsidRPr="004C47E8" w:rsidRDefault="00446F58" w:rsidP="000933C6">
            <w:pPr>
              <w:pStyle w:val="Tabletext"/>
              <w:jc w:val="left"/>
              <w:rPr>
                <w:rFonts w:cs="Arial"/>
              </w:rPr>
            </w:pPr>
            <w:r w:rsidRPr="004C47E8">
              <w:rPr>
                <w:rFonts w:cs="Arial"/>
              </w:rPr>
              <w:t>Source: DN 01-015; DN 01-069</w:t>
            </w:r>
          </w:p>
        </w:tc>
      </w:tr>
    </w:tbl>
    <w:p w:rsidR="00446F58" w:rsidRDefault="00446F58" w:rsidP="00446F58">
      <w:pPr>
        <w:pStyle w:val="Normal-aftertable"/>
      </w:pPr>
      <w:r>
        <w:t xml:space="preserve">During this timeframe, capital outlays in this category escalated 350% or at an annual rate of 45.7%.  In 2014, PPL EU transmission capital investment per customer </w:t>
      </w:r>
      <w:r w:rsidRPr="003C0CDC">
        <w:t>exceeded the</w:t>
      </w:r>
      <w:r>
        <w:t xml:space="preserve"> Pennsylvania electric utility</w:t>
      </w:r>
      <w:r w:rsidRPr="003C0CDC">
        <w:t xml:space="preserve"> panel average by over 15 times</w:t>
      </w:r>
      <w:r w:rsidR="00F31D07">
        <w:t>:</w:t>
      </w:r>
      <w:r>
        <w:t xml:space="preserve"> $344.17 per customer for PPL EU versus $22.15 per customer for the Appendix C Pennsylvania utility panel average. </w:t>
      </w:r>
    </w:p>
    <w:p w:rsidR="00351771" w:rsidRDefault="00446F58" w:rsidP="00C53B30">
      <w:r>
        <w:t>Projected annual capital expenditures in Transmission facilities over the 2016 to 2020 period are shown in the following table.</w:t>
      </w:r>
    </w:p>
    <w:p w:rsidR="00446F58" w:rsidRDefault="00356110" w:rsidP="00356110">
      <w:pPr>
        <w:pStyle w:val="Caption"/>
      </w:pPr>
      <w:bookmarkStart w:id="20" w:name="_Toc464552930"/>
      <w:r>
        <w:lastRenderedPageBreak/>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F03CD4">
        <w:br/>
      </w:r>
      <w:r w:rsidR="00446F58">
        <w:t>PPL EU Project</w:t>
      </w:r>
      <w:r>
        <w:t>ed Transmission and Substations</w:t>
      </w:r>
      <w:r w:rsidR="00F03CD4">
        <w:t xml:space="preserve"> </w:t>
      </w:r>
      <w:r w:rsidR="00446F58">
        <w:t>Capital Investment (2016-2020)</w:t>
      </w:r>
      <w:bookmarkEnd w:id="20"/>
      <w:r w:rsidR="00F03CD4">
        <w:t xml:space="preserve"> </w:t>
      </w:r>
    </w:p>
    <w:tbl>
      <w:tblPr>
        <w:tblW w:w="0" w:type="auto"/>
        <w:jc w:val="center"/>
        <w:tblCellMar>
          <w:top w:w="14" w:type="dxa"/>
          <w:left w:w="115" w:type="dxa"/>
          <w:bottom w:w="14" w:type="dxa"/>
          <w:right w:w="115" w:type="dxa"/>
        </w:tblCellMar>
        <w:tblLook w:val="04A0"/>
      </w:tblPr>
      <w:tblGrid>
        <w:gridCol w:w="4098"/>
        <w:gridCol w:w="764"/>
        <w:gridCol w:w="764"/>
        <w:gridCol w:w="764"/>
        <w:gridCol w:w="764"/>
        <w:gridCol w:w="764"/>
        <w:gridCol w:w="965"/>
      </w:tblGrid>
      <w:tr w:rsidR="00446F58" w:rsidRPr="00336BE2" w:rsidTr="00933480">
        <w:trPr>
          <w:cantSplit/>
          <w:trHeight w:val="288"/>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Metric</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2016</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2017</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2018</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2019</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2020</w:t>
            </w:r>
          </w:p>
        </w:tc>
        <w:tc>
          <w:tcPr>
            <w:tcW w:w="249" w:type="dxa"/>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spacing w:before="120"/>
              <w:jc w:val="center"/>
              <w:rPr>
                <w:b/>
                <w:color w:val="000000"/>
                <w:szCs w:val="24"/>
              </w:rPr>
            </w:pPr>
            <w:r w:rsidRPr="00351771">
              <w:rPr>
                <w:b/>
                <w:color w:val="000000"/>
                <w:szCs w:val="24"/>
              </w:rPr>
              <w:t>Total</w:t>
            </w:r>
          </w:p>
        </w:tc>
      </w:tr>
      <w:tr w:rsidR="00446F58" w:rsidRPr="00336BE2" w:rsidTr="00933480">
        <w:trPr>
          <w:trHeight w:val="288"/>
          <w:jc w:val="center"/>
        </w:trPr>
        <w:tc>
          <w:tcPr>
            <w:tcW w:w="0" w:type="auto"/>
            <w:tcBorders>
              <w:top w:val="nil"/>
              <w:left w:val="single" w:sz="4" w:space="0" w:color="000000"/>
              <w:bottom w:val="single" w:sz="4" w:space="0" w:color="000000"/>
              <w:right w:val="single" w:sz="4" w:space="0" w:color="000000"/>
            </w:tcBorders>
            <w:shd w:val="clear" w:color="auto" w:fill="auto"/>
            <w:vAlign w:val="center"/>
            <w:hideMark/>
          </w:tcPr>
          <w:p w:rsidR="00446F58" w:rsidRPr="00493518" w:rsidRDefault="00982CCC" w:rsidP="00351771">
            <w:pPr>
              <w:pStyle w:val="Tableheading"/>
              <w:rPr>
                <w:b w:val="0"/>
              </w:rPr>
            </w:pPr>
            <w:r w:rsidRPr="00493518">
              <w:rPr>
                <w:b w:val="0"/>
              </w:rPr>
              <w:t xml:space="preserve">Total </w:t>
            </w:r>
            <w:r w:rsidR="00446F58" w:rsidRPr="00493518">
              <w:rPr>
                <w:b w:val="0"/>
              </w:rPr>
              <w:t>Transmission Capital</w:t>
            </w:r>
            <w:r w:rsidR="00493518" w:rsidRPr="00493518">
              <w:rPr>
                <w:b w:val="0"/>
              </w:rPr>
              <w:t xml:space="preserve"> (millions)</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493518" w:rsidRDefault="00493518" w:rsidP="000933C6">
            <w:pPr>
              <w:spacing w:after="0"/>
              <w:jc w:val="center"/>
              <w:rPr>
                <w:color w:val="000000"/>
                <w:szCs w:val="24"/>
              </w:rPr>
            </w:pPr>
            <w:r w:rsidRPr="00493518">
              <w:rPr>
                <w:color w:val="000000"/>
                <w:szCs w:val="24"/>
              </w:rPr>
              <w:t>$</w:t>
            </w:r>
            <w:r w:rsidR="00446F58" w:rsidRPr="00493518">
              <w:rPr>
                <w:color w:val="000000"/>
                <w:szCs w:val="24"/>
              </w:rPr>
              <w:t>700</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0933C6">
            <w:pPr>
              <w:spacing w:after="0"/>
              <w:jc w:val="center"/>
              <w:rPr>
                <w:color w:val="000000"/>
                <w:szCs w:val="24"/>
              </w:rPr>
            </w:pPr>
            <w:r>
              <w:rPr>
                <w:color w:val="000000"/>
                <w:szCs w:val="24"/>
              </w:rPr>
              <w:t>$</w:t>
            </w:r>
            <w:r w:rsidR="00446F58" w:rsidRPr="00C53B30">
              <w:rPr>
                <w:color w:val="000000"/>
                <w:szCs w:val="24"/>
              </w:rPr>
              <w:t>694</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0933C6">
            <w:pPr>
              <w:spacing w:after="0"/>
              <w:jc w:val="center"/>
              <w:rPr>
                <w:color w:val="000000"/>
                <w:szCs w:val="24"/>
              </w:rPr>
            </w:pPr>
            <w:r>
              <w:rPr>
                <w:color w:val="000000"/>
                <w:szCs w:val="24"/>
              </w:rPr>
              <w:t>$</w:t>
            </w:r>
            <w:r w:rsidR="00446F58" w:rsidRPr="00C53B30">
              <w:rPr>
                <w:color w:val="000000"/>
                <w:szCs w:val="24"/>
              </w:rPr>
              <w:t>660</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0933C6">
            <w:pPr>
              <w:spacing w:after="0"/>
              <w:jc w:val="center"/>
              <w:rPr>
                <w:color w:val="000000"/>
                <w:szCs w:val="24"/>
              </w:rPr>
            </w:pPr>
            <w:r>
              <w:rPr>
                <w:color w:val="000000"/>
                <w:szCs w:val="24"/>
              </w:rPr>
              <w:t>$</w:t>
            </w:r>
            <w:r w:rsidR="00446F58" w:rsidRPr="00C53B30">
              <w:rPr>
                <w:color w:val="000000"/>
                <w:szCs w:val="24"/>
              </w:rPr>
              <w:t>599</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0933C6">
            <w:pPr>
              <w:spacing w:after="0"/>
              <w:jc w:val="center"/>
              <w:rPr>
                <w:color w:val="000000"/>
                <w:szCs w:val="24"/>
              </w:rPr>
            </w:pPr>
            <w:r>
              <w:rPr>
                <w:color w:val="000000"/>
                <w:szCs w:val="24"/>
              </w:rPr>
              <w:t>$</w:t>
            </w:r>
            <w:r w:rsidR="00446F58" w:rsidRPr="00C53B30">
              <w:rPr>
                <w:color w:val="000000"/>
                <w:szCs w:val="24"/>
              </w:rPr>
              <w:t>630</w:t>
            </w:r>
          </w:p>
        </w:tc>
        <w:tc>
          <w:tcPr>
            <w:tcW w:w="249" w:type="dxa"/>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0933C6">
            <w:pPr>
              <w:spacing w:after="0"/>
              <w:jc w:val="center"/>
              <w:rPr>
                <w:color w:val="000000"/>
                <w:szCs w:val="24"/>
              </w:rPr>
            </w:pPr>
            <w:r>
              <w:rPr>
                <w:color w:val="000000"/>
                <w:szCs w:val="24"/>
              </w:rPr>
              <w:t>$</w:t>
            </w:r>
            <w:r w:rsidR="00446F58" w:rsidRPr="00C53B30">
              <w:rPr>
                <w:color w:val="000000"/>
                <w:szCs w:val="24"/>
              </w:rPr>
              <w:t>3,283</w:t>
            </w:r>
          </w:p>
        </w:tc>
      </w:tr>
      <w:tr w:rsidR="00446F58" w:rsidRPr="00336BE2" w:rsidTr="00933480">
        <w:trPr>
          <w:trHeight w:val="288"/>
          <w:jc w:val="center"/>
        </w:trPr>
        <w:tc>
          <w:tcPr>
            <w:tcW w:w="6643" w:type="dxa"/>
            <w:gridSpan w:val="7"/>
            <w:tcBorders>
              <w:top w:val="single" w:sz="4" w:space="0" w:color="auto"/>
              <w:left w:val="single" w:sz="4" w:space="0" w:color="000000"/>
              <w:bottom w:val="single" w:sz="4" w:space="0" w:color="000000"/>
              <w:right w:val="single" w:sz="4" w:space="0" w:color="000000"/>
            </w:tcBorders>
            <w:shd w:val="clear" w:color="auto" w:fill="auto"/>
            <w:vAlign w:val="center"/>
            <w:hideMark/>
          </w:tcPr>
          <w:p w:rsidR="00446F58" w:rsidRPr="00873B50" w:rsidRDefault="00446F58" w:rsidP="005410AB">
            <w:pPr>
              <w:pStyle w:val="Tableheading"/>
              <w:jc w:val="left"/>
              <w:rPr>
                <w:b w:val="0"/>
              </w:rPr>
            </w:pPr>
            <w:r w:rsidRPr="00873B50">
              <w:rPr>
                <w:b w:val="0"/>
              </w:rPr>
              <w:t>Source:  PPL Corporation Annual Report 2015</w:t>
            </w:r>
          </w:p>
        </w:tc>
      </w:tr>
    </w:tbl>
    <w:p w:rsidR="00446F58" w:rsidRPr="00272E1D" w:rsidRDefault="00446F58" w:rsidP="00446F58">
      <w:pPr>
        <w:pStyle w:val="Normal-aftertable"/>
      </w:pPr>
      <w:r w:rsidRPr="00272E1D">
        <w:t>The advancing age of the transmission infrastructure is driving the large investments in Transmission facilities along with the focus on enhanced reliability and cybersecurity improvements.  The improvements are primarily being made in the 69 kilovolt (kV) system</w:t>
      </w:r>
      <w:r w:rsidR="001B07F7">
        <w:t xml:space="preserve"> including</w:t>
      </w:r>
      <w:r w:rsidRPr="00272E1D">
        <w:t xml:space="preserve"> some new underground 69 kV facilities being installed to replace facilities installed in the 1960</w:t>
      </w:r>
      <w:r>
        <w:t>–</w:t>
      </w:r>
      <w:r w:rsidRPr="00272E1D">
        <w:t>70s timeframe.  A</w:t>
      </w:r>
      <w:r>
        <w:t>s indicated above, a</w:t>
      </w:r>
      <w:r w:rsidRPr="00272E1D">
        <w:t>lthough annual capital outlays peak at $700 million in 2016, projections call for high spending levels over the</w:t>
      </w:r>
      <w:r>
        <w:t xml:space="preserve"> entire</w:t>
      </w:r>
      <w:r w:rsidRPr="00272E1D">
        <w:t xml:space="preserve"> five year period and total $3.28 billion. </w:t>
      </w:r>
    </w:p>
    <w:p w:rsidR="00446F58" w:rsidRDefault="00446F58" w:rsidP="00446F58">
      <w:pPr>
        <w:pStyle w:val="Heading40"/>
      </w:pPr>
      <w:r>
        <w:t>Distribution Capital Program</w:t>
      </w:r>
    </w:p>
    <w:p w:rsidR="00446F58" w:rsidRDefault="000E016B" w:rsidP="00446F58">
      <w:r>
        <w:t>PPL EU has invested at relatively high levels in Distribution capital projects</w:t>
      </w:r>
      <w:r w:rsidR="001B07F7">
        <w:t xml:space="preserve"> as well</w:t>
      </w:r>
      <w:r>
        <w:t xml:space="preserve"> and expects to maintain a high level of investment through 2020. </w:t>
      </w:r>
      <w:r w:rsidR="00446F58">
        <w:t>Annual capital expenditures in Distribution facilities over the 2011 to 2015 period are shown in the following table.</w:t>
      </w:r>
    </w:p>
    <w:p w:rsidR="00446F58" w:rsidRPr="003E1C85" w:rsidRDefault="00356110" w:rsidP="00356110">
      <w:pPr>
        <w:pStyle w:val="Caption"/>
      </w:pPr>
      <w:bookmarkStart w:id="21" w:name="_Toc464552931"/>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F03CD4">
        <w:br/>
      </w:r>
      <w:r w:rsidR="00446F58" w:rsidRPr="003E1C85">
        <w:t xml:space="preserve">PPL EU </w:t>
      </w:r>
      <w:r w:rsidR="00446F58">
        <w:t>Distribution Capital Spending</w:t>
      </w:r>
      <w:r w:rsidR="00446F58" w:rsidRPr="003E1C85">
        <w:t xml:space="preserve"> 201</w:t>
      </w:r>
      <w:r w:rsidR="00446F58">
        <w:t>1–</w:t>
      </w:r>
      <w:r w:rsidR="00446F58" w:rsidRPr="003E1C85">
        <w:t>201</w:t>
      </w:r>
      <w:r w:rsidR="00446F58">
        <w:t>5</w:t>
      </w:r>
      <w:bookmarkEnd w:id="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3872"/>
        <w:gridCol w:w="965"/>
        <w:gridCol w:w="965"/>
        <w:gridCol w:w="965"/>
        <w:gridCol w:w="965"/>
        <w:gridCol w:w="965"/>
      </w:tblGrid>
      <w:tr w:rsidR="00446F58" w:rsidRPr="003E3F70" w:rsidTr="00933480">
        <w:trPr>
          <w:cantSplit/>
          <w:trHeight w:val="20"/>
          <w:tblHeader/>
          <w:jc w:val="center"/>
        </w:trPr>
        <w:tc>
          <w:tcPr>
            <w:tcW w:w="0" w:type="auto"/>
            <w:shd w:val="clear" w:color="auto" w:fill="A5CD7E"/>
            <w:vAlign w:val="center"/>
          </w:tcPr>
          <w:p w:rsidR="00446F58" w:rsidRPr="003E3F70" w:rsidRDefault="00446F58" w:rsidP="00933480">
            <w:pPr>
              <w:pStyle w:val="Tableheading"/>
              <w:spacing w:before="120" w:after="120"/>
            </w:pPr>
            <w:r>
              <w:t>Metric</w:t>
            </w:r>
          </w:p>
        </w:tc>
        <w:tc>
          <w:tcPr>
            <w:tcW w:w="0" w:type="auto"/>
            <w:shd w:val="clear" w:color="auto" w:fill="A5CD7E"/>
            <w:vAlign w:val="center"/>
          </w:tcPr>
          <w:p w:rsidR="00446F58" w:rsidRPr="003E3F70" w:rsidRDefault="00446F58" w:rsidP="00933480">
            <w:pPr>
              <w:pStyle w:val="Tableheading"/>
              <w:spacing w:before="120" w:after="120"/>
            </w:pPr>
            <w:r w:rsidRPr="003E3F70">
              <w:t>2011</w:t>
            </w:r>
          </w:p>
        </w:tc>
        <w:tc>
          <w:tcPr>
            <w:tcW w:w="0" w:type="auto"/>
            <w:shd w:val="clear" w:color="auto" w:fill="A5CD7E"/>
            <w:vAlign w:val="center"/>
          </w:tcPr>
          <w:p w:rsidR="00446F58" w:rsidRPr="003E3F70" w:rsidRDefault="00446F58" w:rsidP="00933480">
            <w:pPr>
              <w:pStyle w:val="Tableheading"/>
              <w:spacing w:before="120" w:after="120"/>
            </w:pPr>
            <w:r w:rsidRPr="003E3F70">
              <w:t>2012</w:t>
            </w:r>
          </w:p>
        </w:tc>
        <w:tc>
          <w:tcPr>
            <w:tcW w:w="0" w:type="auto"/>
            <w:shd w:val="clear" w:color="auto" w:fill="A5CD7E"/>
            <w:vAlign w:val="center"/>
          </w:tcPr>
          <w:p w:rsidR="00446F58" w:rsidRPr="003E3F70" w:rsidRDefault="00446F58" w:rsidP="00933480">
            <w:pPr>
              <w:pStyle w:val="Tableheading"/>
              <w:spacing w:before="120" w:after="120"/>
            </w:pPr>
            <w:r w:rsidRPr="003E3F70">
              <w:t>2013</w:t>
            </w:r>
          </w:p>
        </w:tc>
        <w:tc>
          <w:tcPr>
            <w:tcW w:w="0" w:type="auto"/>
            <w:shd w:val="clear" w:color="auto" w:fill="A5CD7E"/>
            <w:vAlign w:val="center"/>
          </w:tcPr>
          <w:p w:rsidR="00446F58" w:rsidRPr="003E3F70" w:rsidRDefault="00446F58" w:rsidP="00933480">
            <w:pPr>
              <w:pStyle w:val="Tableheading"/>
              <w:spacing w:before="120" w:after="120"/>
            </w:pPr>
            <w:r w:rsidRPr="003E3F70">
              <w:t>2014</w:t>
            </w:r>
          </w:p>
        </w:tc>
        <w:tc>
          <w:tcPr>
            <w:tcW w:w="0" w:type="auto"/>
            <w:shd w:val="clear" w:color="auto" w:fill="A5CD7E"/>
            <w:vAlign w:val="center"/>
          </w:tcPr>
          <w:p w:rsidR="00446F58" w:rsidRPr="003E3F70" w:rsidRDefault="00446F58" w:rsidP="00933480">
            <w:pPr>
              <w:pStyle w:val="Tableheading"/>
              <w:spacing w:before="120" w:after="120"/>
            </w:pPr>
            <w:r w:rsidRPr="003E3F70">
              <w:t>2015</w:t>
            </w:r>
          </w:p>
        </w:tc>
      </w:tr>
      <w:tr w:rsidR="00446F58" w:rsidTr="00933480">
        <w:trPr>
          <w:cantSplit/>
          <w:trHeight w:val="20"/>
          <w:jc w:val="center"/>
        </w:trPr>
        <w:tc>
          <w:tcPr>
            <w:tcW w:w="0" w:type="auto"/>
            <w:shd w:val="clear" w:color="auto" w:fill="auto"/>
            <w:vAlign w:val="center"/>
          </w:tcPr>
          <w:p w:rsidR="00446F58" w:rsidRDefault="00446F58" w:rsidP="000933C6">
            <w:pPr>
              <w:pStyle w:val="Tabletext"/>
            </w:pPr>
            <w:r>
              <w:t>Total Distribution Capital</w:t>
            </w:r>
            <w:r w:rsidR="00493518">
              <w:t xml:space="preserve"> (millions)</w:t>
            </w:r>
          </w:p>
        </w:tc>
        <w:tc>
          <w:tcPr>
            <w:tcW w:w="0" w:type="auto"/>
            <w:vAlign w:val="center"/>
          </w:tcPr>
          <w:p w:rsidR="00446F58" w:rsidRDefault="00493518" w:rsidP="000933C6">
            <w:pPr>
              <w:pStyle w:val="Tabletext"/>
            </w:pPr>
            <w:r>
              <w:t>$</w:t>
            </w:r>
            <w:r w:rsidR="00446F58">
              <w:t>326.6</w:t>
            </w:r>
          </w:p>
        </w:tc>
        <w:tc>
          <w:tcPr>
            <w:tcW w:w="0" w:type="auto"/>
            <w:vAlign w:val="center"/>
          </w:tcPr>
          <w:p w:rsidR="00446F58" w:rsidRDefault="00493518" w:rsidP="000933C6">
            <w:pPr>
              <w:pStyle w:val="Tabletext"/>
            </w:pPr>
            <w:r>
              <w:t>$</w:t>
            </w:r>
            <w:r w:rsidR="00446F58">
              <w:t>342.2</w:t>
            </w:r>
          </w:p>
        </w:tc>
        <w:tc>
          <w:tcPr>
            <w:tcW w:w="0" w:type="auto"/>
            <w:vAlign w:val="center"/>
          </w:tcPr>
          <w:p w:rsidR="00446F58" w:rsidRDefault="00493518" w:rsidP="000933C6">
            <w:pPr>
              <w:pStyle w:val="Tabletext"/>
            </w:pPr>
            <w:r>
              <w:t>$</w:t>
            </w:r>
            <w:r w:rsidR="00446F58">
              <w:t>342.1</w:t>
            </w:r>
          </w:p>
        </w:tc>
        <w:tc>
          <w:tcPr>
            <w:tcW w:w="0" w:type="auto"/>
            <w:vAlign w:val="center"/>
          </w:tcPr>
          <w:p w:rsidR="00446F58" w:rsidRDefault="00493518" w:rsidP="000933C6">
            <w:pPr>
              <w:pStyle w:val="Tabletext"/>
            </w:pPr>
            <w:r>
              <w:t>$</w:t>
            </w:r>
            <w:r w:rsidR="00446F58">
              <w:t>351.3</w:t>
            </w:r>
          </w:p>
        </w:tc>
        <w:tc>
          <w:tcPr>
            <w:tcW w:w="0" w:type="auto"/>
            <w:vAlign w:val="center"/>
          </w:tcPr>
          <w:p w:rsidR="00446F58" w:rsidRDefault="00493518" w:rsidP="000933C6">
            <w:pPr>
              <w:pStyle w:val="Tabletext"/>
            </w:pPr>
            <w:r>
              <w:t>$</w:t>
            </w:r>
            <w:r w:rsidR="00446F58">
              <w:t>433.7</w:t>
            </w:r>
          </w:p>
        </w:tc>
      </w:tr>
      <w:tr w:rsidR="00446F58" w:rsidRPr="00094B43" w:rsidTr="00933480">
        <w:trPr>
          <w:cantSplit/>
          <w:trHeight w:val="20"/>
          <w:jc w:val="center"/>
        </w:trPr>
        <w:tc>
          <w:tcPr>
            <w:tcW w:w="0" w:type="auto"/>
            <w:gridSpan w:val="6"/>
            <w:vAlign w:val="center"/>
          </w:tcPr>
          <w:p w:rsidR="00446F58" w:rsidRPr="00094B43" w:rsidRDefault="00446F58" w:rsidP="000933C6">
            <w:pPr>
              <w:pStyle w:val="Tabletext"/>
              <w:jc w:val="left"/>
              <w:rPr>
                <w:rFonts w:cs="Arial"/>
              </w:rPr>
            </w:pPr>
            <w:r w:rsidRPr="00094B43">
              <w:rPr>
                <w:rFonts w:cs="Arial"/>
              </w:rPr>
              <w:t xml:space="preserve">Source: DN </w:t>
            </w:r>
            <w:r>
              <w:rPr>
                <w:rFonts w:cs="Arial"/>
              </w:rPr>
              <w:t>01-015; DN 01-069</w:t>
            </w:r>
          </w:p>
        </w:tc>
      </w:tr>
    </w:tbl>
    <w:p w:rsidR="00446F58" w:rsidRDefault="00446F58" w:rsidP="00446F58">
      <w:pPr>
        <w:pStyle w:val="Normal-aftertable"/>
      </w:pPr>
      <w:r>
        <w:t>During this timeframe, capital outlays for Distribution escalated by 32% or at an annual rate of 7.3%.</w:t>
      </w:r>
      <w:r w:rsidR="00F31D07">
        <w:t xml:space="preserve"> </w:t>
      </w:r>
      <w:r>
        <w:t xml:space="preserve"> </w:t>
      </w:r>
      <w:r w:rsidRPr="003C0CDC">
        <w:t>Distribution plant capital expenditures in 2014 exceeded the</w:t>
      </w:r>
      <w:r>
        <w:t xml:space="preserve"> Appendix C</w:t>
      </w:r>
      <w:r w:rsidRPr="003C0CDC">
        <w:t xml:space="preserve"> </w:t>
      </w:r>
      <w:r>
        <w:t xml:space="preserve">Pennsylvania electric utility </w:t>
      </w:r>
      <w:r w:rsidRPr="003C0CDC">
        <w:t>panel average by approximately 16%.</w:t>
      </w:r>
      <w:r>
        <w:t xml:space="preserve">  </w:t>
      </w:r>
    </w:p>
    <w:p w:rsidR="00351771" w:rsidRDefault="00446F58" w:rsidP="00593D1B">
      <w:r>
        <w:t>Projected annual capital expenditures in Distribution facilities over the 2016 to 2020 period are shown in the following table.</w:t>
      </w:r>
    </w:p>
    <w:p w:rsidR="00446F58" w:rsidRDefault="00356110" w:rsidP="00356110">
      <w:pPr>
        <w:pStyle w:val="Caption"/>
      </w:pPr>
      <w:bookmarkStart w:id="22" w:name="_Toc464552932"/>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6</w:t>
      </w:r>
      <w:r w:rsidR="00CB2B2A">
        <w:rPr>
          <w:noProof/>
        </w:rPr>
        <w:fldChar w:fldCharType="end"/>
      </w:r>
      <w:r w:rsidR="00F03CD4">
        <w:br/>
      </w:r>
      <w:r w:rsidR="00446F58">
        <w:t>PPL EU Projected Distribution Capital Investment (2016–2020)</w:t>
      </w:r>
      <w:bookmarkEnd w:id="22"/>
    </w:p>
    <w:tbl>
      <w:tblPr>
        <w:tblW w:w="0" w:type="auto"/>
        <w:jc w:val="center"/>
        <w:tblCellMar>
          <w:top w:w="14" w:type="dxa"/>
          <w:left w:w="115" w:type="dxa"/>
          <w:bottom w:w="14" w:type="dxa"/>
          <w:right w:w="115" w:type="dxa"/>
        </w:tblCellMar>
        <w:tblLook w:val="04A0"/>
      </w:tblPr>
      <w:tblGrid>
        <w:gridCol w:w="3872"/>
        <w:gridCol w:w="764"/>
        <w:gridCol w:w="764"/>
        <w:gridCol w:w="764"/>
        <w:gridCol w:w="764"/>
        <w:gridCol w:w="764"/>
        <w:gridCol w:w="965"/>
      </w:tblGrid>
      <w:tr w:rsidR="00446F58" w:rsidRPr="00336BE2" w:rsidTr="00933480">
        <w:trPr>
          <w:cantSplit/>
          <w:trHeight w:val="20"/>
          <w:tblHeader/>
          <w:jc w:val="center"/>
        </w:trPr>
        <w:tc>
          <w:tcPr>
            <w:tcW w:w="0" w:type="auto"/>
            <w:tcBorders>
              <w:top w:val="single" w:sz="4" w:space="0" w:color="000000"/>
              <w:left w:val="single" w:sz="4" w:space="0" w:color="000000"/>
              <w:bottom w:val="single" w:sz="4" w:space="0" w:color="auto"/>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Metric</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2016</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2017</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2018</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2019</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2020</w:t>
            </w:r>
          </w:p>
        </w:tc>
        <w:tc>
          <w:tcPr>
            <w:tcW w:w="0" w:type="auto"/>
            <w:tcBorders>
              <w:top w:val="single" w:sz="4" w:space="0" w:color="000000"/>
              <w:left w:val="nil"/>
              <w:bottom w:val="nil"/>
              <w:right w:val="single" w:sz="4" w:space="0" w:color="000000"/>
            </w:tcBorders>
            <w:shd w:val="clear" w:color="A5CD7E" w:fill="A5CD7E"/>
            <w:noWrap/>
            <w:vAlign w:val="center"/>
            <w:hideMark/>
          </w:tcPr>
          <w:p w:rsidR="00446F58" w:rsidRPr="00351771" w:rsidRDefault="00446F58" w:rsidP="00933480">
            <w:pPr>
              <w:pStyle w:val="Tableheading"/>
              <w:spacing w:before="120" w:after="120"/>
            </w:pPr>
            <w:r w:rsidRPr="00351771">
              <w:t>Total</w:t>
            </w:r>
          </w:p>
        </w:tc>
      </w:tr>
      <w:tr w:rsidR="00446F58" w:rsidRPr="00336BE2" w:rsidTr="00933480">
        <w:trPr>
          <w:trHeight w:val="20"/>
          <w:jc w:val="center"/>
        </w:trPr>
        <w:tc>
          <w:tcPr>
            <w:tcW w:w="0" w:type="auto"/>
            <w:tcBorders>
              <w:top w:val="single" w:sz="4" w:space="0" w:color="auto"/>
              <w:left w:val="single" w:sz="4" w:space="0" w:color="000000"/>
              <w:bottom w:val="single" w:sz="4" w:space="0" w:color="000000"/>
              <w:right w:val="single" w:sz="4" w:space="0" w:color="000000"/>
            </w:tcBorders>
            <w:shd w:val="clear" w:color="auto" w:fill="auto"/>
            <w:vAlign w:val="center"/>
            <w:hideMark/>
          </w:tcPr>
          <w:p w:rsidR="00446F58" w:rsidRPr="00351771" w:rsidRDefault="00982CCC" w:rsidP="00351771">
            <w:pPr>
              <w:pStyle w:val="Tableheading"/>
              <w:rPr>
                <w:b w:val="0"/>
              </w:rPr>
            </w:pPr>
            <w:r>
              <w:rPr>
                <w:b w:val="0"/>
              </w:rPr>
              <w:t xml:space="preserve">Total </w:t>
            </w:r>
            <w:r w:rsidR="00446F58" w:rsidRPr="00351771">
              <w:rPr>
                <w:b w:val="0"/>
              </w:rPr>
              <w:t>Distribution Capital</w:t>
            </w:r>
            <w:r w:rsidR="00493518">
              <w:rPr>
                <w:b w:val="0"/>
              </w:rPr>
              <w:t xml:space="preserve"> (millions)</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465</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428</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383</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386</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387</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446F58" w:rsidRPr="00C53B30" w:rsidRDefault="00493518" w:rsidP="00351771">
            <w:pPr>
              <w:pStyle w:val="Tableheading"/>
              <w:rPr>
                <w:b w:val="0"/>
              </w:rPr>
            </w:pPr>
            <w:r w:rsidRPr="00493518">
              <w:rPr>
                <w:b w:val="0"/>
              </w:rPr>
              <w:t>$</w:t>
            </w:r>
            <w:r w:rsidR="00446F58" w:rsidRPr="00C53B30">
              <w:rPr>
                <w:b w:val="0"/>
              </w:rPr>
              <w:t>2,049</w:t>
            </w:r>
          </w:p>
        </w:tc>
      </w:tr>
      <w:tr w:rsidR="00446F58" w:rsidRPr="00336BE2" w:rsidTr="00933480">
        <w:trPr>
          <w:trHeight w:val="20"/>
          <w:jc w:val="center"/>
        </w:trPr>
        <w:tc>
          <w:tcPr>
            <w:tcW w:w="0" w:type="auto"/>
            <w:gridSpan w:val="7"/>
            <w:tcBorders>
              <w:top w:val="single" w:sz="4" w:space="0" w:color="auto"/>
              <w:left w:val="single" w:sz="4" w:space="0" w:color="000000"/>
              <w:bottom w:val="single" w:sz="4" w:space="0" w:color="000000"/>
              <w:right w:val="single" w:sz="4" w:space="0" w:color="000000"/>
            </w:tcBorders>
            <w:shd w:val="clear" w:color="auto" w:fill="auto"/>
            <w:vAlign w:val="center"/>
            <w:hideMark/>
          </w:tcPr>
          <w:p w:rsidR="00446F58" w:rsidRPr="00351771" w:rsidRDefault="00446F58" w:rsidP="00351771">
            <w:pPr>
              <w:pStyle w:val="Tableheading"/>
              <w:jc w:val="left"/>
              <w:rPr>
                <w:b w:val="0"/>
              </w:rPr>
            </w:pPr>
            <w:r w:rsidRPr="00351771">
              <w:rPr>
                <w:b w:val="0"/>
              </w:rPr>
              <w:t>Source:  PPL Corporation Annual Report 2015</w:t>
            </w:r>
          </w:p>
        </w:tc>
      </w:tr>
    </w:tbl>
    <w:p w:rsidR="00446F58" w:rsidRDefault="00446F58" w:rsidP="00446F58">
      <w:pPr>
        <w:pStyle w:val="Normal-aftertable"/>
        <w:rPr>
          <w:rFonts w:cs="Arial"/>
          <w:szCs w:val="24"/>
        </w:rPr>
      </w:pPr>
      <w:r>
        <w:t xml:space="preserve">Capital improvements in Distribution Operations are primarily focused on implementing the Long-Term Infrastructure Improvement </w:t>
      </w:r>
      <w:r w:rsidR="001B3E71">
        <w:t xml:space="preserve">Plan </w:t>
      </w:r>
      <w:r>
        <w:t xml:space="preserve">(LTIIP). </w:t>
      </w:r>
      <w:r>
        <w:rPr>
          <w:rFonts w:cs="Arial"/>
          <w:szCs w:val="24"/>
        </w:rPr>
        <w:t>The LTIIP was submitted to the PUC in 2012 for implementation of the Distribution System Improvement Charge (DSIC) and identifies a five year program of capital initiatives for improving the reliability and performance of the system.</w:t>
      </w:r>
      <w:r>
        <w:t xml:space="preserve">  </w:t>
      </w:r>
      <w:r>
        <w:rPr>
          <w:rFonts w:cs="Arial"/>
          <w:szCs w:val="24"/>
        </w:rPr>
        <w:t>The plan consists of five program elements with 32 program initiatives.  Major program elements include:</w:t>
      </w:r>
    </w:p>
    <w:p w:rsidR="00446F58" w:rsidRPr="00B93227" w:rsidRDefault="00446F58" w:rsidP="00446F58">
      <w:pPr>
        <w:pStyle w:val="Bullet"/>
      </w:pPr>
      <w:r w:rsidRPr="00B93227">
        <w:lastRenderedPageBreak/>
        <w:t>Asset Optimization Strategy (AOS)</w:t>
      </w:r>
    </w:p>
    <w:p w:rsidR="00446F58" w:rsidRPr="00B93227" w:rsidRDefault="00446F58" w:rsidP="00446F58">
      <w:pPr>
        <w:pStyle w:val="Bullet"/>
      </w:pPr>
      <w:r w:rsidRPr="00B93227">
        <w:t xml:space="preserve">Improve System Reliability (includes </w:t>
      </w:r>
      <w:r w:rsidR="00C62B14">
        <w:t xml:space="preserve">reliability projects targeted at upgrades and improvements to existing assets, such as reconductoring circuits, relocating inaccessible portions of lines, adding animal guarding, and projects targeted at improving </w:t>
      </w:r>
      <w:r w:rsidR="00A052DD">
        <w:t>its</w:t>
      </w:r>
      <w:r w:rsidR="00C62B14">
        <w:t xml:space="preserve"> worst performing circuits</w:t>
      </w:r>
      <w:r w:rsidRPr="00B93227">
        <w:t>)</w:t>
      </w:r>
      <w:r w:rsidR="00C62B14">
        <w:t>.</w:t>
      </w:r>
    </w:p>
    <w:p w:rsidR="00446F58" w:rsidRPr="00B93227" w:rsidRDefault="00446F58" w:rsidP="00446F58">
      <w:pPr>
        <w:pStyle w:val="Bullet"/>
      </w:pPr>
      <w:r w:rsidRPr="00B93227">
        <w:t>Smart Grid Investment</w:t>
      </w:r>
    </w:p>
    <w:p w:rsidR="00446F58" w:rsidRPr="00B93227" w:rsidRDefault="00446F58" w:rsidP="00446F58">
      <w:pPr>
        <w:pStyle w:val="Bullet"/>
      </w:pPr>
      <w:r w:rsidRPr="00B93227">
        <w:t>Maintain System Reliability (</w:t>
      </w:r>
      <w:r w:rsidR="00C62B14">
        <w:t xml:space="preserve">includes investments focused on maintaining the reliability of </w:t>
      </w:r>
      <w:r w:rsidR="00A052DD">
        <w:t xml:space="preserve">the </w:t>
      </w:r>
      <w:r w:rsidR="00C62B14">
        <w:t>Distribution system through activities such as replacing deteriorated, obsolete or failed equipment</w:t>
      </w:r>
      <w:r w:rsidRPr="00B93227">
        <w:t>)</w:t>
      </w:r>
      <w:r w:rsidR="00C62B14">
        <w:t>.</w:t>
      </w:r>
    </w:p>
    <w:p w:rsidR="00446F58" w:rsidRDefault="00446F58" w:rsidP="00446F58">
      <w:pPr>
        <w:pStyle w:val="Bullet"/>
      </w:pPr>
      <w:r w:rsidRPr="00B93227">
        <w:t>Unreimbursed</w:t>
      </w:r>
      <w:r>
        <w:t xml:space="preserve"> Highway Relocations (PennDOT)</w:t>
      </w:r>
    </w:p>
    <w:p w:rsidR="00446F58" w:rsidRDefault="00446F58" w:rsidP="00446F58">
      <w:pPr>
        <w:pStyle w:val="Normal-aftertable"/>
      </w:pPr>
      <w:r>
        <w:t xml:space="preserve">Additionally, to meet </w:t>
      </w:r>
      <w:r w:rsidRPr="00963325">
        <w:t>Act 129 requirements</w:t>
      </w:r>
      <w:r>
        <w:t xml:space="preserve"> in connection with its Smart Meter Plan, </w:t>
      </w:r>
      <w:r w:rsidRPr="00963325">
        <w:t>PPL E</w:t>
      </w:r>
      <w:r>
        <w:t>U</w:t>
      </w:r>
      <w:r w:rsidRPr="00963325">
        <w:t xml:space="preserve"> proposes to replace all of its current meters with new meters by the end of 2019.</w:t>
      </w:r>
      <w:r>
        <w:t xml:space="preserve"> </w:t>
      </w:r>
      <w:r w:rsidRPr="00963325">
        <w:t xml:space="preserve"> The total cost of the project is e</w:t>
      </w:r>
      <w:r>
        <w:t>stimated to be approximately $471</w:t>
      </w:r>
      <w:r w:rsidRPr="00963325">
        <w:t xml:space="preserve"> mill</w:t>
      </w:r>
      <w:r>
        <w:t>ion, of which approximately $406</w:t>
      </w:r>
      <w:r w:rsidRPr="00963325">
        <w:t xml:space="preserve"> million is expected to be capital.</w:t>
      </w:r>
      <w:r>
        <w:t xml:space="preserve"> </w:t>
      </w:r>
      <w:r w:rsidRPr="00963325">
        <w:t xml:space="preserve"> </w:t>
      </w:r>
    </w:p>
    <w:p w:rsidR="00446F58" w:rsidRDefault="00446F58" w:rsidP="00446F58">
      <w:r w:rsidRPr="00F77FEC">
        <w:t>As indicated above, although annual capital</w:t>
      </w:r>
      <w:r>
        <w:t xml:space="preserve"> outlays peak at $465</w:t>
      </w:r>
      <w:r w:rsidRPr="00F77FEC">
        <w:t xml:space="preserve"> million in 2016, projections call for high spending levels over the</w:t>
      </w:r>
      <w:r>
        <w:t xml:space="preserve"> entire</w:t>
      </w:r>
      <w:r w:rsidRPr="00F77FEC">
        <w:t xml:space="preserve"> five year period </w:t>
      </w:r>
      <w:r>
        <w:t>and total over $2.0</w:t>
      </w:r>
      <w:r w:rsidRPr="00F77FEC">
        <w:t xml:space="preserve"> billion.</w:t>
      </w:r>
    </w:p>
    <w:p w:rsidR="00454FDD" w:rsidRDefault="00454FDD" w:rsidP="00454FDD">
      <w:r>
        <w:t>A comprehensive review of Transmission and Substations and Distribution Operations capital planning activities is contained in Chapter VI</w:t>
      </w:r>
      <w:r w:rsidR="008E2BD7">
        <w:t>, Transmission and Distribution</w:t>
      </w:r>
      <w:r>
        <w:t>.</w:t>
      </w:r>
    </w:p>
    <w:p w:rsidR="00144C8A" w:rsidRDefault="008F0626" w:rsidP="00144C8A">
      <w:pPr>
        <w:pStyle w:val="Heading30"/>
      </w:pPr>
      <w:r w:rsidRPr="00E51FF4">
        <w:t>Risk Factors</w:t>
      </w:r>
    </w:p>
    <w:p w:rsidR="008F0626" w:rsidRPr="00E51FF4" w:rsidRDefault="008F0626" w:rsidP="008F0626">
      <w:pPr>
        <w:rPr>
          <w:rFonts w:cs="Arial"/>
          <w:szCs w:val="24"/>
        </w:rPr>
      </w:pPr>
      <w:bookmarkStart w:id="23" w:name="OLE_LINK1"/>
      <w:bookmarkStart w:id="24" w:name="OLE_LINK2"/>
      <w:bookmarkEnd w:id="23"/>
      <w:bookmarkEnd w:id="24"/>
      <w:r>
        <w:rPr>
          <w:rFonts w:cs="Arial"/>
          <w:color w:val="000000"/>
          <w:szCs w:val="24"/>
        </w:rPr>
        <w:t>The following are the risk factors relate</w:t>
      </w:r>
      <w:r w:rsidR="001B3E71">
        <w:rPr>
          <w:rFonts w:cs="Arial"/>
          <w:color w:val="000000"/>
          <w:szCs w:val="24"/>
        </w:rPr>
        <w:t>d</w:t>
      </w:r>
      <w:r>
        <w:rPr>
          <w:rFonts w:cs="Arial"/>
          <w:color w:val="000000"/>
          <w:szCs w:val="24"/>
        </w:rPr>
        <w:t xml:space="preserve"> to PPL EU</w:t>
      </w:r>
      <w:r w:rsidR="001B3E71">
        <w:rPr>
          <w:rFonts w:cs="Arial"/>
          <w:color w:val="000000"/>
          <w:szCs w:val="24"/>
        </w:rPr>
        <w:t xml:space="preserve"> as set forth in PPL EU’s Annual Report filed on Form 10-K</w:t>
      </w:r>
      <w:r>
        <w:rPr>
          <w:rFonts w:cs="Arial"/>
          <w:color w:val="000000"/>
          <w:szCs w:val="24"/>
        </w:rPr>
        <w:t>:</w:t>
      </w:r>
    </w:p>
    <w:p w:rsidR="006721D8" w:rsidRDefault="006721D8" w:rsidP="008F0626">
      <w:pPr>
        <w:pStyle w:val="Bullet"/>
      </w:pPr>
      <w:r>
        <w:t>Operation of PPL EU is subject to cyber-based security and integrity risks.</w:t>
      </w:r>
    </w:p>
    <w:p w:rsidR="006721D8" w:rsidRDefault="006721D8" w:rsidP="006721D8">
      <w:pPr>
        <w:pStyle w:val="Bullet"/>
      </w:pPr>
      <w:r>
        <w:t>PPL EU’s profitability is highly dependent on its ability to recover the costs of providing energy and utility services to its customers and earn an adequate return on its capital investments. Regulators may not approve the rates requested and existing rates may be challenged.</w:t>
      </w:r>
    </w:p>
    <w:p w:rsidR="006721D8" w:rsidRDefault="006721D8" w:rsidP="006721D8">
      <w:pPr>
        <w:pStyle w:val="Bullet"/>
      </w:pPr>
      <w:r>
        <w:t xml:space="preserve">PPL EU is </w:t>
      </w:r>
      <w:r w:rsidRPr="006721D8">
        <w:t>subject to significant and complex governmental regulation</w:t>
      </w:r>
      <w:r w:rsidR="00C83052">
        <w:t xml:space="preserve"> including </w:t>
      </w:r>
      <w:r w:rsidR="00C83052" w:rsidRPr="00C83052">
        <w:t>require</w:t>
      </w:r>
      <w:r w:rsidR="00C83052">
        <w:t>ments</w:t>
      </w:r>
      <w:r w:rsidR="00C83052" w:rsidRPr="00C83052">
        <w:t xml:space="preserve"> to obtain, and to comply with, government permits and approvals.</w:t>
      </w:r>
    </w:p>
    <w:p w:rsidR="006721D8" w:rsidRDefault="006721D8" w:rsidP="006721D8">
      <w:pPr>
        <w:pStyle w:val="Bullet"/>
      </w:pPr>
      <w:r>
        <w:t>PPL EU undertakes significant capital projects and these activities are subject to unforeseen costs, delays</w:t>
      </w:r>
      <w:r w:rsidR="00BD154F">
        <w:t>,</w:t>
      </w:r>
      <w:r>
        <w:t xml:space="preserve"> or failures, as well as risk of inadequate recovery of resulting costs.</w:t>
      </w:r>
    </w:p>
    <w:p w:rsidR="006721D8" w:rsidRDefault="006721D8" w:rsidP="006721D8">
      <w:pPr>
        <w:pStyle w:val="Bullet"/>
      </w:pPr>
      <w:r>
        <w:t>PPL EU is subject to the risk that its</w:t>
      </w:r>
      <w:r w:rsidRPr="006721D8">
        <w:t xml:space="preserve"> workforce and its knowledge base may become depleted in coming years.</w:t>
      </w:r>
    </w:p>
    <w:p w:rsidR="006721D8" w:rsidRDefault="006721D8" w:rsidP="006721D8">
      <w:pPr>
        <w:pStyle w:val="Bullet"/>
      </w:pPr>
      <w:r>
        <w:t>PPL EU plans to selectively pursue growth of its transmission capacity, which involves a number of uncertainties and may not achieve the desired financial results.</w:t>
      </w:r>
    </w:p>
    <w:p w:rsidR="006721D8" w:rsidRDefault="006721D8" w:rsidP="006721D8">
      <w:pPr>
        <w:pStyle w:val="Bullet"/>
      </w:pPr>
      <w:r>
        <w:t xml:space="preserve">PPL EU faces </w:t>
      </w:r>
      <w:r w:rsidRPr="006721D8">
        <w:t xml:space="preserve">competition for transmission projects, </w:t>
      </w:r>
      <w:r>
        <w:t>which could adversely affect its</w:t>
      </w:r>
      <w:r w:rsidRPr="006721D8">
        <w:t xml:space="preserve"> rate base growth</w:t>
      </w:r>
      <w:r>
        <w:t>.</w:t>
      </w:r>
    </w:p>
    <w:p w:rsidR="006721D8" w:rsidRDefault="006721D8" w:rsidP="006721D8">
      <w:pPr>
        <w:pStyle w:val="Bullet"/>
      </w:pPr>
      <w:r>
        <w:t xml:space="preserve">PPL EU could </w:t>
      </w:r>
      <w:r w:rsidRPr="006721D8">
        <w:t>be subject to higher costs and/or penalties related to Pennsylvania Conservation and Energy Efficiency Programs.</w:t>
      </w:r>
    </w:p>
    <w:p w:rsidR="006721D8" w:rsidRDefault="006721D8" w:rsidP="00692039">
      <w:pPr>
        <w:pStyle w:val="Bullet"/>
      </w:pPr>
      <w:r>
        <w:lastRenderedPageBreak/>
        <w:t>PPL EU is</w:t>
      </w:r>
      <w:r w:rsidR="00BD154F">
        <w:t>,</w:t>
      </w:r>
      <w:r>
        <w:t xml:space="preserve"> or may be</w:t>
      </w:r>
      <w:r w:rsidR="00BD154F">
        <w:t>,</w:t>
      </w:r>
      <w:r w:rsidRPr="006721D8">
        <w:t xml:space="preserve"> </w:t>
      </w:r>
      <w:r>
        <w:t xml:space="preserve">subject to costs of remediation of environmental contamination at facilities </w:t>
      </w:r>
      <w:r w:rsidR="00692039">
        <w:t xml:space="preserve">it </w:t>
      </w:r>
      <w:r>
        <w:t>owned or operate</w:t>
      </w:r>
      <w:r w:rsidR="00692039">
        <w:t>d</w:t>
      </w:r>
      <w:r>
        <w:t>.</w:t>
      </w:r>
    </w:p>
    <w:p w:rsidR="00692039" w:rsidRDefault="00692039" w:rsidP="00692039">
      <w:pPr>
        <w:pStyle w:val="Bullet"/>
      </w:pPr>
      <w:r>
        <w:t>Increases in electricity prices and/or a weak economy can lead to changes in legislative and regulatory policy, including the promotion of energy efficiency, conservation</w:t>
      </w:r>
      <w:r w:rsidR="00BD154F">
        <w:t>,</w:t>
      </w:r>
      <w:r>
        <w:t xml:space="preserve"> and distributed generation or self-generation, which may adversely impact PPL EU.</w:t>
      </w:r>
    </w:p>
    <w:p w:rsidR="00692039" w:rsidRDefault="00692039" w:rsidP="00212877">
      <w:pPr>
        <w:pStyle w:val="Bullet"/>
      </w:pPr>
      <w:r>
        <w:t>PPL EU could be negatively affected by</w:t>
      </w:r>
      <w:r w:rsidR="00573549">
        <w:t xml:space="preserve"> disruption in financial markets,</w:t>
      </w:r>
      <w:r>
        <w:t xml:space="preserve"> rising interest rates, downgrades to its credit ratings, adverse credit market conditions</w:t>
      </w:r>
      <w:r w:rsidR="00BD154F">
        <w:t>,</w:t>
      </w:r>
      <w:r>
        <w:t xml:space="preserve"> or other negative developments in its ability to access capital markets.</w:t>
      </w:r>
    </w:p>
    <w:p w:rsidR="00692039" w:rsidRDefault="00692039" w:rsidP="00212877">
      <w:pPr>
        <w:pStyle w:val="Bullet"/>
      </w:pPr>
      <w:r>
        <w:t xml:space="preserve">PPL EU’s </w:t>
      </w:r>
      <w:r w:rsidRPr="00692039">
        <w:t>operating</w:t>
      </w:r>
      <w:r w:rsidR="00573549">
        <w:t xml:space="preserve"> performance</w:t>
      </w:r>
      <w:r w:rsidRPr="00692039">
        <w:t xml:space="preserve"> could fluctuate on a seasonal basis, especially as a result of extreme weather conditions</w:t>
      </w:r>
      <w:r>
        <w:t>, including storms, as well as by significant man-made or accidental disturbances, including</w:t>
      </w:r>
      <w:r w:rsidR="00573549">
        <w:t xml:space="preserve"> terrorism or natural disasters as well as the</w:t>
      </w:r>
      <w:r w:rsidRPr="00692039">
        <w:t xml:space="preserve"> potential effects of climate change.</w:t>
      </w:r>
    </w:p>
    <w:p w:rsidR="00692039" w:rsidRDefault="00692039" w:rsidP="00212877">
      <w:pPr>
        <w:pStyle w:val="Bullet"/>
      </w:pPr>
      <w:r>
        <w:t>The outcome of legal proceedings and investigations currently bei</w:t>
      </w:r>
      <w:r w:rsidR="00F60C79">
        <w:t>ng conducted with respect to PPL EU’s</w:t>
      </w:r>
      <w:r>
        <w:t xml:space="preserve"> current and past business</w:t>
      </w:r>
      <w:r w:rsidR="00F60C79">
        <w:t xml:space="preserve"> </w:t>
      </w:r>
      <w:r>
        <w:t>activities.</w:t>
      </w:r>
      <w:r w:rsidR="00BD154F">
        <w:t xml:space="preserve"> </w:t>
      </w:r>
      <w:r>
        <w:t xml:space="preserve"> An adverse determination could have a material adverse effect on </w:t>
      </w:r>
      <w:r w:rsidR="00F60C79">
        <w:t>its</w:t>
      </w:r>
      <w:r>
        <w:t xml:space="preserve"> financial condition, results of operations</w:t>
      </w:r>
      <w:r w:rsidR="00BD154F">
        <w:t>,</w:t>
      </w:r>
      <w:r>
        <w:t xml:space="preserve"> or cash flows.</w:t>
      </w:r>
    </w:p>
    <w:p w:rsidR="00F60C79" w:rsidRDefault="00F60C79" w:rsidP="00212877">
      <w:pPr>
        <w:pStyle w:val="Bullet"/>
      </w:pPr>
      <w:r>
        <w:t>Significant increases in PPL EU’s operation and maintenance expenses, including health care and pension costs, could adversely affect future earnings and liquidity.</w:t>
      </w:r>
    </w:p>
    <w:p w:rsidR="00A85252" w:rsidRDefault="00A85252" w:rsidP="00212877">
      <w:pPr>
        <w:pStyle w:val="Bullet"/>
      </w:pPr>
      <w:r>
        <w:t xml:space="preserve">PPL EU is </w:t>
      </w:r>
      <w:r w:rsidRPr="00A85252">
        <w:t xml:space="preserve">subject to liability risks relating to </w:t>
      </w:r>
      <w:r>
        <w:t>its</w:t>
      </w:r>
      <w:r w:rsidRPr="00A85252">
        <w:t xml:space="preserve"> transmission and distribution operations.</w:t>
      </w:r>
    </w:p>
    <w:p w:rsidR="00C83052" w:rsidRDefault="00C83052" w:rsidP="00212877">
      <w:pPr>
        <w:pStyle w:val="Bullet"/>
      </w:pPr>
      <w:r>
        <w:t>PPL EU’s facilities may not operate as planned, which may increase expenses and decrease revenues and have an adverse effect on its financial performance.</w:t>
      </w:r>
    </w:p>
    <w:p w:rsidR="00C83052" w:rsidRDefault="00C83052" w:rsidP="00212877">
      <w:pPr>
        <w:pStyle w:val="Bullet"/>
      </w:pPr>
      <w:r>
        <w:t>PPL EU is</w:t>
      </w:r>
      <w:r w:rsidRPr="00C83052">
        <w:t xml:space="preserve"> subject to risks associated with federal and state tax laws and regulations.</w:t>
      </w:r>
    </w:p>
    <w:p w:rsidR="00C83052" w:rsidRDefault="00C83052" w:rsidP="00212877">
      <w:pPr>
        <w:pStyle w:val="Bullet"/>
      </w:pPr>
      <w:r w:rsidRPr="00C83052">
        <w:t>War, other armed conflicts</w:t>
      </w:r>
      <w:r w:rsidR="00BD154F">
        <w:t>,</w:t>
      </w:r>
      <w:r w:rsidRPr="00C83052">
        <w:t xml:space="preserve"> or terrorist attacks could have </w:t>
      </w:r>
      <w:r>
        <w:t>a material adverse effect on PPL EU’s</w:t>
      </w:r>
      <w:r w:rsidRPr="00C83052">
        <w:t xml:space="preserve"> business.</w:t>
      </w:r>
    </w:p>
    <w:p w:rsidR="008F0626" w:rsidRDefault="00C83052" w:rsidP="00212877">
      <w:pPr>
        <w:pStyle w:val="Bullet"/>
      </w:pPr>
      <w:r>
        <w:t>PPL EU is subject to counterparty performance, credit</w:t>
      </w:r>
      <w:r w:rsidR="00771FE1">
        <w:t>,</w:t>
      </w:r>
      <w:r>
        <w:t xml:space="preserve"> or other risk in the provision of goods or services to it, which could adversely affect its ability to operate facilities or conduct business activities.</w:t>
      </w:r>
    </w:p>
    <w:p w:rsidR="00144C8A" w:rsidRDefault="00485BB2" w:rsidP="00144C8A">
      <w:pPr>
        <w:pStyle w:val="Heading30"/>
      </w:pPr>
      <w:r>
        <w:t>Rating Agency Actions</w:t>
      </w:r>
    </w:p>
    <w:p w:rsidR="00485BB2" w:rsidRDefault="00485BB2" w:rsidP="00485BB2">
      <w:r>
        <w:t xml:space="preserve">During 2015, </w:t>
      </w:r>
      <w:r w:rsidR="00166B9D">
        <w:t xml:space="preserve">the </w:t>
      </w:r>
      <w:r>
        <w:t>debt rating agencies Moody’s and Standard &amp; Poor</w:t>
      </w:r>
      <w:r w:rsidR="00166B9D">
        <w:t>’</w:t>
      </w:r>
      <w:r>
        <w:t>s (S&amp;P) took the following actions in connection with PPL EU debt</w:t>
      </w:r>
      <w:r w:rsidR="00BD154F">
        <w:t>:</w:t>
      </w:r>
    </w:p>
    <w:p w:rsidR="00485BB2" w:rsidRDefault="00485BB2" w:rsidP="00485BB2">
      <w:pPr>
        <w:pStyle w:val="Bullet"/>
      </w:pPr>
      <w:r>
        <w:t>In May 2015, Moody's affirmed its ratings and revised its outlook to positive for PPL EU.</w:t>
      </w:r>
    </w:p>
    <w:p w:rsidR="00485BB2" w:rsidRDefault="00485BB2" w:rsidP="00485BB2">
      <w:pPr>
        <w:pStyle w:val="Bullet"/>
      </w:pPr>
      <w:r>
        <w:t>In June 2015, S&amp;P affirmed its commercial paper rating and upgraded the following ratings with a stable outlook for PPL EU:</w:t>
      </w:r>
    </w:p>
    <w:p w:rsidR="00485BB2" w:rsidRDefault="00771FE1" w:rsidP="00485BB2">
      <w:pPr>
        <w:pStyle w:val="Bullet-indent1"/>
      </w:pPr>
      <w:r>
        <w:t>T</w:t>
      </w:r>
      <w:r w:rsidR="00485BB2">
        <w:t>he long-term issuer rating from BBB to A-</w:t>
      </w:r>
    </w:p>
    <w:p w:rsidR="00485BB2" w:rsidRDefault="00771FE1" w:rsidP="00485BB2">
      <w:pPr>
        <w:pStyle w:val="Bullet-indent1"/>
      </w:pPr>
      <w:r>
        <w:t>T</w:t>
      </w:r>
      <w:r w:rsidR="00485BB2">
        <w:t>he senior secured rating from A- to A</w:t>
      </w:r>
    </w:p>
    <w:p w:rsidR="00485BB2" w:rsidRDefault="00485BB2" w:rsidP="00485BB2">
      <w:pPr>
        <w:pStyle w:val="Bullet"/>
      </w:pPr>
      <w:r>
        <w:t>In September 2015, Moody's affirmed its commercial paper rating and upgraded the following ratings with a stable outlook for PPL EU:</w:t>
      </w:r>
    </w:p>
    <w:p w:rsidR="00485BB2" w:rsidRDefault="00771FE1" w:rsidP="00485BB2">
      <w:pPr>
        <w:pStyle w:val="Bullet-indent1"/>
      </w:pPr>
      <w:r>
        <w:lastRenderedPageBreak/>
        <w:t>T</w:t>
      </w:r>
      <w:r w:rsidR="00485BB2">
        <w:t>he long-term issuer rating from Baa1 to A3</w:t>
      </w:r>
    </w:p>
    <w:p w:rsidR="00485BB2" w:rsidRDefault="00771FE1" w:rsidP="00485BB2">
      <w:pPr>
        <w:pStyle w:val="Bullet-indent1"/>
      </w:pPr>
      <w:r>
        <w:t>T</w:t>
      </w:r>
      <w:r w:rsidR="00485BB2">
        <w:t>he senior secured rating from A2 to A1</w:t>
      </w:r>
    </w:p>
    <w:p w:rsidR="00485BB2" w:rsidRPr="002034CF" w:rsidRDefault="00485BB2" w:rsidP="00485BB2">
      <w:pPr>
        <w:pStyle w:val="Bullet"/>
      </w:pPr>
      <w:r>
        <w:t>In September 2015, Moody's and S&amp;P assigned ratings of A1 and A to PPL EU's $350 million</w:t>
      </w:r>
      <w:r w:rsidR="00BD154F">
        <w:t>,</w:t>
      </w:r>
      <w:r>
        <w:t xml:space="preserve"> 4.15% First Mortgage Bonds due </w:t>
      </w:r>
      <w:r w:rsidR="00BD154F">
        <w:t xml:space="preserve">in </w:t>
      </w:r>
      <w:r>
        <w:t>2045.</w:t>
      </w:r>
    </w:p>
    <w:p w:rsidR="008F0626" w:rsidRDefault="003733B1" w:rsidP="00356110">
      <w:pPr>
        <w:pStyle w:val="Heading30"/>
      </w:pPr>
      <w:r>
        <w:t xml:space="preserve">PPL EU </w:t>
      </w:r>
      <w:r w:rsidR="008F0626">
        <w:t xml:space="preserve">regulatory matters </w:t>
      </w:r>
    </w:p>
    <w:p w:rsidR="008F0626" w:rsidRPr="00963325" w:rsidRDefault="008F0626" w:rsidP="008F0626">
      <w:pPr>
        <w:pStyle w:val="Heading40"/>
      </w:pPr>
      <w:r w:rsidRPr="00963325">
        <w:t>Rate Case Proceeding</w:t>
      </w:r>
    </w:p>
    <w:p w:rsidR="008F0626" w:rsidRPr="00963325" w:rsidRDefault="008F0626" w:rsidP="0029370F">
      <w:pPr>
        <w:rPr>
          <w:rFonts w:cs="Helv"/>
          <w:color w:val="000000"/>
          <w:szCs w:val="20"/>
        </w:rPr>
      </w:pPr>
      <w:r>
        <w:rPr>
          <w:rFonts w:cs="Helv"/>
          <w:color w:val="000000"/>
          <w:szCs w:val="20"/>
        </w:rPr>
        <w:t>On March 31, 2015, PPL EU</w:t>
      </w:r>
      <w:r w:rsidRPr="00963325">
        <w:rPr>
          <w:rFonts w:cs="Helv"/>
          <w:color w:val="000000"/>
          <w:szCs w:val="20"/>
        </w:rPr>
        <w:t xml:space="preserve"> filed a request with the PUC for an increase in its annual distribution revenue requirement of approximately $167.5 million. The application was based on a fully projected future test year of January 1, 2016 through December 31, 2016.</w:t>
      </w:r>
      <w:r w:rsidR="00601CE7">
        <w:rPr>
          <w:rFonts w:cs="Helv"/>
          <w:color w:val="000000"/>
          <w:szCs w:val="20"/>
        </w:rPr>
        <w:t xml:space="preserve"> </w:t>
      </w:r>
      <w:r w:rsidRPr="00963325">
        <w:rPr>
          <w:rFonts w:cs="Helv"/>
          <w:color w:val="000000"/>
          <w:szCs w:val="20"/>
        </w:rPr>
        <w:t xml:space="preserve"> On September 3, 2015, PPL E</w:t>
      </w:r>
      <w:r>
        <w:rPr>
          <w:rFonts w:cs="Helv"/>
          <w:color w:val="000000"/>
          <w:szCs w:val="20"/>
        </w:rPr>
        <w:t>U</w:t>
      </w:r>
      <w:r w:rsidRPr="00963325">
        <w:rPr>
          <w:rFonts w:cs="Helv"/>
          <w:color w:val="000000"/>
          <w:szCs w:val="20"/>
        </w:rPr>
        <w:t xml:space="preserve"> filed with the PUC Administrative Law Judge a petition for approval of a settlement agreement under which PPL E</w:t>
      </w:r>
      <w:r>
        <w:rPr>
          <w:rFonts w:cs="Helv"/>
          <w:color w:val="000000"/>
          <w:szCs w:val="20"/>
        </w:rPr>
        <w:t>U</w:t>
      </w:r>
      <w:r w:rsidRPr="00963325">
        <w:rPr>
          <w:rFonts w:cs="Helv"/>
          <w:color w:val="000000"/>
          <w:szCs w:val="20"/>
        </w:rPr>
        <w:t xml:space="preserve"> would be permitted to increase its annual distribution rates by $124 million, effective January 1, 2016. </w:t>
      </w:r>
      <w:r w:rsidR="00601CE7">
        <w:rPr>
          <w:rFonts w:cs="Helv"/>
          <w:color w:val="000000"/>
          <w:szCs w:val="20"/>
        </w:rPr>
        <w:t xml:space="preserve"> </w:t>
      </w:r>
      <w:r w:rsidR="0029370F" w:rsidRPr="0029370F">
        <w:rPr>
          <w:rFonts w:cs="Helv"/>
          <w:color w:val="000000"/>
          <w:szCs w:val="20"/>
        </w:rPr>
        <w:t>On November 19, 2015, the PUC entered a final order adopting</w:t>
      </w:r>
      <w:r w:rsidR="0029370F">
        <w:rPr>
          <w:rFonts w:cs="Helv"/>
          <w:color w:val="000000"/>
          <w:szCs w:val="20"/>
        </w:rPr>
        <w:t xml:space="preserve"> the Administrative Law Judge's </w:t>
      </w:r>
      <w:r w:rsidR="0029370F" w:rsidRPr="0029370F">
        <w:rPr>
          <w:rFonts w:cs="Helv"/>
          <w:color w:val="000000"/>
          <w:szCs w:val="20"/>
        </w:rPr>
        <w:t>decision</w:t>
      </w:r>
      <w:r w:rsidR="00005EA5">
        <w:rPr>
          <w:rFonts w:cs="Helv"/>
          <w:color w:val="000000"/>
          <w:szCs w:val="20"/>
        </w:rPr>
        <w:t xml:space="preserve"> that recommend</w:t>
      </w:r>
      <w:r w:rsidR="002A2C2C">
        <w:rPr>
          <w:rFonts w:cs="Helv"/>
          <w:color w:val="000000"/>
          <w:szCs w:val="20"/>
        </w:rPr>
        <w:t>ed</w:t>
      </w:r>
      <w:r w:rsidR="00005EA5">
        <w:rPr>
          <w:rFonts w:cs="Helv"/>
          <w:color w:val="000000"/>
          <w:szCs w:val="20"/>
        </w:rPr>
        <w:t xml:space="preserve"> approval of the settlement</w:t>
      </w:r>
      <w:r w:rsidR="0029370F" w:rsidRPr="0029370F">
        <w:rPr>
          <w:rFonts w:cs="Helv"/>
          <w:color w:val="000000"/>
          <w:szCs w:val="20"/>
        </w:rPr>
        <w:t xml:space="preserve">. </w:t>
      </w:r>
      <w:r w:rsidR="0060567F">
        <w:rPr>
          <w:rFonts w:cs="Helv"/>
          <w:color w:val="000000"/>
          <w:szCs w:val="20"/>
        </w:rPr>
        <w:t xml:space="preserve"> </w:t>
      </w:r>
      <w:r w:rsidR="00C561F0">
        <w:rPr>
          <w:rFonts w:cs="Helv"/>
          <w:color w:val="000000"/>
          <w:szCs w:val="20"/>
        </w:rPr>
        <w:t>T</w:t>
      </w:r>
      <w:r w:rsidR="00C56E69">
        <w:rPr>
          <w:rFonts w:cs="Helv"/>
          <w:color w:val="000000"/>
          <w:szCs w:val="20"/>
        </w:rPr>
        <w:t>he settlement included</w:t>
      </w:r>
      <w:r w:rsidR="00C56E69" w:rsidRPr="00C56E69">
        <w:rPr>
          <w:rFonts w:cs="Helv"/>
          <w:color w:val="000000"/>
          <w:szCs w:val="20"/>
        </w:rPr>
        <w:t xml:space="preserve"> the elimination of a proposed daily customer charge, withdrawal of a PPL</w:t>
      </w:r>
      <w:r w:rsidR="00C56E69">
        <w:rPr>
          <w:rFonts w:cs="Helv"/>
          <w:color w:val="000000"/>
          <w:szCs w:val="20"/>
        </w:rPr>
        <w:t xml:space="preserve"> EU proposal to increase its DSIC</w:t>
      </w:r>
      <w:r w:rsidR="00C56E69" w:rsidRPr="00C56E69">
        <w:rPr>
          <w:rFonts w:cs="Helv"/>
          <w:color w:val="000000"/>
          <w:szCs w:val="20"/>
        </w:rPr>
        <w:t xml:space="preserve"> from five percent to 7.5 percent, increases in PPL</w:t>
      </w:r>
      <w:r w:rsidR="00C56E69">
        <w:rPr>
          <w:rFonts w:cs="Helv"/>
          <w:color w:val="000000"/>
          <w:szCs w:val="20"/>
        </w:rPr>
        <w:t xml:space="preserve"> EU</w:t>
      </w:r>
      <w:r w:rsidR="00C56E69" w:rsidRPr="00C56E69">
        <w:rPr>
          <w:rFonts w:cs="Helv"/>
          <w:color w:val="000000"/>
          <w:szCs w:val="20"/>
        </w:rPr>
        <w:t>’s Customer Assistance Program and Low Income Usage Reduction Program and enhanced efforts to educate more consumers about these services.</w:t>
      </w:r>
      <w:r w:rsidR="00C56E69">
        <w:rPr>
          <w:rFonts w:cs="Helv"/>
          <w:color w:val="000000"/>
          <w:szCs w:val="20"/>
        </w:rPr>
        <w:t xml:space="preserve"> </w:t>
      </w:r>
      <w:r w:rsidR="0029370F" w:rsidRPr="0029370F">
        <w:rPr>
          <w:rFonts w:cs="Helv"/>
          <w:color w:val="000000"/>
          <w:szCs w:val="20"/>
        </w:rPr>
        <w:t>The new rates became effective January 1, 2016.</w:t>
      </w:r>
    </w:p>
    <w:p w:rsidR="008F0626" w:rsidRPr="00963325" w:rsidRDefault="008F0626" w:rsidP="008F0626">
      <w:pPr>
        <w:pStyle w:val="Heading40"/>
      </w:pPr>
      <w:r w:rsidRPr="00963325">
        <w:t xml:space="preserve">Storm Damage Expense Rider </w:t>
      </w:r>
    </w:p>
    <w:p w:rsidR="008F0626" w:rsidRPr="00963325" w:rsidRDefault="008F0626" w:rsidP="008F0626">
      <w:pPr>
        <w:rPr>
          <w:rFonts w:cs="Helv"/>
          <w:color w:val="000000"/>
          <w:szCs w:val="20"/>
        </w:rPr>
      </w:pPr>
      <w:r w:rsidRPr="00963325">
        <w:rPr>
          <w:rFonts w:cs="Helv"/>
          <w:color w:val="000000"/>
          <w:szCs w:val="20"/>
        </w:rPr>
        <w:t>In its December 28, 2012 final rate case order, the PUC directed PPL E</w:t>
      </w:r>
      <w:r>
        <w:rPr>
          <w:rFonts w:cs="Helv"/>
          <w:color w:val="000000"/>
          <w:szCs w:val="20"/>
        </w:rPr>
        <w:t>U</w:t>
      </w:r>
      <w:r w:rsidRPr="00963325">
        <w:rPr>
          <w:rFonts w:cs="Helv"/>
          <w:color w:val="000000"/>
          <w:szCs w:val="20"/>
        </w:rPr>
        <w:t xml:space="preserve"> to file a proposed </w:t>
      </w:r>
      <w:r w:rsidR="00482EDF">
        <w:rPr>
          <w:rFonts w:cs="Helv"/>
          <w:color w:val="000000"/>
          <w:szCs w:val="20"/>
        </w:rPr>
        <w:t>Storm Damage Expense Rider (</w:t>
      </w:r>
      <w:r w:rsidRPr="00963325">
        <w:rPr>
          <w:rFonts w:cs="Helv"/>
          <w:color w:val="000000"/>
          <w:szCs w:val="20"/>
        </w:rPr>
        <w:t>SDER</w:t>
      </w:r>
      <w:r w:rsidR="00482EDF">
        <w:rPr>
          <w:rFonts w:cs="Helv"/>
          <w:color w:val="000000"/>
          <w:szCs w:val="20"/>
        </w:rPr>
        <w:t>)</w:t>
      </w:r>
      <w:r w:rsidRPr="00963325">
        <w:rPr>
          <w:rFonts w:cs="Helv"/>
          <w:color w:val="000000"/>
          <w:szCs w:val="20"/>
        </w:rPr>
        <w:t>. The SDER is a reconcilable automatic adjustment clause under which PPL E</w:t>
      </w:r>
      <w:r>
        <w:rPr>
          <w:rFonts w:cs="Helv"/>
          <w:color w:val="000000"/>
          <w:szCs w:val="20"/>
        </w:rPr>
        <w:t>U</w:t>
      </w:r>
      <w:r w:rsidRPr="00963325">
        <w:rPr>
          <w:rFonts w:cs="Helv"/>
          <w:color w:val="000000"/>
          <w:szCs w:val="20"/>
        </w:rPr>
        <w:t xml:space="preserve"> annually will compare actual storm costs to storm costs allowed in base rates and refund or recoup any differences from customers. </w:t>
      </w:r>
      <w:r w:rsidR="00482EDF">
        <w:rPr>
          <w:rFonts w:cs="Helv"/>
          <w:color w:val="000000"/>
          <w:szCs w:val="20"/>
        </w:rPr>
        <w:t xml:space="preserve"> </w:t>
      </w:r>
      <w:r w:rsidRPr="00963325">
        <w:rPr>
          <w:rFonts w:cs="Helv"/>
          <w:color w:val="000000"/>
          <w:szCs w:val="20"/>
        </w:rPr>
        <w:t>In March 2013, PPL E</w:t>
      </w:r>
      <w:r>
        <w:rPr>
          <w:rFonts w:cs="Helv"/>
          <w:color w:val="000000"/>
          <w:szCs w:val="20"/>
        </w:rPr>
        <w:t>U</w:t>
      </w:r>
      <w:r w:rsidRPr="00963325">
        <w:rPr>
          <w:rFonts w:cs="Helv"/>
          <w:color w:val="000000"/>
          <w:szCs w:val="20"/>
        </w:rPr>
        <w:t xml:space="preserve"> filed its proposed SDER with the PUC and, as part of that filing, requested recovery of the 2012 qualifying storm costs related to Hurricane Sandy.</w:t>
      </w:r>
      <w:r w:rsidR="00482EDF">
        <w:rPr>
          <w:rFonts w:cs="Helv"/>
          <w:color w:val="000000"/>
          <w:szCs w:val="20"/>
        </w:rPr>
        <w:t xml:space="preserve"> </w:t>
      </w:r>
      <w:r w:rsidRPr="00963325">
        <w:rPr>
          <w:rFonts w:cs="Helv"/>
          <w:color w:val="000000"/>
          <w:szCs w:val="20"/>
        </w:rPr>
        <w:t xml:space="preserve"> In April 2014, the PUC issued a final order approving the SDER with a January 1, 2015 effective date and initially including actual storm costs compared to collections for December 2013 through November 2014. </w:t>
      </w:r>
      <w:r w:rsidR="00482EDF">
        <w:rPr>
          <w:rFonts w:cs="Helv"/>
          <w:color w:val="000000"/>
          <w:szCs w:val="20"/>
        </w:rPr>
        <w:t xml:space="preserve"> </w:t>
      </w:r>
      <w:r w:rsidRPr="00963325">
        <w:rPr>
          <w:rFonts w:cs="Helv"/>
          <w:color w:val="000000"/>
          <w:szCs w:val="20"/>
        </w:rPr>
        <w:t>As a result, PPL E</w:t>
      </w:r>
      <w:r>
        <w:rPr>
          <w:rFonts w:cs="Helv"/>
          <w:color w:val="000000"/>
          <w:szCs w:val="20"/>
        </w:rPr>
        <w:t>U</w:t>
      </w:r>
      <w:r w:rsidRPr="00963325">
        <w:rPr>
          <w:rFonts w:cs="Helv"/>
          <w:color w:val="000000"/>
          <w:szCs w:val="20"/>
        </w:rPr>
        <w:t xml:space="preserve"> reduced its regulatory liability by $12 million in March 2014. </w:t>
      </w:r>
      <w:r w:rsidR="00482EDF">
        <w:rPr>
          <w:rFonts w:cs="Helv"/>
          <w:color w:val="000000"/>
          <w:szCs w:val="20"/>
        </w:rPr>
        <w:t xml:space="preserve"> </w:t>
      </w:r>
      <w:r w:rsidRPr="00963325">
        <w:rPr>
          <w:rFonts w:cs="Helv"/>
          <w:color w:val="000000"/>
          <w:szCs w:val="20"/>
        </w:rPr>
        <w:t>Also, as part of the April 2014 order, PPL E</w:t>
      </w:r>
      <w:r>
        <w:rPr>
          <w:rFonts w:cs="Helv"/>
          <w:color w:val="000000"/>
          <w:szCs w:val="20"/>
        </w:rPr>
        <w:t>U</w:t>
      </w:r>
      <w:r w:rsidRPr="00963325">
        <w:rPr>
          <w:rFonts w:cs="Helv"/>
          <w:color w:val="000000"/>
          <w:szCs w:val="20"/>
        </w:rPr>
        <w:t xml:space="preserve"> was authorized to recover Hurricane Sandy storm damage costs through the SDER of $29 million over a three-year period beginning January 1, 2015.</w:t>
      </w:r>
    </w:p>
    <w:p w:rsidR="008F0626" w:rsidRDefault="008F0626" w:rsidP="008F0626">
      <w:pPr>
        <w:rPr>
          <w:rFonts w:cs="Helv"/>
          <w:color w:val="000000"/>
          <w:szCs w:val="20"/>
        </w:rPr>
      </w:pPr>
      <w:r w:rsidRPr="00963325">
        <w:rPr>
          <w:rFonts w:cs="Helv"/>
          <w:color w:val="000000"/>
          <w:szCs w:val="20"/>
        </w:rPr>
        <w:t>On June 20, 2014, the Office of Consumer Advocate (OCA) filed a petition with the Commonwealth Court of Pennsylvania requesting that the Court reverse and remand the April 2014 order permitting PPL E</w:t>
      </w:r>
      <w:r>
        <w:rPr>
          <w:rFonts w:cs="Helv"/>
          <w:color w:val="000000"/>
          <w:szCs w:val="20"/>
        </w:rPr>
        <w:t>U</w:t>
      </w:r>
      <w:r w:rsidRPr="00963325">
        <w:rPr>
          <w:rFonts w:cs="Helv"/>
          <w:color w:val="000000"/>
          <w:szCs w:val="20"/>
        </w:rPr>
        <w:t xml:space="preserve"> to establish the SDER. </w:t>
      </w:r>
      <w:r w:rsidR="00482EDF">
        <w:rPr>
          <w:rFonts w:cs="Helv"/>
          <w:color w:val="000000"/>
          <w:szCs w:val="20"/>
        </w:rPr>
        <w:t xml:space="preserve"> </w:t>
      </w:r>
      <w:r w:rsidR="00443428">
        <w:rPr>
          <w:rFonts w:cs="Helv"/>
          <w:color w:val="000000"/>
          <w:szCs w:val="20"/>
        </w:rPr>
        <w:t>The Commonwealth Court of Pennsylvania affirmed the Order of the PUC on December 18, 2015.</w:t>
      </w:r>
      <w:r w:rsidR="00475FBE">
        <w:rPr>
          <w:rFonts w:cs="Helv"/>
          <w:color w:val="000000"/>
          <w:szCs w:val="20"/>
        </w:rPr>
        <w:t xml:space="preserve">  The OCA did not request review of that decision by the Pennsylvania Supreme Court.</w:t>
      </w:r>
    </w:p>
    <w:p w:rsidR="00D93950" w:rsidRPr="00963325" w:rsidRDefault="00D93950" w:rsidP="00D93950">
      <w:pPr>
        <w:rPr>
          <w:rFonts w:cs="Helv"/>
          <w:color w:val="000000"/>
          <w:szCs w:val="20"/>
        </w:rPr>
      </w:pPr>
      <w:r w:rsidRPr="00D93950">
        <w:rPr>
          <w:rFonts w:cs="Helv"/>
          <w:color w:val="000000"/>
          <w:szCs w:val="20"/>
        </w:rPr>
        <w:t>In the PUC rate case settlement agreement approved by the Commission in November 2015, it was determined that reporta</w:t>
      </w:r>
      <w:r>
        <w:rPr>
          <w:rFonts w:cs="Helv"/>
          <w:color w:val="000000"/>
          <w:szCs w:val="20"/>
        </w:rPr>
        <w:t xml:space="preserve">ble storm damage expenses to be </w:t>
      </w:r>
      <w:r w:rsidRPr="00D93950">
        <w:rPr>
          <w:rFonts w:cs="Helv"/>
          <w:color w:val="000000"/>
          <w:szCs w:val="20"/>
        </w:rPr>
        <w:t>recovered annually through base rates will be set at</w:t>
      </w:r>
      <w:r w:rsidR="00443428">
        <w:rPr>
          <w:rFonts w:cs="Helv"/>
          <w:color w:val="000000"/>
          <w:szCs w:val="20"/>
        </w:rPr>
        <w:t xml:space="preserve"> approximately</w:t>
      </w:r>
      <w:r w:rsidRPr="00D93950">
        <w:rPr>
          <w:rFonts w:cs="Helv"/>
          <w:color w:val="000000"/>
          <w:szCs w:val="20"/>
        </w:rPr>
        <w:t xml:space="preserve"> $15 million</w:t>
      </w:r>
      <w:r w:rsidR="002A2C2C">
        <w:rPr>
          <w:rFonts w:cs="Helv"/>
          <w:color w:val="000000"/>
          <w:szCs w:val="20"/>
        </w:rPr>
        <w:t>,</w:t>
      </w:r>
      <w:r w:rsidR="00475FBE">
        <w:rPr>
          <w:rFonts w:cs="Helv"/>
          <w:color w:val="000000"/>
          <w:szCs w:val="20"/>
        </w:rPr>
        <w:t xml:space="preserve"> which will increase by an additional $5.3 million in 2018</w:t>
      </w:r>
      <w:r w:rsidRPr="00D93950">
        <w:rPr>
          <w:rFonts w:cs="Helv"/>
          <w:color w:val="000000"/>
          <w:szCs w:val="20"/>
        </w:rPr>
        <w:t>.</w:t>
      </w:r>
      <w:r w:rsidR="00482EDF">
        <w:rPr>
          <w:rFonts w:cs="Helv"/>
          <w:color w:val="000000"/>
          <w:szCs w:val="20"/>
        </w:rPr>
        <w:t xml:space="preserve"> </w:t>
      </w:r>
      <w:r w:rsidRPr="00D93950">
        <w:rPr>
          <w:rFonts w:cs="Helv"/>
          <w:color w:val="000000"/>
          <w:szCs w:val="20"/>
        </w:rPr>
        <w:t xml:space="preserve"> The SDER will recover from customers or refund to </w:t>
      </w:r>
      <w:r>
        <w:rPr>
          <w:rFonts w:cs="Helv"/>
          <w:color w:val="000000"/>
          <w:szCs w:val="20"/>
        </w:rPr>
        <w:t xml:space="preserve">customers, as appropriate, only </w:t>
      </w:r>
      <w:r w:rsidRPr="00D93950">
        <w:rPr>
          <w:rFonts w:cs="Helv"/>
          <w:color w:val="000000"/>
          <w:szCs w:val="20"/>
        </w:rPr>
        <w:t>applicable expenses from reportable storms that are greater than or less than</w:t>
      </w:r>
      <w:r>
        <w:rPr>
          <w:rFonts w:cs="Helv"/>
          <w:color w:val="000000"/>
          <w:szCs w:val="20"/>
        </w:rPr>
        <w:t xml:space="preserve"> </w:t>
      </w:r>
      <w:r w:rsidR="00475FBE">
        <w:rPr>
          <w:rFonts w:cs="Helv"/>
          <w:color w:val="000000"/>
          <w:szCs w:val="20"/>
        </w:rPr>
        <w:t>the amount</w:t>
      </w:r>
      <w:r>
        <w:rPr>
          <w:rFonts w:cs="Helv"/>
          <w:color w:val="000000"/>
          <w:szCs w:val="20"/>
        </w:rPr>
        <w:t xml:space="preserve"> recovered annually </w:t>
      </w:r>
      <w:r w:rsidRPr="00D93950">
        <w:rPr>
          <w:rFonts w:cs="Helv"/>
          <w:color w:val="000000"/>
          <w:szCs w:val="20"/>
        </w:rPr>
        <w:t>through base ra</w:t>
      </w:r>
      <w:r>
        <w:rPr>
          <w:rFonts w:cs="Helv"/>
          <w:color w:val="000000"/>
          <w:szCs w:val="20"/>
        </w:rPr>
        <w:t xml:space="preserve">tes. </w:t>
      </w:r>
      <w:r w:rsidR="00482EDF">
        <w:rPr>
          <w:rFonts w:cs="Helv"/>
          <w:color w:val="000000"/>
          <w:szCs w:val="20"/>
        </w:rPr>
        <w:t xml:space="preserve"> </w:t>
      </w:r>
    </w:p>
    <w:p w:rsidR="00053E31" w:rsidRDefault="00053E31" w:rsidP="00053E31">
      <w:pPr>
        <w:pStyle w:val="Heading40"/>
      </w:pPr>
      <w:r>
        <w:lastRenderedPageBreak/>
        <w:t>Act 129</w:t>
      </w:r>
    </w:p>
    <w:p w:rsidR="00053E31" w:rsidRDefault="00053E31" w:rsidP="00053E31">
      <w:r>
        <w:t xml:space="preserve">Act 129 requires Pennsylvania Electric Distribution Companies (EDCs) to meet specified goals for reduction in customer electricity usage and peak demand by specified dates. </w:t>
      </w:r>
      <w:r w:rsidR="00482EDF">
        <w:t xml:space="preserve"> </w:t>
      </w:r>
      <w:r>
        <w:t>EDCs not meeting the requirements of Act 129 are subject to significant penalties.</w:t>
      </w:r>
      <w:r w:rsidR="00482EDF">
        <w:t xml:space="preserve"> </w:t>
      </w:r>
      <w:r>
        <w:t xml:space="preserve"> In November 2015, PPL Electric filed with the PUC its Act 129 Phase III Energy Efficiency and Conservation Plan for the period June 1, 2016 through May 31, 2021. </w:t>
      </w:r>
      <w:r w:rsidR="00482EDF">
        <w:t xml:space="preserve"> </w:t>
      </w:r>
      <w:r>
        <w:t>In January 2016, PPL E</w:t>
      </w:r>
      <w:r w:rsidR="00482EDF">
        <w:t>U</w:t>
      </w:r>
      <w:r>
        <w:t xml:space="preserve"> and the other parties reached a settlement in principle. </w:t>
      </w:r>
      <w:r w:rsidR="00482EDF">
        <w:t xml:space="preserve"> </w:t>
      </w:r>
      <w:r>
        <w:t xml:space="preserve">The settlement is subject to PUC approval. </w:t>
      </w:r>
      <w:r w:rsidR="00482EDF">
        <w:t xml:space="preserve"> </w:t>
      </w:r>
      <w:r>
        <w:t>This matter remains pending before the PUC.</w:t>
      </w:r>
    </w:p>
    <w:p w:rsidR="00053E31" w:rsidRDefault="00053E31" w:rsidP="00053E31">
      <w:r>
        <w:t>Act 129 also requires Default Service Providers (DSP) to provide electricity generation supply service to customers pursuant to a PUC-approved default service procurement plan through auctions, requests for proposal</w:t>
      </w:r>
      <w:r w:rsidR="00482EDF">
        <w:t>,</w:t>
      </w:r>
      <w:r>
        <w:t xml:space="preserve"> and bilateral contracts at the sole discretion of the DSP.</w:t>
      </w:r>
      <w:r w:rsidR="00482EDF">
        <w:t xml:space="preserve"> </w:t>
      </w:r>
      <w:r>
        <w:t xml:space="preserve"> Act 129 requires a mix of spot market purchases, short-term contracts</w:t>
      </w:r>
      <w:r w:rsidR="00482EDF">
        <w:t>,</w:t>
      </w:r>
      <w:r>
        <w:t xml:space="preserve"> and long-term contracts (</w:t>
      </w:r>
      <w:r w:rsidR="00482EDF">
        <w:t>four</w:t>
      </w:r>
      <w:r>
        <w:t xml:space="preserve"> to 20 years), with long-term contracts limited to 25% of load unless otherwise approved by the PUC. </w:t>
      </w:r>
      <w:r w:rsidR="00482EDF">
        <w:t xml:space="preserve"> </w:t>
      </w:r>
      <w:r>
        <w:t>A DSP is able to recover the costs associated with its default service procurement plan.</w:t>
      </w:r>
    </w:p>
    <w:p w:rsidR="00053E31" w:rsidRDefault="00053E31" w:rsidP="00053E31">
      <w:r>
        <w:t xml:space="preserve">PPL Electric has received PUC approval of biannual DSP procurement plans for all periods required under Act 129. </w:t>
      </w:r>
      <w:r w:rsidR="00DE58BA">
        <w:t xml:space="preserve"> </w:t>
      </w:r>
      <w:r>
        <w:t>In January 2016, PPL Electric filed a Petition for Approval of a new DSP procurement plan with the PUC for the period June 1, 2017 through May 31, 2021.</w:t>
      </w:r>
      <w:r w:rsidR="00DE58BA">
        <w:t xml:space="preserve"> </w:t>
      </w:r>
      <w:r>
        <w:t xml:space="preserve"> This proceeding remains pending before the PUC. </w:t>
      </w:r>
    </w:p>
    <w:p w:rsidR="008F0626" w:rsidRPr="00963325" w:rsidRDefault="008F0626" w:rsidP="00053E31">
      <w:pPr>
        <w:pStyle w:val="Heading40"/>
      </w:pPr>
      <w:r w:rsidRPr="00963325">
        <w:t>Smart Meter Rider (SMR)</w:t>
      </w:r>
    </w:p>
    <w:p w:rsidR="008F0626" w:rsidRDefault="008F0626" w:rsidP="009B5DC4">
      <w:pPr>
        <w:rPr>
          <w:rFonts w:cs="Arial"/>
        </w:rPr>
      </w:pPr>
      <w:r w:rsidRPr="00963325">
        <w:t>Under Act 129, EDCs are able to recover the costs of providing smart metering technology.</w:t>
      </w:r>
      <w:r w:rsidR="005F55A5">
        <w:t xml:space="preserve"> </w:t>
      </w:r>
      <w:r w:rsidRPr="00963325">
        <w:t xml:space="preserve"> All of PPL E</w:t>
      </w:r>
      <w:r>
        <w:t>U</w:t>
      </w:r>
      <w:r w:rsidRPr="00963325">
        <w:t xml:space="preserve">'s metered customers currently have advanced meters installed at their service locations capable of many of the functions required under Act 129. </w:t>
      </w:r>
      <w:r w:rsidR="005F55A5">
        <w:t xml:space="preserve"> </w:t>
      </w:r>
      <w:r w:rsidRPr="00963325">
        <w:t>PPL E</w:t>
      </w:r>
      <w:r>
        <w:t>U</w:t>
      </w:r>
      <w:r w:rsidRPr="00963325">
        <w:t xml:space="preserve"> conducted pilot projects and technical evaluations of its current advanced metering technology and concluded that the current technology does not meet all of the requirements of Act 129.</w:t>
      </w:r>
      <w:r w:rsidR="005F55A5">
        <w:t xml:space="preserve"> </w:t>
      </w:r>
      <w:r w:rsidRPr="00963325">
        <w:t xml:space="preserve"> </w:t>
      </w:r>
      <w:r w:rsidR="005F55A5">
        <w:t xml:space="preserve"> </w:t>
      </w:r>
      <w:r w:rsidRPr="00963325">
        <w:t xml:space="preserve"> In August 2013, PPL E</w:t>
      </w:r>
      <w:r>
        <w:t>U</w:t>
      </w:r>
      <w:r w:rsidRPr="00963325">
        <w:t xml:space="preserve"> filed with the PUC an annual report describing the actions it was taking </w:t>
      </w:r>
      <w:r>
        <w:t xml:space="preserve">during 2013 </w:t>
      </w:r>
      <w:r w:rsidRPr="00963325">
        <w:t>under its Smart Meter Pla</w:t>
      </w:r>
      <w:r>
        <w:t>n</w:t>
      </w:r>
      <w:r w:rsidRPr="00963325">
        <w:t xml:space="preserve"> and its planned actions for 2014. </w:t>
      </w:r>
      <w:r w:rsidR="005F55A5">
        <w:t xml:space="preserve"> </w:t>
      </w:r>
      <w:r w:rsidRPr="00963325">
        <w:t>In June 2014, PPL E</w:t>
      </w:r>
      <w:r>
        <w:t>U</w:t>
      </w:r>
      <w:r w:rsidRPr="00963325">
        <w:t xml:space="preserve"> filed its final Smart Meter Plan with the PUC. </w:t>
      </w:r>
      <w:r w:rsidR="005F55A5">
        <w:t xml:space="preserve"> </w:t>
      </w:r>
      <w:r w:rsidRPr="00963325">
        <w:t>In that plan, PPL E</w:t>
      </w:r>
      <w:r>
        <w:t>U</w:t>
      </w:r>
      <w:r w:rsidRPr="00963325">
        <w:t xml:space="preserve"> proposes by the end of 2019 to replace all of its current meters with new meters that meet the Act 129 requirements.</w:t>
      </w:r>
      <w:r w:rsidR="005F55A5">
        <w:t xml:space="preserve"> </w:t>
      </w:r>
      <w:r w:rsidRPr="00963325">
        <w:t xml:space="preserve"> The total cost of the project is e</w:t>
      </w:r>
      <w:r w:rsidR="00053E31">
        <w:t>stimated to be approximately $471</w:t>
      </w:r>
      <w:r w:rsidRPr="00963325">
        <w:t xml:space="preserve"> mill</w:t>
      </w:r>
      <w:r w:rsidR="00053E31">
        <w:t>ion, of which approximately $406</w:t>
      </w:r>
      <w:r w:rsidRPr="00963325">
        <w:t xml:space="preserve"> million is expected to be capital.</w:t>
      </w:r>
      <w:r w:rsidR="005F55A5">
        <w:t xml:space="preserve"> </w:t>
      </w:r>
      <w:r w:rsidRPr="00963325">
        <w:t xml:space="preserve"> PPL E</w:t>
      </w:r>
      <w:r>
        <w:t>U</w:t>
      </w:r>
      <w:r w:rsidRPr="00963325">
        <w:t xml:space="preserve"> proposes to recover these costs through the SMR which the PUC previously approved for recovery of such costs. </w:t>
      </w:r>
      <w:r w:rsidR="005F55A5">
        <w:t xml:space="preserve"> </w:t>
      </w:r>
      <w:r w:rsidRPr="00963325">
        <w:t xml:space="preserve"> </w:t>
      </w:r>
      <w:r w:rsidR="005F55A5">
        <w:t xml:space="preserve"> </w:t>
      </w:r>
      <w:r w:rsidRPr="00963325">
        <w:t>On September 3, 2015, the PUC entered a final order approving the Smart Meter Plan with minor modifications.</w:t>
      </w:r>
    </w:p>
    <w:p w:rsidR="004D44F4" w:rsidRDefault="004D44F4" w:rsidP="004D44F4">
      <w:pPr>
        <w:pStyle w:val="Heading30"/>
      </w:pPr>
      <w:r>
        <w:t>ppl eu performance</w:t>
      </w:r>
    </w:p>
    <w:p w:rsidR="004D44F4" w:rsidRDefault="004D44F4" w:rsidP="004D44F4">
      <w:pPr>
        <w:pStyle w:val="Heading40"/>
      </w:pPr>
      <w:r>
        <w:t>Financial Performance</w:t>
      </w:r>
    </w:p>
    <w:p w:rsidR="004D44F4" w:rsidRDefault="004D44F4" w:rsidP="004D44F4">
      <w:r>
        <w:t xml:space="preserve">The financial results </w:t>
      </w:r>
      <w:r w:rsidR="001518DC">
        <w:t>for PPL EU over the 2011</w:t>
      </w:r>
      <w:r w:rsidR="00726917">
        <w:t xml:space="preserve"> to 201</w:t>
      </w:r>
      <w:r w:rsidR="001518DC">
        <w:t>5</w:t>
      </w:r>
      <w:r>
        <w:t xml:space="preserve"> period </w:t>
      </w:r>
      <w:r w:rsidR="00726917">
        <w:t xml:space="preserve">are shown in the table below.  </w:t>
      </w:r>
    </w:p>
    <w:p w:rsidR="004D44F4" w:rsidRPr="00436DF8" w:rsidRDefault="00356110" w:rsidP="00F03CD4">
      <w:pPr>
        <w:pStyle w:val="Caption"/>
        <w:rPr>
          <w:b w:val="0"/>
        </w:rPr>
      </w:pPr>
      <w:bookmarkStart w:id="25" w:name="_Toc464552933"/>
      <w:r>
        <w:lastRenderedPageBreak/>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7</w:t>
      </w:r>
      <w:r w:rsidR="00CB2B2A">
        <w:rPr>
          <w:noProof/>
        </w:rPr>
        <w:fldChar w:fldCharType="end"/>
      </w:r>
      <w:r w:rsidR="00F03CD4">
        <w:br/>
      </w:r>
      <w:r w:rsidR="001518DC">
        <w:t>PPL EU Financial Results (2011</w:t>
      </w:r>
      <w:r w:rsidR="00212877">
        <w:t>–</w:t>
      </w:r>
      <w:r w:rsidR="004D44F4">
        <w:t>201</w:t>
      </w:r>
      <w:r w:rsidR="001518DC">
        <w:t>5</w:t>
      </w:r>
      <w:proofErr w:type="gramStart"/>
      <w:r w:rsidR="004D44F4">
        <w:t>)</w:t>
      </w:r>
      <w:proofErr w:type="gramEnd"/>
      <w:r w:rsidR="00F03CD4">
        <w:br/>
      </w:r>
      <w:r w:rsidR="00212877" w:rsidRPr="00F03CD4">
        <w:t>($</w:t>
      </w:r>
      <w:r w:rsidR="00C53B30" w:rsidRPr="00F03CD4">
        <w:t xml:space="preserve"> millions</w:t>
      </w:r>
      <w:r w:rsidR="00291C4D" w:rsidRPr="00F03CD4">
        <w:t xml:space="preserve">, except </w:t>
      </w:r>
      <w:r w:rsidR="003534B4" w:rsidRPr="00F03CD4">
        <w:t>gi</w:t>
      </w:r>
      <w:r w:rsidR="00291C4D" w:rsidRPr="00F03CD4">
        <w:t>gawatt hours sold</w:t>
      </w:r>
      <w:r w:rsidR="004D44F4" w:rsidRPr="00F03CD4">
        <w:t>)</w:t>
      </w:r>
      <w:bookmarkEnd w:id="25"/>
    </w:p>
    <w:tbl>
      <w:tblPr>
        <w:tblW w:w="0" w:type="auto"/>
        <w:jc w:val="center"/>
        <w:tblCellMar>
          <w:top w:w="14" w:type="dxa"/>
          <w:left w:w="101" w:type="dxa"/>
          <w:bottom w:w="14" w:type="dxa"/>
          <w:right w:w="101" w:type="dxa"/>
        </w:tblCellMar>
        <w:tblLook w:val="04A0"/>
      </w:tblPr>
      <w:tblGrid>
        <w:gridCol w:w="3379"/>
        <w:gridCol w:w="864"/>
        <w:gridCol w:w="864"/>
        <w:gridCol w:w="864"/>
        <w:gridCol w:w="864"/>
        <w:gridCol w:w="864"/>
        <w:gridCol w:w="1410"/>
      </w:tblGrid>
      <w:tr w:rsidR="001518DC" w:rsidRPr="00473B2C" w:rsidTr="00933480">
        <w:trPr>
          <w:cantSplit/>
          <w:trHeight w:val="948"/>
          <w:tblHeader/>
          <w:jc w:val="center"/>
        </w:trPr>
        <w:tc>
          <w:tcPr>
            <w:tcW w:w="3379" w:type="dxa"/>
            <w:tcBorders>
              <w:top w:val="single" w:sz="4" w:space="0" w:color="000000"/>
              <w:left w:val="single" w:sz="4" w:space="0" w:color="000000"/>
              <w:bottom w:val="single" w:sz="4" w:space="0" w:color="000000"/>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Metric</w:t>
            </w:r>
          </w:p>
        </w:tc>
        <w:tc>
          <w:tcPr>
            <w:tcW w:w="864" w:type="dxa"/>
            <w:tcBorders>
              <w:top w:val="single" w:sz="4" w:space="0" w:color="000000"/>
              <w:left w:val="nil"/>
              <w:bottom w:val="single" w:sz="4" w:space="0" w:color="000000"/>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2011</w:t>
            </w:r>
          </w:p>
        </w:tc>
        <w:tc>
          <w:tcPr>
            <w:tcW w:w="864" w:type="dxa"/>
            <w:tcBorders>
              <w:top w:val="single" w:sz="4" w:space="0" w:color="000000"/>
              <w:left w:val="nil"/>
              <w:bottom w:val="single" w:sz="4" w:space="0" w:color="000000"/>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2012</w:t>
            </w:r>
          </w:p>
        </w:tc>
        <w:tc>
          <w:tcPr>
            <w:tcW w:w="864" w:type="dxa"/>
            <w:tcBorders>
              <w:top w:val="single" w:sz="4" w:space="0" w:color="000000"/>
              <w:left w:val="nil"/>
              <w:bottom w:val="single" w:sz="4" w:space="0" w:color="000000"/>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2013</w:t>
            </w:r>
          </w:p>
        </w:tc>
        <w:tc>
          <w:tcPr>
            <w:tcW w:w="864" w:type="dxa"/>
            <w:tcBorders>
              <w:top w:val="single" w:sz="4" w:space="0" w:color="000000"/>
              <w:left w:val="nil"/>
              <w:bottom w:val="single" w:sz="4" w:space="0" w:color="000000"/>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2014</w:t>
            </w:r>
          </w:p>
        </w:tc>
        <w:tc>
          <w:tcPr>
            <w:tcW w:w="864" w:type="dxa"/>
            <w:tcBorders>
              <w:top w:val="single" w:sz="4" w:space="0" w:color="000000"/>
              <w:left w:val="nil"/>
              <w:bottom w:val="nil"/>
              <w:right w:val="single" w:sz="4" w:space="0" w:color="000000"/>
            </w:tcBorders>
            <w:shd w:val="clear" w:color="A5CD7E" w:fill="A5CD7E"/>
            <w:noWrap/>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2015</w:t>
            </w:r>
          </w:p>
        </w:tc>
        <w:tc>
          <w:tcPr>
            <w:tcW w:w="1410" w:type="dxa"/>
            <w:tcBorders>
              <w:top w:val="single" w:sz="4" w:space="0" w:color="000000"/>
              <w:left w:val="nil"/>
              <w:bottom w:val="nil"/>
              <w:right w:val="single" w:sz="4" w:space="0" w:color="000000"/>
            </w:tcBorders>
            <w:shd w:val="clear" w:color="A5CD7E" w:fill="A5CD7E"/>
            <w:tcMar>
              <w:top w:w="14" w:type="dxa"/>
              <w:left w:w="14" w:type="dxa"/>
              <w:bottom w:w="0" w:type="dxa"/>
              <w:right w:w="14" w:type="dxa"/>
            </w:tcMar>
            <w:vAlign w:val="center"/>
            <w:hideMark/>
          </w:tcPr>
          <w:p w:rsidR="001518DC" w:rsidRPr="00473B2C" w:rsidRDefault="001518DC" w:rsidP="00933480">
            <w:pPr>
              <w:spacing w:before="120"/>
              <w:jc w:val="center"/>
              <w:rPr>
                <w:rFonts w:cs="Arial"/>
                <w:b/>
                <w:bCs/>
                <w:color w:val="000000"/>
                <w:szCs w:val="24"/>
              </w:rPr>
            </w:pPr>
            <w:r w:rsidRPr="00473B2C">
              <w:rPr>
                <w:rFonts w:cs="Arial"/>
                <w:b/>
                <w:bCs/>
                <w:color w:val="000000"/>
                <w:szCs w:val="24"/>
              </w:rPr>
              <w:t>Compound</w:t>
            </w:r>
            <w:r w:rsidRPr="00473B2C">
              <w:rPr>
                <w:rFonts w:cs="Arial"/>
                <w:b/>
                <w:bCs/>
                <w:color w:val="000000"/>
                <w:szCs w:val="24"/>
              </w:rPr>
              <w:br/>
              <w:t>Growth Rate</w:t>
            </w:r>
          </w:p>
        </w:tc>
      </w:tr>
      <w:tr w:rsidR="001518DC" w:rsidRPr="00473B2C" w:rsidTr="00933480">
        <w:trPr>
          <w:trHeight w:val="250"/>
          <w:jc w:val="center"/>
        </w:trPr>
        <w:tc>
          <w:tcPr>
            <w:tcW w:w="3379" w:type="dxa"/>
            <w:tcBorders>
              <w:top w:val="nil"/>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518DC" w:rsidRPr="00473B2C" w:rsidRDefault="001518DC" w:rsidP="00C53B30">
            <w:pPr>
              <w:spacing w:after="0"/>
              <w:jc w:val="center"/>
              <w:rPr>
                <w:rFonts w:cs="Arial"/>
                <w:color w:val="000000"/>
                <w:sz w:val="22"/>
              </w:rPr>
            </w:pPr>
            <w:r w:rsidRPr="00473B2C">
              <w:rPr>
                <w:rFonts w:cs="Arial"/>
                <w:color w:val="000000"/>
                <w:sz w:val="22"/>
              </w:rPr>
              <w:t>Total Electric Operating Revenues</w:t>
            </w:r>
            <w:r w:rsidR="00493518">
              <w:rPr>
                <w:rFonts w:cs="Arial"/>
                <w:color w:val="000000"/>
                <w:sz w:val="22"/>
              </w:rPr>
              <w:t xml:space="preserve"> (millions)</w:t>
            </w:r>
          </w:p>
        </w:tc>
        <w:tc>
          <w:tcPr>
            <w:tcW w:w="864" w:type="dxa"/>
            <w:tcBorders>
              <w:top w:val="nil"/>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493518" w:rsidP="00212877">
            <w:pPr>
              <w:spacing w:after="0"/>
              <w:jc w:val="center"/>
              <w:rPr>
                <w:rFonts w:cs="Arial"/>
                <w:color w:val="000000"/>
                <w:sz w:val="22"/>
              </w:rPr>
            </w:pPr>
            <w:r w:rsidRPr="00493518">
              <w:rPr>
                <w:color w:val="000000"/>
                <w:szCs w:val="24"/>
              </w:rPr>
              <w:t>$</w:t>
            </w:r>
            <w:r w:rsidR="00C53B30" w:rsidRPr="00493518">
              <w:rPr>
                <w:rFonts w:cs="Arial"/>
                <w:color w:val="000000"/>
                <w:sz w:val="22"/>
              </w:rPr>
              <w:t>1</w:t>
            </w:r>
            <w:r w:rsidR="00C53B30" w:rsidRPr="00473B2C">
              <w:rPr>
                <w:rFonts w:cs="Arial"/>
                <w:color w:val="000000"/>
                <w:sz w:val="22"/>
              </w:rPr>
              <w:t>,958</w:t>
            </w:r>
          </w:p>
        </w:tc>
        <w:tc>
          <w:tcPr>
            <w:tcW w:w="864" w:type="dxa"/>
            <w:tcBorders>
              <w:top w:val="nil"/>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493518" w:rsidP="00212877">
            <w:pPr>
              <w:spacing w:after="0"/>
              <w:jc w:val="center"/>
              <w:rPr>
                <w:rFonts w:cs="Arial"/>
                <w:color w:val="000000"/>
                <w:sz w:val="22"/>
              </w:rPr>
            </w:pPr>
            <w:r w:rsidRPr="00493518">
              <w:rPr>
                <w:color w:val="000000"/>
                <w:szCs w:val="24"/>
              </w:rPr>
              <w:t>$</w:t>
            </w:r>
            <w:r w:rsidR="00C53B30" w:rsidRPr="00473B2C">
              <w:rPr>
                <w:rFonts w:cs="Arial"/>
                <w:color w:val="000000"/>
                <w:sz w:val="22"/>
              </w:rPr>
              <w:t>1,825</w:t>
            </w:r>
          </w:p>
        </w:tc>
        <w:tc>
          <w:tcPr>
            <w:tcW w:w="864" w:type="dxa"/>
            <w:tcBorders>
              <w:top w:val="nil"/>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493518" w:rsidP="00212877">
            <w:pPr>
              <w:spacing w:after="0"/>
              <w:jc w:val="center"/>
              <w:rPr>
                <w:rFonts w:cs="Arial"/>
                <w:color w:val="000000"/>
                <w:sz w:val="22"/>
              </w:rPr>
            </w:pPr>
            <w:r w:rsidRPr="00493518">
              <w:rPr>
                <w:color w:val="000000"/>
                <w:szCs w:val="24"/>
              </w:rPr>
              <w:t>$</w:t>
            </w:r>
            <w:r w:rsidR="00C53B30" w:rsidRPr="00473B2C">
              <w:rPr>
                <w:rFonts w:cs="Arial"/>
                <w:color w:val="000000"/>
                <w:sz w:val="22"/>
              </w:rPr>
              <w:t>1,956</w:t>
            </w:r>
          </w:p>
        </w:tc>
        <w:tc>
          <w:tcPr>
            <w:tcW w:w="864" w:type="dxa"/>
            <w:tcBorders>
              <w:top w:val="nil"/>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493518" w:rsidP="00212877">
            <w:pPr>
              <w:spacing w:after="0"/>
              <w:jc w:val="center"/>
              <w:rPr>
                <w:rFonts w:cs="Arial"/>
                <w:color w:val="000000"/>
                <w:sz w:val="22"/>
              </w:rPr>
            </w:pPr>
            <w:r w:rsidRPr="00493518">
              <w:rPr>
                <w:color w:val="000000"/>
                <w:szCs w:val="24"/>
              </w:rPr>
              <w:t>$</w:t>
            </w:r>
            <w:r w:rsidR="00C53B30" w:rsidRPr="00473B2C">
              <w:rPr>
                <w:rFonts w:cs="Arial"/>
                <w:color w:val="000000"/>
                <w:sz w:val="22"/>
              </w:rPr>
              <w:t>2,119</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493518" w:rsidP="00212877">
            <w:pPr>
              <w:spacing w:after="0"/>
              <w:jc w:val="center"/>
              <w:rPr>
                <w:rFonts w:cs="Arial"/>
                <w:color w:val="000000"/>
                <w:sz w:val="22"/>
              </w:rPr>
            </w:pPr>
            <w:r w:rsidRPr="00493518">
              <w:rPr>
                <w:color w:val="000000"/>
                <w:szCs w:val="24"/>
              </w:rPr>
              <w:t>$</w:t>
            </w:r>
            <w:r w:rsidR="00C53B30" w:rsidRPr="00473B2C">
              <w:rPr>
                <w:rFonts w:cs="Arial"/>
                <w:color w:val="000000"/>
                <w:sz w:val="22"/>
              </w:rPr>
              <w:t>2,221</w:t>
            </w:r>
          </w:p>
        </w:tc>
        <w:tc>
          <w:tcPr>
            <w:tcW w:w="1410"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593D1B" w:rsidP="00212877">
            <w:pPr>
              <w:spacing w:after="0"/>
              <w:jc w:val="center"/>
              <w:rPr>
                <w:rFonts w:cs="Arial"/>
                <w:b/>
                <w:bCs/>
                <w:color w:val="000000"/>
                <w:sz w:val="22"/>
              </w:rPr>
            </w:pPr>
            <w:r w:rsidRPr="00473B2C">
              <w:rPr>
                <w:rFonts w:cs="Arial"/>
                <w:b/>
                <w:bCs/>
                <w:color w:val="000000"/>
                <w:sz w:val="22"/>
              </w:rPr>
              <w:t>3.20</w:t>
            </w:r>
            <w:r w:rsidR="001518DC" w:rsidRPr="00473B2C">
              <w:rPr>
                <w:rFonts w:cs="Arial"/>
                <w:b/>
                <w:bCs/>
                <w:color w:val="000000"/>
                <w:sz w:val="22"/>
              </w:rPr>
              <w:t>%</w:t>
            </w:r>
          </w:p>
        </w:tc>
      </w:tr>
      <w:tr w:rsidR="001518DC" w:rsidRPr="00473B2C" w:rsidTr="00933480">
        <w:trPr>
          <w:trHeight w:val="250"/>
          <w:jc w:val="center"/>
        </w:trPr>
        <w:tc>
          <w:tcPr>
            <w:tcW w:w="3379" w:type="dxa"/>
            <w:tcBorders>
              <w:top w:val="nil"/>
              <w:left w:val="single" w:sz="4" w:space="0" w:color="000000"/>
              <w:bottom w:val="nil"/>
              <w:right w:val="single" w:sz="4" w:space="0" w:color="000000"/>
            </w:tcBorders>
            <w:shd w:val="clear" w:color="auto" w:fill="auto"/>
            <w:tcMar>
              <w:top w:w="14" w:type="dxa"/>
              <w:left w:w="14" w:type="dxa"/>
              <w:bottom w:w="0" w:type="dxa"/>
              <w:right w:w="14" w:type="dxa"/>
            </w:tcMar>
            <w:vAlign w:val="center"/>
            <w:hideMark/>
          </w:tcPr>
          <w:p w:rsidR="001518DC" w:rsidRPr="00473B2C" w:rsidRDefault="001518DC" w:rsidP="0045758B">
            <w:pPr>
              <w:spacing w:after="0"/>
              <w:jc w:val="center"/>
              <w:rPr>
                <w:rFonts w:cs="Arial"/>
                <w:color w:val="000000"/>
                <w:sz w:val="22"/>
              </w:rPr>
            </w:pPr>
            <w:r w:rsidRPr="00473B2C">
              <w:rPr>
                <w:rFonts w:cs="Arial"/>
                <w:color w:val="000000"/>
                <w:sz w:val="22"/>
              </w:rPr>
              <w:t xml:space="preserve">Total </w:t>
            </w:r>
            <w:r w:rsidR="0045758B" w:rsidRPr="00473B2C">
              <w:rPr>
                <w:rFonts w:cs="Arial"/>
                <w:color w:val="000000"/>
                <w:sz w:val="22"/>
              </w:rPr>
              <w:t>Gi</w:t>
            </w:r>
            <w:r w:rsidRPr="00473B2C">
              <w:rPr>
                <w:rFonts w:cs="Arial"/>
                <w:color w:val="000000"/>
                <w:sz w:val="22"/>
              </w:rPr>
              <w:t>gawatt Hours Sold</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C53B30" w:rsidP="00212877">
            <w:pPr>
              <w:spacing w:after="0"/>
              <w:jc w:val="center"/>
              <w:rPr>
                <w:rFonts w:cs="Arial"/>
                <w:color w:val="000000"/>
                <w:sz w:val="22"/>
              </w:rPr>
            </w:pPr>
            <w:r w:rsidRPr="00473B2C">
              <w:rPr>
                <w:rFonts w:cs="Arial"/>
                <w:color w:val="000000"/>
                <w:sz w:val="22"/>
              </w:rPr>
              <w:t>37,896</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C53B30" w:rsidP="00212877">
            <w:pPr>
              <w:spacing w:after="0"/>
              <w:jc w:val="center"/>
              <w:rPr>
                <w:rFonts w:cs="Arial"/>
                <w:color w:val="000000"/>
                <w:sz w:val="22"/>
              </w:rPr>
            </w:pPr>
            <w:r w:rsidRPr="00473B2C">
              <w:rPr>
                <w:rFonts w:cs="Arial"/>
                <w:color w:val="000000"/>
                <w:sz w:val="22"/>
              </w:rPr>
              <w:t>36,948</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C53B30" w:rsidP="00212877">
            <w:pPr>
              <w:spacing w:after="0"/>
              <w:jc w:val="center"/>
              <w:rPr>
                <w:rFonts w:cs="Arial"/>
                <w:color w:val="000000"/>
                <w:sz w:val="22"/>
              </w:rPr>
            </w:pPr>
            <w:r w:rsidRPr="00473B2C">
              <w:rPr>
                <w:rFonts w:cs="Arial"/>
                <w:color w:val="000000"/>
                <w:sz w:val="22"/>
              </w:rPr>
              <w:t>37,713</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C53B30" w:rsidP="00212877">
            <w:pPr>
              <w:spacing w:after="0"/>
              <w:jc w:val="center"/>
              <w:rPr>
                <w:rFonts w:cs="Arial"/>
                <w:color w:val="000000"/>
                <w:sz w:val="22"/>
              </w:rPr>
            </w:pPr>
            <w:r w:rsidRPr="00473B2C">
              <w:rPr>
                <w:rFonts w:cs="Arial"/>
                <w:color w:val="000000"/>
                <w:sz w:val="22"/>
              </w:rPr>
              <w:t>38,006</w:t>
            </w:r>
          </w:p>
        </w:tc>
        <w:tc>
          <w:tcPr>
            <w:tcW w:w="864" w:type="dxa"/>
            <w:tcBorders>
              <w:top w:val="single" w:sz="4" w:space="0" w:color="000000"/>
              <w:left w:val="nil"/>
              <w:bottom w:val="nil"/>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C53B30" w:rsidP="00212877">
            <w:pPr>
              <w:spacing w:after="0"/>
              <w:jc w:val="center"/>
              <w:rPr>
                <w:rFonts w:cs="Arial"/>
                <w:color w:val="000000"/>
                <w:sz w:val="22"/>
              </w:rPr>
            </w:pPr>
            <w:r w:rsidRPr="00473B2C">
              <w:rPr>
                <w:rFonts w:cs="Arial"/>
                <w:color w:val="000000"/>
                <w:sz w:val="22"/>
              </w:rPr>
              <w:t>37,968</w:t>
            </w:r>
          </w:p>
        </w:tc>
        <w:tc>
          <w:tcPr>
            <w:tcW w:w="1410" w:type="dxa"/>
            <w:tcBorders>
              <w:top w:val="nil"/>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593D1B" w:rsidP="00212877">
            <w:pPr>
              <w:spacing w:after="0"/>
              <w:jc w:val="center"/>
              <w:rPr>
                <w:rFonts w:cs="Arial"/>
                <w:b/>
                <w:bCs/>
                <w:color w:val="000000"/>
                <w:sz w:val="22"/>
              </w:rPr>
            </w:pPr>
            <w:r w:rsidRPr="00473B2C">
              <w:rPr>
                <w:rFonts w:cs="Arial"/>
                <w:b/>
                <w:bCs/>
                <w:color w:val="000000"/>
                <w:sz w:val="22"/>
              </w:rPr>
              <w:t>0.05</w:t>
            </w:r>
            <w:r w:rsidR="001518DC" w:rsidRPr="00473B2C">
              <w:rPr>
                <w:rFonts w:cs="Arial"/>
                <w:b/>
                <w:bCs/>
                <w:color w:val="000000"/>
                <w:sz w:val="22"/>
              </w:rPr>
              <w:t>%</w:t>
            </w:r>
          </w:p>
        </w:tc>
      </w:tr>
      <w:tr w:rsidR="001518DC" w:rsidRPr="00473B2C" w:rsidTr="00933480">
        <w:trPr>
          <w:trHeight w:val="250"/>
          <w:jc w:val="center"/>
        </w:trPr>
        <w:tc>
          <w:tcPr>
            <w:tcW w:w="337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518DC" w:rsidRPr="00473B2C" w:rsidRDefault="001518DC" w:rsidP="00C53B30">
            <w:pPr>
              <w:spacing w:after="0"/>
              <w:jc w:val="center"/>
              <w:rPr>
                <w:rFonts w:cs="Arial"/>
                <w:b/>
                <w:color w:val="000000"/>
                <w:sz w:val="22"/>
              </w:rPr>
            </w:pPr>
            <w:r w:rsidRPr="00473B2C">
              <w:rPr>
                <w:rFonts w:cs="Arial"/>
                <w:b/>
                <w:color w:val="000000"/>
                <w:sz w:val="22"/>
              </w:rPr>
              <w:t>Net Utility Operating Income</w:t>
            </w:r>
            <w:r w:rsidR="00493518">
              <w:rPr>
                <w:rFonts w:cs="Arial"/>
                <w:b/>
                <w:color w:val="000000"/>
                <w:sz w:val="22"/>
              </w:rPr>
              <w:t xml:space="preserve"> (millions)</w:t>
            </w:r>
          </w:p>
        </w:tc>
        <w:tc>
          <w:tcPr>
            <w:tcW w:w="864"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F31D07" w:rsidP="00212877">
            <w:pPr>
              <w:spacing w:after="0"/>
              <w:jc w:val="center"/>
              <w:rPr>
                <w:rFonts w:cs="Arial"/>
                <w:b/>
                <w:bCs/>
                <w:color w:val="000000"/>
                <w:sz w:val="22"/>
              </w:rPr>
            </w:pPr>
            <w:r w:rsidRPr="00473B2C">
              <w:rPr>
                <w:rFonts w:cs="Arial"/>
                <w:b/>
                <w:bCs/>
                <w:color w:val="000000"/>
                <w:sz w:val="22"/>
              </w:rPr>
              <w:t>$278</w:t>
            </w:r>
          </w:p>
        </w:tc>
        <w:tc>
          <w:tcPr>
            <w:tcW w:w="864"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F31D07" w:rsidP="00212877">
            <w:pPr>
              <w:spacing w:after="0"/>
              <w:jc w:val="center"/>
              <w:rPr>
                <w:rFonts w:cs="Arial"/>
                <w:b/>
                <w:bCs/>
                <w:color w:val="000000"/>
                <w:sz w:val="22"/>
              </w:rPr>
            </w:pPr>
            <w:r w:rsidRPr="00473B2C">
              <w:rPr>
                <w:rFonts w:cs="Arial"/>
                <w:b/>
                <w:bCs/>
                <w:color w:val="000000"/>
                <w:sz w:val="22"/>
              </w:rPr>
              <w:t>$216</w:t>
            </w:r>
          </w:p>
        </w:tc>
        <w:tc>
          <w:tcPr>
            <w:tcW w:w="864"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F31D07" w:rsidP="00212877">
            <w:pPr>
              <w:spacing w:after="0"/>
              <w:jc w:val="center"/>
              <w:rPr>
                <w:rFonts w:cs="Arial"/>
                <w:b/>
                <w:bCs/>
                <w:color w:val="000000"/>
                <w:sz w:val="22"/>
              </w:rPr>
            </w:pPr>
            <w:r w:rsidRPr="00473B2C">
              <w:rPr>
                <w:rFonts w:cs="Arial"/>
                <w:b/>
                <w:bCs/>
                <w:color w:val="000000"/>
                <w:sz w:val="22"/>
              </w:rPr>
              <w:t>$310</w:t>
            </w:r>
          </w:p>
        </w:tc>
        <w:tc>
          <w:tcPr>
            <w:tcW w:w="864"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F31D07" w:rsidP="00212877">
            <w:pPr>
              <w:spacing w:after="0"/>
              <w:jc w:val="center"/>
              <w:rPr>
                <w:rFonts w:cs="Arial"/>
                <w:b/>
                <w:bCs/>
                <w:color w:val="000000"/>
                <w:sz w:val="22"/>
              </w:rPr>
            </w:pPr>
            <w:r w:rsidRPr="00473B2C">
              <w:rPr>
                <w:rFonts w:cs="Arial"/>
                <w:b/>
                <w:bCs/>
                <w:color w:val="000000"/>
                <w:sz w:val="22"/>
              </w:rPr>
              <w:t>$367</w:t>
            </w:r>
          </w:p>
        </w:tc>
        <w:tc>
          <w:tcPr>
            <w:tcW w:w="864"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F31D07" w:rsidP="00212877">
            <w:pPr>
              <w:spacing w:after="0"/>
              <w:jc w:val="center"/>
              <w:rPr>
                <w:rFonts w:cs="Arial"/>
                <w:b/>
                <w:bCs/>
                <w:color w:val="000000"/>
                <w:sz w:val="22"/>
              </w:rPr>
            </w:pPr>
            <w:r w:rsidRPr="00473B2C">
              <w:rPr>
                <w:rFonts w:cs="Arial"/>
                <w:b/>
                <w:bCs/>
                <w:color w:val="000000"/>
                <w:sz w:val="22"/>
              </w:rPr>
              <w:t>$378</w:t>
            </w:r>
          </w:p>
        </w:tc>
        <w:tc>
          <w:tcPr>
            <w:tcW w:w="1410" w:type="dxa"/>
            <w:tcBorders>
              <w:top w:val="single" w:sz="4" w:space="0" w:color="000000"/>
              <w:left w:val="nil"/>
              <w:bottom w:val="single" w:sz="4" w:space="0" w:color="000000"/>
              <w:right w:val="single" w:sz="4" w:space="0" w:color="000000"/>
            </w:tcBorders>
            <w:shd w:val="clear" w:color="auto" w:fill="auto"/>
            <w:noWrap/>
            <w:tcMar>
              <w:top w:w="14" w:type="dxa"/>
              <w:left w:w="14" w:type="dxa"/>
              <w:bottom w:w="0" w:type="dxa"/>
              <w:right w:w="14" w:type="dxa"/>
            </w:tcMar>
            <w:vAlign w:val="center"/>
            <w:hideMark/>
          </w:tcPr>
          <w:p w:rsidR="001518DC" w:rsidRPr="00473B2C" w:rsidRDefault="00593D1B" w:rsidP="00593D1B">
            <w:pPr>
              <w:spacing w:after="0"/>
              <w:jc w:val="center"/>
              <w:rPr>
                <w:rFonts w:cs="Arial"/>
                <w:b/>
                <w:bCs/>
                <w:color w:val="000000"/>
                <w:sz w:val="22"/>
              </w:rPr>
            </w:pPr>
            <w:r w:rsidRPr="00473B2C">
              <w:rPr>
                <w:rFonts w:cs="Arial"/>
                <w:b/>
                <w:bCs/>
                <w:color w:val="000000"/>
                <w:sz w:val="22"/>
              </w:rPr>
              <w:t>8</w:t>
            </w:r>
            <w:r w:rsidR="001518DC" w:rsidRPr="00473B2C">
              <w:rPr>
                <w:rFonts w:cs="Arial"/>
                <w:b/>
                <w:bCs/>
                <w:color w:val="000000"/>
                <w:sz w:val="22"/>
              </w:rPr>
              <w:t>.</w:t>
            </w:r>
            <w:r w:rsidRPr="00473B2C">
              <w:rPr>
                <w:rFonts w:cs="Arial"/>
                <w:b/>
                <w:bCs/>
                <w:color w:val="000000"/>
                <w:sz w:val="22"/>
              </w:rPr>
              <w:t>01</w:t>
            </w:r>
            <w:r w:rsidR="001518DC" w:rsidRPr="00473B2C">
              <w:rPr>
                <w:rFonts w:cs="Arial"/>
                <w:b/>
                <w:bCs/>
                <w:color w:val="000000"/>
                <w:sz w:val="22"/>
              </w:rPr>
              <w:t>%</w:t>
            </w:r>
          </w:p>
        </w:tc>
      </w:tr>
      <w:tr w:rsidR="003534B4" w:rsidRPr="00473B2C" w:rsidTr="00933480">
        <w:trPr>
          <w:trHeight w:val="50"/>
          <w:jc w:val="center"/>
        </w:trPr>
        <w:tc>
          <w:tcPr>
            <w:tcW w:w="9109" w:type="dxa"/>
            <w:gridSpan w:val="7"/>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3534B4" w:rsidRPr="00473B2C" w:rsidRDefault="003534B4" w:rsidP="003534B4">
            <w:pPr>
              <w:spacing w:after="0"/>
              <w:jc w:val="left"/>
              <w:rPr>
                <w:rFonts w:cs="Arial"/>
                <w:bCs/>
                <w:color w:val="000000"/>
                <w:sz w:val="22"/>
              </w:rPr>
            </w:pPr>
            <w:r w:rsidRPr="00473B2C">
              <w:rPr>
                <w:rFonts w:cs="Arial"/>
                <w:bCs/>
                <w:color w:val="000000"/>
                <w:sz w:val="22"/>
              </w:rPr>
              <w:t xml:space="preserve">Source:  </w:t>
            </w:r>
            <w:r w:rsidR="00982CCC" w:rsidRPr="00473B2C">
              <w:rPr>
                <w:rFonts w:cs="Arial"/>
                <w:sz w:val="22"/>
              </w:rPr>
              <w:t>PPL EU</w:t>
            </w:r>
            <w:r w:rsidRPr="00473B2C">
              <w:rPr>
                <w:rFonts w:cs="Arial"/>
                <w:sz w:val="22"/>
              </w:rPr>
              <w:t xml:space="preserve"> Operating Revenues and Expenses, </w:t>
            </w:r>
            <w:r w:rsidR="00D46D8B" w:rsidRPr="00473B2C">
              <w:rPr>
                <w:sz w:val="22"/>
              </w:rPr>
              <w:t>Additional information provided by B. Johnson, PPL</w:t>
            </w:r>
            <w:r w:rsidR="00F96688" w:rsidRPr="00473B2C">
              <w:rPr>
                <w:sz w:val="22"/>
              </w:rPr>
              <w:t xml:space="preserve"> EUS</w:t>
            </w:r>
            <w:r w:rsidR="00D46D8B" w:rsidRPr="00473B2C">
              <w:rPr>
                <w:sz w:val="22"/>
              </w:rPr>
              <w:t xml:space="preserve"> on June 15, 2016</w:t>
            </w:r>
          </w:p>
        </w:tc>
      </w:tr>
    </w:tbl>
    <w:p w:rsidR="008E57EF" w:rsidRDefault="00726917" w:rsidP="00493BA5">
      <w:pPr>
        <w:pStyle w:val="Normal-aftertable"/>
      </w:pPr>
      <w:r>
        <w:t>PPL EU’s financial results have been characterized by substantially increased</w:t>
      </w:r>
      <w:r w:rsidR="0047627B">
        <w:t xml:space="preserve"> net utility</w:t>
      </w:r>
      <w:r>
        <w:t xml:space="preserve"> operating income</w:t>
      </w:r>
      <w:r w:rsidR="00BD7507">
        <w:t xml:space="preserve"> </w:t>
      </w:r>
      <w:r w:rsidR="0047627B">
        <w:t>on generally steady megawatt hour</w:t>
      </w:r>
      <w:r>
        <w:t xml:space="preserve"> (MWh) sales over the period.</w:t>
      </w:r>
      <w:r w:rsidR="00CE284E">
        <w:t xml:space="preserve">  </w:t>
      </w:r>
    </w:p>
    <w:p w:rsidR="002F48C2" w:rsidRDefault="002F48C2" w:rsidP="004D44F4">
      <w:pPr>
        <w:pStyle w:val="Heading30"/>
      </w:pPr>
      <w:r>
        <w:t xml:space="preserve">PPL Corporation </w:t>
      </w:r>
    </w:p>
    <w:p w:rsidR="00904395" w:rsidRDefault="002F48C2" w:rsidP="002F48C2">
      <w:pPr>
        <w:rPr>
          <w:rFonts w:cs="Arial"/>
          <w:color w:val="000000"/>
          <w:szCs w:val="24"/>
        </w:rPr>
      </w:pPr>
      <w:r>
        <w:rPr>
          <w:rFonts w:cs="Arial"/>
          <w:color w:val="000000"/>
          <w:szCs w:val="24"/>
        </w:rPr>
        <w:t xml:space="preserve">PPL EU’s parent, </w:t>
      </w:r>
      <w:r w:rsidRPr="005D2F0F">
        <w:rPr>
          <w:rFonts w:cs="Arial"/>
          <w:color w:val="000000"/>
          <w:szCs w:val="24"/>
        </w:rPr>
        <w:t>PPL Corporation,</w:t>
      </w:r>
      <w:r>
        <w:rPr>
          <w:rFonts w:cs="Arial"/>
          <w:color w:val="000000"/>
          <w:szCs w:val="24"/>
        </w:rPr>
        <w:t xml:space="preserve"> also</w:t>
      </w:r>
      <w:r w:rsidRPr="005D2F0F">
        <w:rPr>
          <w:rFonts w:cs="Arial"/>
          <w:color w:val="000000"/>
          <w:szCs w:val="24"/>
        </w:rPr>
        <w:t xml:space="preserve"> headquartered in Allentown,</w:t>
      </w:r>
      <w:r w:rsidR="007547BF">
        <w:rPr>
          <w:rFonts w:cs="Arial"/>
          <w:color w:val="000000"/>
          <w:szCs w:val="24"/>
        </w:rPr>
        <w:t xml:space="preserve"> Pennsylvania, is a</w:t>
      </w:r>
      <w:r w:rsidR="009D66DD">
        <w:rPr>
          <w:rFonts w:cs="Arial"/>
          <w:color w:val="000000"/>
          <w:szCs w:val="24"/>
        </w:rPr>
        <w:t xml:space="preserve"> </w:t>
      </w:r>
      <w:r w:rsidRPr="005D2F0F">
        <w:rPr>
          <w:rFonts w:cs="Arial"/>
          <w:color w:val="000000"/>
          <w:szCs w:val="24"/>
        </w:rPr>
        <w:t xml:space="preserve">utility holding company that was incorporated in 1994.  Through its subsidiaries, PPL </w:t>
      </w:r>
      <w:r w:rsidR="00560E9F">
        <w:rPr>
          <w:rFonts w:cs="Arial"/>
          <w:color w:val="000000"/>
          <w:szCs w:val="24"/>
        </w:rPr>
        <w:t xml:space="preserve">Corporation </w:t>
      </w:r>
      <w:r w:rsidRPr="005D2F0F">
        <w:rPr>
          <w:rFonts w:cs="Arial"/>
          <w:color w:val="000000"/>
          <w:szCs w:val="24"/>
        </w:rPr>
        <w:t>delivers electricity to customers in the U</w:t>
      </w:r>
      <w:r w:rsidR="00904395">
        <w:rPr>
          <w:rFonts w:cs="Arial"/>
          <w:color w:val="000000"/>
          <w:szCs w:val="24"/>
        </w:rPr>
        <w:t xml:space="preserve">nited </w:t>
      </w:r>
      <w:r w:rsidRPr="005D2F0F">
        <w:rPr>
          <w:rFonts w:cs="Arial"/>
          <w:color w:val="000000"/>
          <w:szCs w:val="24"/>
        </w:rPr>
        <w:t>K</w:t>
      </w:r>
      <w:r w:rsidR="00904395">
        <w:rPr>
          <w:rFonts w:cs="Arial"/>
          <w:color w:val="000000"/>
          <w:szCs w:val="24"/>
        </w:rPr>
        <w:t>ingdom (UK)</w:t>
      </w:r>
      <w:r w:rsidRPr="005D2F0F">
        <w:rPr>
          <w:rFonts w:cs="Arial"/>
          <w:color w:val="000000"/>
          <w:szCs w:val="24"/>
        </w:rPr>
        <w:t>, Pennsylvania, Kentucky, Virginia</w:t>
      </w:r>
      <w:r w:rsidR="00904395">
        <w:rPr>
          <w:rFonts w:cs="Arial"/>
          <w:color w:val="000000"/>
          <w:szCs w:val="24"/>
        </w:rPr>
        <w:t>,</w:t>
      </w:r>
      <w:r w:rsidRPr="005D2F0F">
        <w:rPr>
          <w:rFonts w:cs="Arial"/>
          <w:color w:val="000000"/>
          <w:szCs w:val="24"/>
        </w:rPr>
        <w:t xml:space="preserve"> and Tennessee</w:t>
      </w:r>
      <w:r w:rsidR="00904395">
        <w:rPr>
          <w:rFonts w:cs="Arial"/>
          <w:color w:val="000000"/>
          <w:szCs w:val="24"/>
        </w:rPr>
        <w:t xml:space="preserve"> and</w:t>
      </w:r>
      <w:r w:rsidRPr="005D2F0F">
        <w:rPr>
          <w:rFonts w:cs="Arial"/>
          <w:color w:val="000000"/>
          <w:szCs w:val="24"/>
        </w:rPr>
        <w:t xml:space="preserve"> delivers natural gas to customers in Kentucky</w:t>
      </w:r>
      <w:r w:rsidR="00904395">
        <w:rPr>
          <w:rFonts w:cs="Arial"/>
          <w:color w:val="000000"/>
          <w:szCs w:val="24"/>
        </w:rPr>
        <w:t>.</w:t>
      </w:r>
      <w:r w:rsidRPr="005D2F0F">
        <w:rPr>
          <w:rFonts w:cs="Arial"/>
          <w:color w:val="000000"/>
          <w:szCs w:val="24"/>
        </w:rPr>
        <w:t xml:space="preserve"> </w:t>
      </w:r>
    </w:p>
    <w:p w:rsidR="00904395" w:rsidRDefault="002F48C2" w:rsidP="002F48C2">
      <w:pPr>
        <w:rPr>
          <w:rFonts w:cs="Arial"/>
          <w:color w:val="000000"/>
          <w:szCs w:val="24"/>
        </w:rPr>
      </w:pPr>
      <w:r w:rsidRPr="005D2F0F">
        <w:rPr>
          <w:rFonts w:cs="Arial"/>
          <w:color w:val="000000"/>
          <w:szCs w:val="24"/>
        </w:rPr>
        <w:t>Beginning in 2010, PPL</w:t>
      </w:r>
      <w:r w:rsidR="00904395">
        <w:rPr>
          <w:rFonts w:cs="Arial"/>
          <w:color w:val="000000"/>
          <w:szCs w:val="24"/>
        </w:rPr>
        <w:t xml:space="preserve"> Corporation</w:t>
      </w:r>
      <w:r w:rsidRPr="005D2F0F">
        <w:rPr>
          <w:rFonts w:cs="Arial"/>
          <w:color w:val="000000"/>
          <w:szCs w:val="24"/>
        </w:rPr>
        <w:t xml:space="preserve"> expanded the rate regulated portion of its business, principally through the 2010 acquisition of </w:t>
      </w:r>
      <w:r w:rsidR="003E7E88">
        <w:rPr>
          <w:rFonts w:cs="Arial"/>
          <w:color w:val="000000"/>
          <w:szCs w:val="24"/>
        </w:rPr>
        <w:t xml:space="preserve">E.ON U.S. LLC (now known as </w:t>
      </w:r>
      <w:r w:rsidR="0017439E" w:rsidRPr="0017439E">
        <w:rPr>
          <w:rFonts w:cs="Arial"/>
          <w:color w:val="000000"/>
          <w:szCs w:val="24"/>
        </w:rPr>
        <w:t>LG&amp;E and KU Energy LLC</w:t>
      </w:r>
      <w:r w:rsidR="00BF3C55">
        <w:rPr>
          <w:rFonts w:cs="Arial"/>
          <w:color w:val="000000"/>
          <w:szCs w:val="24"/>
        </w:rPr>
        <w:t xml:space="preserve"> (</w:t>
      </w:r>
      <w:r w:rsidRPr="00D2267E">
        <w:rPr>
          <w:rFonts w:cs="Arial"/>
          <w:color w:val="000000"/>
          <w:szCs w:val="24"/>
        </w:rPr>
        <w:t>LKE</w:t>
      </w:r>
      <w:r w:rsidR="00BF3C55">
        <w:rPr>
          <w:rFonts w:cs="Arial"/>
          <w:color w:val="000000"/>
          <w:szCs w:val="24"/>
        </w:rPr>
        <w:t>)</w:t>
      </w:r>
      <w:r w:rsidR="003E7E88">
        <w:rPr>
          <w:rFonts w:cs="Arial"/>
          <w:color w:val="000000"/>
          <w:szCs w:val="24"/>
        </w:rPr>
        <w:t>)</w:t>
      </w:r>
      <w:r w:rsidRPr="005D2F0F">
        <w:rPr>
          <w:rFonts w:cs="Arial"/>
          <w:color w:val="000000"/>
          <w:szCs w:val="24"/>
        </w:rPr>
        <w:t xml:space="preserve"> and the 2011 acquisition of </w:t>
      </w:r>
      <w:r w:rsidR="003E7E88">
        <w:rPr>
          <w:rFonts w:cs="Arial"/>
          <w:color w:val="000000"/>
          <w:szCs w:val="24"/>
        </w:rPr>
        <w:t xml:space="preserve">additional operations in the UK, which is now part of the </w:t>
      </w:r>
      <w:r w:rsidR="00876A9D">
        <w:rPr>
          <w:rFonts w:cs="Arial"/>
          <w:color w:val="000000"/>
          <w:szCs w:val="24"/>
        </w:rPr>
        <w:t>WPD Midlands</w:t>
      </w:r>
      <w:r w:rsidR="007547BF">
        <w:rPr>
          <w:rFonts w:cs="Arial"/>
          <w:color w:val="000000"/>
          <w:szCs w:val="24"/>
        </w:rPr>
        <w:t xml:space="preserve"> </w:t>
      </w:r>
      <w:r w:rsidR="003E7E88">
        <w:rPr>
          <w:rFonts w:cs="Arial"/>
          <w:color w:val="000000"/>
          <w:szCs w:val="24"/>
        </w:rPr>
        <w:t>group of companies in the UK.</w:t>
      </w:r>
      <w:r w:rsidRPr="005D2F0F">
        <w:rPr>
          <w:rFonts w:cs="Arial"/>
          <w:color w:val="000000"/>
          <w:szCs w:val="24"/>
        </w:rPr>
        <w:t xml:space="preserve">  </w:t>
      </w:r>
    </w:p>
    <w:p w:rsidR="002F48C2" w:rsidRPr="005D2F0F" w:rsidRDefault="002F48C2" w:rsidP="002F48C2">
      <w:pPr>
        <w:rPr>
          <w:rFonts w:cs="Arial"/>
          <w:color w:val="000000"/>
          <w:szCs w:val="24"/>
        </w:rPr>
      </w:pPr>
      <w:r w:rsidRPr="005D2F0F">
        <w:rPr>
          <w:rFonts w:cs="Arial"/>
          <w:color w:val="000000"/>
          <w:szCs w:val="24"/>
        </w:rPr>
        <w:t xml:space="preserve">In June </w:t>
      </w:r>
      <w:r w:rsidR="003E7E88" w:rsidRPr="005D2F0F">
        <w:rPr>
          <w:rFonts w:cs="Arial"/>
          <w:color w:val="000000"/>
          <w:szCs w:val="24"/>
        </w:rPr>
        <w:t>201</w:t>
      </w:r>
      <w:r w:rsidR="003E7E88">
        <w:rPr>
          <w:rFonts w:cs="Arial"/>
          <w:color w:val="000000"/>
          <w:szCs w:val="24"/>
        </w:rPr>
        <w:t>5</w:t>
      </w:r>
      <w:r w:rsidRPr="005D2F0F">
        <w:rPr>
          <w:rFonts w:cs="Arial"/>
          <w:color w:val="000000"/>
          <w:szCs w:val="24"/>
        </w:rPr>
        <w:t xml:space="preserve">, PPL </w:t>
      </w:r>
      <w:r w:rsidR="00786779">
        <w:rPr>
          <w:rFonts w:cs="Arial"/>
          <w:color w:val="000000"/>
          <w:szCs w:val="24"/>
        </w:rPr>
        <w:t>Corporation</w:t>
      </w:r>
      <w:r w:rsidR="00D2267E">
        <w:rPr>
          <w:rFonts w:cs="Arial"/>
          <w:color w:val="000000"/>
          <w:szCs w:val="24"/>
        </w:rPr>
        <w:t xml:space="preserve"> </w:t>
      </w:r>
      <w:r w:rsidR="003E7E88">
        <w:rPr>
          <w:rFonts w:cs="Arial"/>
          <w:color w:val="000000"/>
          <w:szCs w:val="24"/>
        </w:rPr>
        <w:t>spun off it</w:t>
      </w:r>
      <w:r w:rsidR="002A2C2C">
        <w:rPr>
          <w:rFonts w:cs="Arial"/>
          <w:color w:val="000000"/>
          <w:szCs w:val="24"/>
        </w:rPr>
        <w:t>s</w:t>
      </w:r>
      <w:r w:rsidR="003E7E88">
        <w:rPr>
          <w:rFonts w:cs="Arial"/>
          <w:color w:val="000000"/>
          <w:szCs w:val="24"/>
        </w:rPr>
        <w:t xml:space="preserve"> </w:t>
      </w:r>
      <w:r w:rsidRPr="005D2F0F">
        <w:rPr>
          <w:rFonts w:cs="Arial"/>
          <w:color w:val="000000"/>
          <w:szCs w:val="24"/>
        </w:rPr>
        <w:t>competitive power generation</w:t>
      </w:r>
      <w:r w:rsidR="003E7E88">
        <w:rPr>
          <w:rFonts w:cs="Arial"/>
          <w:color w:val="000000"/>
          <w:szCs w:val="24"/>
        </w:rPr>
        <w:t>, energy marketing and related</w:t>
      </w:r>
      <w:r w:rsidRPr="005D2F0F">
        <w:rPr>
          <w:rFonts w:cs="Arial"/>
          <w:color w:val="000000"/>
          <w:szCs w:val="24"/>
        </w:rPr>
        <w:t xml:space="preserve"> businesses</w:t>
      </w:r>
      <w:r w:rsidR="003E7E88">
        <w:rPr>
          <w:rFonts w:cs="Arial"/>
          <w:color w:val="000000"/>
          <w:szCs w:val="24"/>
        </w:rPr>
        <w:t>. The PPL Corporation business</w:t>
      </w:r>
      <w:r w:rsidR="002A2C2C">
        <w:rPr>
          <w:rFonts w:cs="Arial"/>
          <w:color w:val="000000"/>
          <w:szCs w:val="24"/>
        </w:rPr>
        <w:t>es</w:t>
      </w:r>
      <w:r w:rsidR="003E7E88">
        <w:rPr>
          <w:rFonts w:cs="Arial"/>
          <w:color w:val="000000"/>
          <w:szCs w:val="24"/>
        </w:rPr>
        <w:t xml:space="preserve"> were combined with assets of Riverstone Holdings LLC</w:t>
      </w:r>
      <w:r w:rsidRPr="005D2F0F">
        <w:rPr>
          <w:rFonts w:cs="Arial"/>
          <w:color w:val="000000"/>
          <w:szCs w:val="24"/>
        </w:rPr>
        <w:t xml:space="preserve"> into a new, stand-alone, publicly traded company named </w:t>
      </w:r>
      <w:r w:rsidRPr="00D2267E">
        <w:rPr>
          <w:rFonts w:cs="Arial"/>
          <w:color w:val="000000"/>
          <w:szCs w:val="24"/>
        </w:rPr>
        <w:t>Talen Energy</w:t>
      </w:r>
      <w:r w:rsidR="0017439E">
        <w:rPr>
          <w:rFonts w:cs="Arial"/>
          <w:color w:val="000000"/>
          <w:szCs w:val="24"/>
        </w:rPr>
        <w:t xml:space="preserve"> Corporation (Talen)</w:t>
      </w:r>
      <w:r w:rsidRPr="005D2F0F">
        <w:rPr>
          <w:rFonts w:cs="Arial"/>
          <w:color w:val="000000"/>
          <w:szCs w:val="24"/>
        </w:rPr>
        <w:t>.</w:t>
      </w:r>
      <w:r w:rsidR="008B1CC4">
        <w:rPr>
          <w:rFonts w:cs="Arial"/>
          <w:color w:val="000000"/>
          <w:szCs w:val="24"/>
        </w:rPr>
        <w:t xml:space="preserve">  The transaction was completed on June 1, 2015.</w:t>
      </w:r>
      <w:r w:rsidRPr="005D2F0F">
        <w:rPr>
          <w:rFonts w:cs="Arial"/>
          <w:color w:val="000000"/>
          <w:szCs w:val="24"/>
        </w:rPr>
        <w:t xml:space="preserve">  See "</w:t>
      </w:r>
      <w:r w:rsidR="004F73E7">
        <w:rPr>
          <w:rFonts w:cs="Arial"/>
          <w:color w:val="000000"/>
          <w:szCs w:val="24"/>
        </w:rPr>
        <w:t>Talen Spinoff</w:t>
      </w:r>
      <w:r w:rsidRPr="005D2F0F">
        <w:rPr>
          <w:rFonts w:cs="Arial"/>
          <w:color w:val="000000"/>
          <w:szCs w:val="24"/>
        </w:rPr>
        <w:t>" below for more information.</w:t>
      </w:r>
    </w:p>
    <w:p w:rsidR="002F48C2" w:rsidRDefault="002F48C2" w:rsidP="002F48C2">
      <w:pPr>
        <w:rPr>
          <w:rFonts w:cs="Arial"/>
          <w:color w:val="000000"/>
          <w:szCs w:val="24"/>
        </w:rPr>
      </w:pPr>
      <w:r w:rsidRPr="005D2F0F">
        <w:rPr>
          <w:rFonts w:cs="Arial"/>
          <w:color w:val="000000"/>
          <w:szCs w:val="24"/>
        </w:rPr>
        <w:t>PPL's principal s</w:t>
      </w:r>
      <w:r w:rsidR="004F73E7">
        <w:rPr>
          <w:rFonts w:cs="Arial"/>
          <w:color w:val="000000"/>
          <w:szCs w:val="24"/>
        </w:rPr>
        <w:t>ubsidiaries at December 31, 2015</w:t>
      </w:r>
      <w:r w:rsidRPr="005D2F0F">
        <w:rPr>
          <w:rFonts w:cs="Arial"/>
          <w:color w:val="000000"/>
          <w:szCs w:val="24"/>
        </w:rPr>
        <w:t xml:space="preserve"> are shown below (* denotes a</w:t>
      </w:r>
      <w:r>
        <w:rPr>
          <w:rFonts w:cs="Arial"/>
          <w:color w:val="000000"/>
          <w:szCs w:val="24"/>
        </w:rPr>
        <w:t xml:space="preserve"> SEC</w:t>
      </w:r>
      <w:r w:rsidRPr="005D2F0F">
        <w:rPr>
          <w:rFonts w:cs="Arial"/>
          <w:color w:val="000000"/>
          <w:szCs w:val="24"/>
        </w:rPr>
        <w:t xml:space="preserve"> Registrant).</w:t>
      </w:r>
    </w:p>
    <w:p w:rsidR="002F48C2" w:rsidRDefault="00356110" w:rsidP="00356110">
      <w:pPr>
        <w:pStyle w:val="Caption"/>
        <w:rPr>
          <w:rFonts w:cs="Arial"/>
          <w:noProof/>
          <w:szCs w:val="24"/>
        </w:rPr>
      </w:pPr>
      <w:bookmarkStart w:id="26" w:name="_Toc464552934"/>
      <w:r>
        <w:lastRenderedPageBreak/>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8</w:t>
      </w:r>
      <w:r w:rsidR="00CB2B2A">
        <w:rPr>
          <w:noProof/>
        </w:rPr>
        <w:fldChar w:fldCharType="end"/>
      </w:r>
      <w:r w:rsidR="00F03CD4">
        <w:br/>
      </w:r>
      <w:r w:rsidR="00165B0A">
        <w:t>PPL Corporation Principal Subsidiaries</w:t>
      </w:r>
      <w:bookmarkEnd w:id="26"/>
    </w:p>
    <w:p w:rsidR="008D63DB" w:rsidRPr="008D63DB" w:rsidRDefault="00F56A7D" w:rsidP="00C2598F">
      <w:pPr>
        <w:jc w:val="center"/>
      </w:pPr>
      <w:r>
        <w:rPr>
          <w:noProof/>
        </w:rPr>
        <w:drawing>
          <wp:inline distT="0" distB="0" distL="0" distR="0">
            <wp:extent cx="5943600" cy="2555193"/>
            <wp:effectExtent l="19050" t="0" r="0" b="0"/>
            <wp:docPr id="6" name="Picture 6" descr="C:\Users\DWhitman\AppData\Local\Microsoft\Windows\Temporary Internet Files\Content.Outlook\MQQN54CH\PPL-Corp_Annual-Rpt_Subsidiaries_page1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Whitman\AppData\Local\Microsoft\Windows\Temporary Internet Files\Content.Outlook\MQQN54CH\PPL-Corp_Annual-Rpt_Subsidiaries_page1_v3.jpg"/>
                    <pic:cNvPicPr>
                      <a:picLocks noChangeAspect="1" noChangeArrowheads="1"/>
                    </pic:cNvPicPr>
                  </pic:nvPicPr>
                  <pic:blipFill>
                    <a:blip r:embed="rId15"/>
                    <a:srcRect/>
                    <a:stretch>
                      <a:fillRect/>
                    </a:stretch>
                  </pic:blipFill>
                  <pic:spPr bwMode="auto">
                    <a:xfrm>
                      <a:off x="0" y="0"/>
                      <a:ext cx="5943600" cy="2555193"/>
                    </a:xfrm>
                    <a:prstGeom prst="rect">
                      <a:avLst/>
                    </a:prstGeom>
                    <a:noFill/>
                    <a:ln w="9525">
                      <a:noFill/>
                      <a:miter lim="800000"/>
                      <a:headEnd/>
                      <a:tailEnd/>
                    </a:ln>
                  </pic:spPr>
                </pic:pic>
              </a:graphicData>
            </a:graphic>
          </wp:inline>
        </w:drawing>
      </w:r>
    </w:p>
    <w:p w:rsidR="002F48C2" w:rsidRPr="00361635" w:rsidRDefault="009D66DD" w:rsidP="004B49C7">
      <w:r>
        <w:t xml:space="preserve">Source:  </w:t>
      </w:r>
      <w:r w:rsidRPr="009D66DD">
        <w:t>PPL Corporation Annual Report 2015</w:t>
      </w:r>
    </w:p>
    <w:p w:rsidR="002F48C2" w:rsidRDefault="002F48C2" w:rsidP="00356110">
      <w:pPr>
        <w:pStyle w:val="Heading40"/>
      </w:pPr>
      <w:r>
        <w:t>Legal Entity Organization Structure</w:t>
      </w:r>
    </w:p>
    <w:p w:rsidR="002F48C2" w:rsidRDefault="002F48C2" w:rsidP="002F48C2">
      <w:r>
        <w:t xml:space="preserve">PPL Corporation, the holding company, has a complex legal entity organization structure </w:t>
      </w:r>
      <w:r w:rsidR="002C1CCB">
        <w:t>with</w:t>
      </w:r>
      <w:r>
        <w:t xml:space="preserve"> nine direct subsidiaries</w:t>
      </w:r>
      <w:r w:rsidR="003A09D6">
        <w:t>.  The</w:t>
      </w:r>
      <w:r w:rsidR="00A31136">
        <w:t xml:space="preserve"> following </w:t>
      </w:r>
      <w:r>
        <w:t>regulated utilities</w:t>
      </w:r>
      <w:r w:rsidR="003A09D6">
        <w:t xml:space="preserve"> are subsidiaries of PPL Corporation</w:t>
      </w:r>
      <w:r>
        <w:t>.</w:t>
      </w:r>
    </w:p>
    <w:p w:rsidR="002F48C2" w:rsidRDefault="002F48C2" w:rsidP="004B49C7">
      <w:r w:rsidRPr="00CC4366">
        <w:rPr>
          <w:b/>
        </w:rPr>
        <w:t>PPL Electric Utilities Corporation</w:t>
      </w:r>
      <w:r w:rsidR="00C37874">
        <w:rPr>
          <w:b/>
        </w:rPr>
        <w:t xml:space="preserve"> (PPL EU)</w:t>
      </w:r>
      <w:r w:rsidRPr="00CC4366">
        <w:rPr>
          <w:b/>
        </w:rPr>
        <w:t>,</w:t>
      </w:r>
      <w:r>
        <w:t xml:space="preserve"> headquartered in Allentown, Pennsylvania, is a direct wholly owned subsidiary of PPL </w:t>
      </w:r>
      <w:r w:rsidR="002C1CCB">
        <w:t>Corporation</w:t>
      </w:r>
      <w:r>
        <w:t>.</w:t>
      </w:r>
    </w:p>
    <w:p w:rsidR="002F48C2" w:rsidRDefault="002F48C2" w:rsidP="004B49C7">
      <w:r w:rsidRPr="00CC4366">
        <w:rPr>
          <w:b/>
        </w:rPr>
        <w:t>LG&amp;E and KU Energy LLC</w:t>
      </w:r>
      <w:r w:rsidR="003A7630">
        <w:rPr>
          <w:b/>
        </w:rPr>
        <w:t xml:space="preserve"> (LKE)</w:t>
      </w:r>
      <w:r w:rsidRPr="00CC4366">
        <w:rPr>
          <w:b/>
        </w:rPr>
        <w:t>,</w:t>
      </w:r>
      <w:r>
        <w:t xml:space="preserve"> headquartered in Louisville, Kentucky, </w:t>
      </w:r>
      <w:r w:rsidR="002C1CCB">
        <w:t>has been</w:t>
      </w:r>
      <w:r>
        <w:t xml:space="preserve"> a wholly owned subsidiary of PPL </w:t>
      </w:r>
      <w:r w:rsidR="002C1CCB">
        <w:t xml:space="preserve">Corporation </w:t>
      </w:r>
      <w:r>
        <w:t>since 2010</w:t>
      </w:r>
      <w:r w:rsidR="00904395">
        <w:t>.</w:t>
      </w:r>
      <w:r w:rsidR="002C1CCB">
        <w:t xml:space="preserve"> </w:t>
      </w:r>
      <w:r w:rsidR="00201C61">
        <w:t xml:space="preserve"> </w:t>
      </w:r>
      <w:r w:rsidR="00904395">
        <w:t xml:space="preserve">LKE </w:t>
      </w:r>
      <w:r w:rsidR="002C1CCB">
        <w:t>operat</w:t>
      </w:r>
      <w:r w:rsidR="00904395">
        <w:t>es</w:t>
      </w:r>
      <w:r w:rsidR="002C1CCB">
        <w:t xml:space="preserve"> as</w:t>
      </w:r>
      <w:r>
        <w:t xml:space="preserve"> a </w:t>
      </w:r>
      <w:r w:rsidR="00904395">
        <w:t>sub-</w:t>
      </w:r>
      <w:r>
        <w:t xml:space="preserve">holding company that owns regulated utility operations through its subsidiaries, </w:t>
      </w:r>
      <w:r w:rsidR="00C67763">
        <w:t>Louisville Gas and Electric Company (</w:t>
      </w:r>
      <w:r>
        <w:t>LG&amp;E</w:t>
      </w:r>
      <w:r w:rsidR="00C67763">
        <w:t>)</w:t>
      </w:r>
      <w:r>
        <w:t xml:space="preserve"> and </w:t>
      </w:r>
      <w:r w:rsidR="00C67763">
        <w:t>Kentucky Utilities Company (</w:t>
      </w:r>
      <w:r>
        <w:t>KU</w:t>
      </w:r>
      <w:r w:rsidR="00C67763">
        <w:t>)</w:t>
      </w:r>
      <w:r>
        <w:t>, which constitute substantially all of LKE's assets.  LG&amp;E and KU are engaged in the generation, transmission, distribution</w:t>
      </w:r>
      <w:r w:rsidR="00201C61">
        <w:t>,</w:t>
      </w:r>
      <w:r>
        <w:t xml:space="preserve"> and sale of electricity.  LG&amp;E also engages in the distribution and sale of natural gas.  LG&amp;E and KU maintain their separate corporate identities and serve customers in Kentucky under their respective names.  KU also serves customers in Virginia under the Old Dominion Power name and in Tennessee under the KU name.</w:t>
      </w:r>
    </w:p>
    <w:p w:rsidR="002F48C2" w:rsidRDefault="002F48C2" w:rsidP="004B49C7">
      <w:r w:rsidRPr="00CC4366">
        <w:rPr>
          <w:b/>
        </w:rPr>
        <w:t>Louisville Gas and Electric Company</w:t>
      </w:r>
      <w:r w:rsidR="00C37874">
        <w:rPr>
          <w:b/>
        </w:rPr>
        <w:t xml:space="preserve"> (LG&amp;E)</w:t>
      </w:r>
      <w:r w:rsidRPr="00CC4366">
        <w:rPr>
          <w:b/>
        </w:rPr>
        <w:t>,</w:t>
      </w:r>
      <w:r>
        <w:t xml:space="preserve"> headquartered in Louisville, Kentucky, is a wholly owned subsidiary of LKE and a regulated utility engaged in the generation, transmission, distribution </w:t>
      </w:r>
      <w:r w:rsidR="003E7E88">
        <w:t>and sale</w:t>
      </w:r>
      <w:r>
        <w:t xml:space="preserve"> of electricity</w:t>
      </w:r>
      <w:r w:rsidR="00C37874">
        <w:t>;</w:t>
      </w:r>
      <w:r>
        <w:t xml:space="preserve"> and distribution</w:t>
      </w:r>
      <w:r w:rsidR="003E7E88">
        <w:t xml:space="preserve"> and sale</w:t>
      </w:r>
      <w:r>
        <w:t xml:space="preserve"> of natural gas in Kentucky.  LG&amp;E is subject to regulation as a public utility by the </w:t>
      </w:r>
      <w:r w:rsidR="00C37874">
        <w:t>Kentucky Public Service Commission (</w:t>
      </w:r>
      <w:r>
        <w:t>KPSC</w:t>
      </w:r>
      <w:r w:rsidR="00C37874">
        <w:t>)</w:t>
      </w:r>
      <w:r>
        <w:t>, and certain of its transmission activities are subject to the jurisdiction of the FERC under the Federal Power Act.  LG&amp;E was incorporated in 1913.</w:t>
      </w:r>
    </w:p>
    <w:p w:rsidR="002F48C2" w:rsidRDefault="002F48C2" w:rsidP="004B49C7">
      <w:r w:rsidRPr="00CC4366">
        <w:rPr>
          <w:b/>
        </w:rPr>
        <w:t>Kentucky Utilities Company</w:t>
      </w:r>
      <w:r w:rsidR="00C37874">
        <w:rPr>
          <w:b/>
        </w:rPr>
        <w:t xml:space="preserve"> (KU)</w:t>
      </w:r>
      <w:r w:rsidRPr="00CC4366">
        <w:rPr>
          <w:b/>
        </w:rPr>
        <w:t>,</w:t>
      </w:r>
      <w:r>
        <w:t xml:space="preserve"> headquartered in Lexington, Kentucky, is </w:t>
      </w:r>
      <w:r w:rsidR="003A7630">
        <w:t xml:space="preserve">also </w:t>
      </w:r>
      <w:r>
        <w:t>a wholly owned subsidiary of LKE and a regulated utility engaged in the generation, transmission, distribution</w:t>
      </w:r>
      <w:r w:rsidR="003448A8">
        <w:t>,</w:t>
      </w:r>
      <w:r>
        <w:t xml:space="preserve"> and sale of electricity in Kentucky, Virginia</w:t>
      </w:r>
      <w:r w:rsidR="003448A8">
        <w:t>,</w:t>
      </w:r>
      <w:r>
        <w:t xml:space="preserve"> and Tennessee.  </w:t>
      </w:r>
      <w:r>
        <w:lastRenderedPageBreak/>
        <w:t xml:space="preserve">KU is subject to regulation as a public utility by the KPSC, the </w:t>
      </w:r>
      <w:r w:rsidR="00D2267E">
        <w:t>Virginia State Corporation Commission (</w:t>
      </w:r>
      <w:r w:rsidRPr="00D2267E">
        <w:t>VSCC</w:t>
      </w:r>
      <w:r w:rsidR="00D2267E" w:rsidRPr="00D2267E">
        <w:t>)</w:t>
      </w:r>
      <w:r w:rsidRPr="00D2267E">
        <w:t xml:space="preserve"> and the </w:t>
      </w:r>
      <w:r w:rsidR="00D2267E" w:rsidRPr="00D2267E">
        <w:t>Tennessee Regulatory Authority (</w:t>
      </w:r>
      <w:r w:rsidRPr="00D2267E">
        <w:t>TRA</w:t>
      </w:r>
      <w:r w:rsidR="00D2267E">
        <w:t>)</w:t>
      </w:r>
      <w:r>
        <w:t>, and certain of its transmission and wholesale power activities are subject to the jurisdiction of the FERC under the Federal Power Act.  KU was incorporated in Kentucky in 1912 and in Virginia in 1991.  KU serves its Virginia customers under the Old Dominion Power name and its Kentucky and Tennessee customers under the KU name.</w:t>
      </w:r>
    </w:p>
    <w:p w:rsidR="002F48C2" w:rsidRDefault="008B1CC4" w:rsidP="004B49C7">
      <w:proofErr w:type="gramStart"/>
      <w:r>
        <w:rPr>
          <w:b/>
        </w:rPr>
        <w:t xml:space="preserve">PPL Global and </w:t>
      </w:r>
      <w:r w:rsidR="002F48C2">
        <w:rPr>
          <w:b/>
        </w:rPr>
        <w:t>Western Power Distribution</w:t>
      </w:r>
      <w:r w:rsidR="00876A9D">
        <w:rPr>
          <w:b/>
        </w:rPr>
        <w:t xml:space="preserve"> Midlands Companies</w:t>
      </w:r>
      <w:r w:rsidR="002F48C2">
        <w:rPr>
          <w:b/>
        </w:rPr>
        <w:t xml:space="preserve"> (</w:t>
      </w:r>
      <w:r w:rsidR="00876A9D">
        <w:rPr>
          <w:b/>
        </w:rPr>
        <w:t>WPD Midlands</w:t>
      </w:r>
      <w:r w:rsidR="002F48C2">
        <w:rPr>
          <w:b/>
        </w:rPr>
        <w:t>).</w:t>
      </w:r>
      <w:proofErr w:type="gramEnd"/>
      <w:r w:rsidR="002F48C2" w:rsidRPr="00201C61">
        <w:t xml:space="preserve">  </w:t>
      </w:r>
      <w:r w:rsidR="002F48C2">
        <w:t>In addition to its domestic U.S. regulated holdings, PPL Cor</w:t>
      </w:r>
      <w:r w:rsidR="00C2598F">
        <w:t>porat</w:t>
      </w:r>
      <w:r>
        <w:t>ion, through its subsidiary</w:t>
      </w:r>
      <w:r w:rsidR="002F48C2">
        <w:t>,</w:t>
      </w:r>
      <w:r w:rsidR="00C2598F">
        <w:t xml:space="preserve"> PPL Global, LLC</w:t>
      </w:r>
      <w:r w:rsidR="003448A8">
        <w:t>,</w:t>
      </w:r>
      <w:r w:rsidR="002F48C2">
        <w:t xml:space="preserve"> owns </w:t>
      </w:r>
      <w:r w:rsidR="00876A9D">
        <w:t>WPD Midlands</w:t>
      </w:r>
      <w:r w:rsidR="002F48C2" w:rsidRPr="00E51B08">
        <w:t>,</w:t>
      </w:r>
      <w:r w:rsidR="002F48C2">
        <w:t xml:space="preserve"> a </w:t>
      </w:r>
      <w:r w:rsidR="003E7E88">
        <w:t>UK</w:t>
      </w:r>
      <w:r w:rsidR="002F48C2">
        <w:t xml:space="preserve"> holding company that</w:t>
      </w:r>
      <w:r w:rsidR="003448A8">
        <w:t>,</w:t>
      </w:r>
      <w:r w:rsidR="002F48C2" w:rsidRPr="00E51B08">
        <w:t xml:space="preserve"> through indirect</w:t>
      </w:r>
      <w:r w:rsidR="00F7046C">
        <w:t>ly</w:t>
      </w:r>
      <w:r w:rsidR="002F48C2" w:rsidRPr="00E51B08">
        <w:t xml:space="preserve"> wholly owned </w:t>
      </w:r>
      <w:r w:rsidR="002D0FE9" w:rsidRPr="00E51B08">
        <w:t>subsidiaries</w:t>
      </w:r>
      <w:r w:rsidR="003448A8">
        <w:t>,</w:t>
      </w:r>
      <w:r w:rsidR="002F48C2" w:rsidRPr="00E51B08">
        <w:t xml:space="preserve"> operates four of the 15 regulated distribution networks providing electricity service in the UK.  The number of network customers (end-users) served by </w:t>
      </w:r>
      <w:r w:rsidR="00876A9D">
        <w:t>WPD Midlands</w:t>
      </w:r>
      <w:r w:rsidR="002F48C2" w:rsidRPr="00E51B08">
        <w:t xml:space="preserve"> totals 7.8 million across 21,600 square miles in Wales and southwest and central England.</w:t>
      </w:r>
      <w:r w:rsidR="004F73E7">
        <w:t xml:space="preserve">  </w:t>
      </w:r>
      <w:r w:rsidR="002F48C2">
        <w:t xml:space="preserve">The operations of </w:t>
      </w:r>
      <w:r w:rsidR="00876A9D">
        <w:t>WPD Midlands’</w:t>
      </w:r>
      <w:r w:rsidR="002F48C2">
        <w:t xml:space="preserve"> principal subsidiaries, W</w:t>
      </w:r>
      <w:r w:rsidR="003E7E88">
        <w:t xml:space="preserve">estern </w:t>
      </w:r>
      <w:r w:rsidR="002F48C2">
        <w:t>P</w:t>
      </w:r>
      <w:r w:rsidR="003E7E88">
        <w:t xml:space="preserve">ower </w:t>
      </w:r>
      <w:r w:rsidR="002F48C2">
        <w:t>D</w:t>
      </w:r>
      <w:r w:rsidR="003E7E88">
        <w:t>istribution</w:t>
      </w:r>
      <w:r w:rsidR="00273F5B">
        <w:t xml:space="preserve"> (</w:t>
      </w:r>
      <w:r w:rsidR="002F48C2">
        <w:t>South West</w:t>
      </w:r>
      <w:r w:rsidR="003E7E88">
        <w:t>) plc</w:t>
      </w:r>
      <w:r w:rsidR="002F48C2">
        <w:t>, W</w:t>
      </w:r>
      <w:r w:rsidR="003E7E88">
        <w:t xml:space="preserve">estern </w:t>
      </w:r>
      <w:r w:rsidR="002F48C2">
        <w:t>P</w:t>
      </w:r>
      <w:r w:rsidR="003E7E88">
        <w:t xml:space="preserve">ower </w:t>
      </w:r>
      <w:r w:rsidR="002F48C2">
        <w:t>D</w:t>
      </w:r>
      <w:r w:rsidR="003E7E88">
        <w:t>istribution</w:t>
      </w:r>
      <w:r w:rsidR="00273F5B">
        <w:t xml:space="preserve"> </w:t>
      </w:r>
      <w:r w:rsidR="003E7E88">
        <w:t>(</w:t>
      </w:r>
      <w:r w:rsidR="002F48C2">
        <w:t>South Wales</w:t>
      </w:r>
      <w:r w:rsidR="003E7E88">
        <w:t>) plc</w:t>
      </w:r>
      <w:r w:rsidR="002F48C2">
        <w:t>, W</w:t>
      </w:r>
      <w:r w:rsidR="003E7E88">
        <w:t xml:space="preserve">estern </w:t>
      </w:r>
      <w:r w:rsidR="002F48C2">
        <w:t>P</w:t>
      </w:r>
      <w:r w:rsidR="003E7E88">
        <w:t xml:space="preserve">ower </w:t>
      </w:r>
      <w:r w:rsidR="002F48C2">
        <w:t>D</w:t>
      </w:r>
      <w:r w:rsidR="003E7E88">
        <w:t>istribu</w:t>
      </w:r>
      <w:r w:rsidR="002E3C5B">
        <w:t>t</w:t>
      </w:r>
      <w:r w:rsidR="003E7E88">
        <w:t>ion</w:t>
      </w:r>
      <w:r w:rsidR="00273F5B">
        <w:t xml:space="preserve"> </w:t>
      </w:r>
      <w:r w:rsidR="003E7E88">
        <w:t>(</w:t>
      </w:r>
      <w:r w:rsidR="002F48C2">
        <w:t>East Midlands</w:t>
      </w:r>
      <w:r w:rsidR="003E7E88">
        <w:t>) plc</w:t>
      </w:r>
      <w:r w:rsidR="003448A8">
        <w:t>,</w:t>
      </w:r>
      <w:r w:rsidR="002F48C2">
        <w:t xml:space="preserve"> and W</w:t>
      </w:r>
      <w:r w:rsidR="003E7E88">
        <w:t xml:space="preserve">estern </w:t>
      </w:r>
      <w:r w:rsidR="002F48C2">
        <w:t>P</w:t>
      </w:r>
      <w:r w:rsidR="003E7E88">
        <w:t xml:space="preserve">ower </w:t>
      </w:r>
      <w:r w:rsidR="002F48C2">
        <w:t>D</w:t>
      </w:r>
      <w:r w:rsidR="003E7E88">
        <w:t>istribution</w:t>
      </w:r>
      <w:r w:rsidR="00273F5B">
        <w:t xml:space="preserve"> </w:t>
      </w:r>
      <w:r w:rsidR="003E7E88">
        <w:t>(</w:t>
      </w:r>
      <w:r w:rsidR="002F48C2">
        <w:t>West Midland</w:t>
      </w:r>
      <w:r w:rsidR="003E7E88">
        <w:t>s) plc</w:t>
      </w:r>
      <w:r w:rsidR="002F48C2">
        <w:t xml:space="preserve"> are regulated by the UK’s Office of Gas and Electricity Markets under the direction of the Gas and Electricity Markets Authority.</w:t>
      </w:r>
    </w:p>
    <w:p w:rsidR="00C630FB" w:rsidRDefault="00C630FB" w:rsidP="00356110">
      <w:pPr>
        <w:pStyle w:val="Heading40"/>
      </w:pPr>
      <w:r>
        <w:t>PPL Corporation Officers</w:t>
      </w:r>
    </w:p>
    <w:p w:rsidR="00C630FB" w:rsidRDefault="00C630FB" w:rsidP="00C630FB">
      <w:r>
        <w:t>PPL Corporation has appointed the following</w:t>
      </w:r>
      <w:r w:rsidR="001D3006">
        <w:t xml:space="preserve"> </w:t>
      </w:r>
      <w:r w:rsidR="00636DBC">
        <w:t>eight</w:t>
      </w:r>
      <w:r>
        <w:t xml:space="preserve"> officers</w:t>
      </w:r>
      <w:r w:rsidR="003E7E88">
        <w:t xml:space="preserve"> as of December 31, 2015</w:t>
      </w:r>
      <w:r>
        <w:t>.</w:t>
      </w:r>
    </w:p>
    <w:p w:rsidR="00C630FB" w:rsidRDefault="003E7E88" w:rsidP="00165B0A">
      <w:pPr>
        <w:pStyle w:val="Bullet"/>
      </w:pPr>
      <w:r>
        <w:t xml:space="preserve">Chairman, </w:t>
      </w:r>
      <w:r w:rsidR="00C630FB">
        <w:t>President and Chief E</w:t>
      </w:r>
      <w:r w:rsidR="009F7316">
        <w:t>xecutive Ofﬁcer</w:t>
      </w:r>
      <w:r w:rsidR="00C630FB">
        <w:t xml:space="preserve"> </w:t>
      </w:r>
    </w:p>
    <w:p w:rsidR="00636DBC" w:rsidRDefault="00C630FB" w:rsidP="00165B0A">
      <w:pPr>
        <w:pStyle w:val="Bullet"/>
      </w:pPr>
      <w:r>
        <w:t>Executive Vice President</w:t>
      </w:r>
      <w:r w:rsidR="00636DBC">
        <w:t xml:space="preserve"> </w:t>
      </w:r>
      <w:r w:rsidR="003E7E88">
        <w:t>and Chief Legal Officer</w:t>
      </w:r>
    </w:p>
    <w:p w:rsidR="00C630FB" w:rsidRDefault="00C630FB" w:rsidP="00165B0A">
      <w:pPr>
        <w:pStyle w:val="Bullet"/>
      </w:pPr>
      <w:r>
        <w:t>Senior Vice President and Chief F</w:t>
      </w:r>
      <w:r w:rsidR="009F7316">
        <w:t>inancial Ofﬁcer</w:t>
      </w:r>
    </w:p>
    <w:p w:rsidR="00C630FB" w:rsidRDefault="00C630FB" w:rsidP="00165B0A">
      <w:pPr>
        <w:pStyle w:val="Bullet"/>
      </w:pPr>
      <w:r>
        <w:t>President, PPL Electric Utilities Corporation</w:t>
      </w:r>
    </w:p>
    <w:p w:rsidR="00636DBC" w:rsidRDefault="00C630FB" w:rsidP="00636DBC">
      <w:pPr>
        <w:pStyle w:val="Bullet"/>
      </w:pPr>
      <w:r>
        <w:t xml:space="preserve">President and Chief Executive </w:t>
      </w:r>
      <w:r w:rsidR="00636DBC">
        <w:t>Officer, LG&amp;E and KU Energy LLC</w:t>
      </w:r>
    </w:p>
    <w:p w:rsidR="00636DBC" w:rsidRDefault="00C630FB" w:rsidP="00165B0A">
      <w:pPr>
        <w:pStyle w:val="Bullet"/>
      </w:pPr>
      <w:r>
        <w:t>Chief Executive, Western Power Distribution</w:t>
      </w:r>
    </w:p>
    <w:p w:rsidR="00CE54F3" w:rsidRDefault="009F7316" w:rsidP="004E62F1">
      <w:pPr>
        <w:pStyle w:val="Bullet"/>
      </w:pPr>
      <w:r>
        <w:t>Vice President, Treasurer</w:t>
      </w:r>
      <w:r w:rsidR="003E7E88">
        <w:t xml:space="preserve"> and Chief Risk Officer</w:t>
      </w:r>
    </w:p>
    <w:p w:rsidR="00CE54F3" w:rsidRDefault="00C630FB" w:rsidP="004E62F1">
      <w:pPr>
        <w:pStyle w:val="Bullet"/>
      </w:pPr>
      <w:r>
        <w:t>Vice President</w:t>
      </w:r>
      <w:r w:rsidR="009F7316">
        <w:t xml:space="preserve"> and Controller</w:t>
      </w:r>
    </w:p>
    <w:p w:rsidR="005E7F15" w:rsidRDefault="00930CCE" w:rsidP="004E62F1">
      <w:pPr>
        <w:pStyle w:val="Heading40"/>
        <w:jc w:val="both"/>
      </w:pPr>
      <w:r>
        <w:t>PP</w:t>
      </w:r>
      <w:r w:rsidR="00422DD0">
        <w:t>L Corporation Financial Results</w:t>
      </w:r>
    </w:p>
    <w:p w:rsidR="003E0783" w:rsidRDefault="007A47D8" w:rsidP="004B49C7">
      <w:r>
        <w:t>The following table shows the PPL Corporation financial results for 2011 through 2015.</w:t>
      </w:r>
    </w:p>
    <w:p w:rsidR="000D142C" w:rsidRDefault="000D142C">
      <w:pPr>
        <w:spacing w:after="0"/>
        <w:jc w:val="left"/>
        <w:rPr>
          <w:b/>
          <w:bCs/>
          <w:szCs w:val="18"/>
        </w:rPr>
      </w:pPr>
      <w:r>
        <w:br w:type="page"/>
      </w:r>
    </w:p>
    <w:p w:rsidR="00422DD0" w:rsidRDefault="00356110" w:rsidP="00356110">
      <w:pPr>
        <w:pStyle w:val="Caption"/>
      </w:pPr>
      <w:bookmarkStart w:id="27" w:name="_Toc464552935"/>
      <w:r>
        <w:lastRenderedPageBreak/>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9</w:t>
      </w:r>
      <w:r w:rsidR="00CB2B2A">
        <w:rPr>
          <w:noProof/>
        </w:rPr>
        <w:fldChar w:fldCharType="end"/>
      </w:r>
      <w:r w:rsidR="00F03CD4">
        <w:br/>
      </w:r>
      <w:r w:rsidR="00422DD0">
        <w:t>PPL Corporation Financial Results</w:t>
      </w:r>
      <w:bookmarkEnd w:id="27"/>
    </w:p>
    <w:tbl>
      <w:tblPr>
        <w:tblW w:w="0" w:type="auto"/>
        <w:jc w:val="center"/>
        <w:tblCellMar>
          <w:top w:w="14" w:type="dxa"/>
          <w:left w:w="115" w:type="dxa"/>
          <w:bottom w:w="14" w:type="dxa"/>
          <w:right w:w="115" w:type="dxa"/>
        </w:tblCellMar>
        <w:tblLook w:val="04A0"/>
      </w:tblPr>
      <w:tblGrid>
        <w:gridCol w:w="3609"/>
        <w:gridCol w:w="903"/>
        <w:gridCol w:w="903"/>
        <w:gridCol w:w="903"/>
        <w:gridCol w:w="903"/>
        <w:gridCol w:w="903"/>
        <w:gridCol w:w="1466"/>
      </w:tblGrid>
      <w:tr w:rsidR="00097510" w:rsidRPr="00097510" w:rsidTr="00933480">
        <w:trPr>
          <w:cantSplit/>
          <w:trHeight w:val="57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Financial Metric</w:t>
            </w:r>
          </w:p>
        </w:tc>
        <w:tc>
          <w:tcPr>
            <w:tcW w:w="0" w:type="auto"/>
            <w:tcBorders>
              <w:top w:val="single" w:sz="4" w:space="0" w:color="auto"/>
              <w:left w:val="nil"/>
              <w:bottom w:val="single" w:sz="4" w:space="0" w:color="auto"/>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2011</w:t>
            </w:r>
          </w:p>
        </w:tc>
        <w:tc>
          <w:tcPr>
            <w:tcW w:w="0" w:type="auto"/>
            <w:tcBorders>
              <w:top w:val="single" w:sz="4" w:space="0" w:color="auto"/>
              <w:left w:val="nil"/>
              <w:bottom w:val="single" w:sz="4" w:space="0" w:color="auto"/>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2012</w:t>
            </w:r>
          </w:p>
        </w:tc>
        <w:tc>
          <w:tcPr>
            <w:tcW w:w="0" w:type="auto"/>
            <w:tcBorders>
              <w:top w:val="single" w:sz="4" w:space="0" w:color="auto"/>
              <w:left w:val="nil"/>
              <w:bottom w:val="single" w:sz="4" w:space="0" w:color="auto"/>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2013</w:t>
            </w:r>
          </w:p>
        </w:tc>
        <w:tc>
          <w:tcPr>
            <w:tcW w:w="0" w:type="auto"/>
            <w:tcBorders>
              <w:top w:val="single" w:sz="4" w:space="0" w:color="auto"/>
              <w:left w:val="nil"/>
              <w:bottom w:val="single" w:sz="4" w:space="0" w:color="auto"/>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2014</w:t>
            </w:r>
          </w:p>
        </w:tc>
        <w:tc>
          <w:tcPr>
            <w:tcW w:w="0" w:type="auto"/>
            <w:tcBorders>
              <w:top w:val="single" w:sz="4" w:space="0" w:color="auto"/>
              <w:left w:val="nil"/>
              <w:bottom w:val="nil"/>
              <w:right w:val="single" w:sz="4" w:space="0" w:color="auto"/>
            </w:tcBorders>
            <w:shd w:val="clear" w:color="000000" w:fill="A5CD7E"/>
            <w:noWrap/>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2015</w:t>
            </w:r>
          </w:p>
        </w:tc>
        <w:tc>
          <w:tcPr>
            <w:tcW w:w="1466" w:type="dxa"/>
            <w:tcBorders>
              <w:top w:val="single" w:sz="4" w:space="0" w:color="auto"/>
              <w:left w:val="nil"/>
              <w:bottom w:val="nil"/>
              <w:right w:val="single" w:sz="4" w:space="0" w:color="auto"/>
            </w:tcBorders>
            <w:shd w:val="clear" w:color="000000" w:fill="A5CD7E"/>
            <w:vAlign w:val="center"/>
            <w:hideMark/>
          </w:tcPr>
          <w:p w:rsidR="00097510" w:rsidRPr="00AF4F5A" w:rsidRDefault="00097510" w:rsidP="00933480">
            <w:pPr>
              <w:spacing w:before="120"/>
              <w:jc w:val="center"/>
              <w:rPr>
                <w:rFonts w:cs="Arial"/>
                <w:b/>
                <w:bCs/>
                <w:color w:val="000000"/>
                <w:sz w:val="22"/>
              </w:rPr>
            </w:pPr>
            <w:r w:rsidRPr="00AF4F5A">
              <w:rPr>
                <w:rFonts w:cs="Arial"/>
                <w:b/>
                <w:bCs/>
                <w:color w:val="000000"/>
                <w:sz w:val="22"/>
              </w:rPr>
              <w:t>Compound</w:t>
            </w:r>
            <w:r w:rsidRPr="00AF4F5A">
              <w:rPr>
                <w:rFonts w:cs="Arial"/>
                <w:b/>
                <w:bCs/>
                <w:color w:val="000000"/>
                <w:sz w:val="22"/>
              </w:rPr>
              <w:br/>
              <w:t>Growth Rate</w:t>
            </w:r>
          </w:p>
        </w:tc>
      </w:tr>
      <w:tr w:rsidR="00097510" w:rsidRPr="00097510" w:rsidTr="00933480">
        <w:trPr>
          <w:trHeight w:val="17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Total Operating Revenues</w:t>
            </w:r>
            <w:r w:rsidR="00493518">
              <w:rPr>
                <w:rFonts w:cs="Arial"/>
                <w:color w:val="000000"/>
                <w:sz w:val="22"/>
              </w:rPr>
              <w:t xml:space="preserve"> (millions)</w:t>
            </w:r>
          </w:p>
        </w:tc>
        <w:tc>
          <w:tcPr>
            <w:tcW w:w="0" w:type="auto"/>
            <w:tcBorders>
              <w:top w:val="nil"/>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$6,329</w:t>
            </w:r>
          </w:p>
        </w:tc>
        <w:tc>
          <w:tcPr>
            <w:tcW w:w="0" w:type="auto"/>
            <w:tcBorders>
              <w:top w:val="nil"/>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$6,856</w:t>
            </w:r>
          </w:p>
        </w:tc>
        <w:tc>
          <w:tcPr>
            <w:tcW w:w="0" w:type="auto"/>
            <w:tcBorders>
              <w:top w:val="nil"/>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$7,263</w:t>
            </w:r>
          </w:p>
        </w:tc>
        <w:tc>
          <w:tcPr>
            <w:tcW w:w="0" w:type="auto"/>
            <w:tcBorders>
              <w:top w:val="nil"/>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$7,852</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$7,669</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b/>
                <w:bCs/>
                <w:color w:val="000000"/>
                <w:sz w:val="22"/>
              </w:rPr>
            </w:pPr>
            <w:r w:rsidRPr="00AF4F5A">
              <w:rPr>
                <w:rFonts w:cs="Arial"/>
                <w:b/>
                <w:bCs/>
                <w:color w:val="000000"/>
                <w:sz w:val="22"/>
              </w:rPr>
              <w:t>4.92%</w:t>
            </w:r>
          </w:p>
        </w:tc>
      </w:tr>
      <w:tr w:rsidR="00097510" w:rsidRPr="00097510" w:rsidTr="00933480">
        <w:trPr>
          <w:trHeight w:val="156"/>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Total Operating Expenses</w:t>
            </w:r>
            <w:r w:rsidR="00493518">
              <w:rPr>
                <w:rFonts w:cs="Arial"/>
                <w:color w:val="000000"/>
                <w:sz w:val="22"/>
              </w:rPr>
              <w:t xml:space="preserve"> (millions)</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$4,670</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$4,628</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$4,702</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$4,985</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$4,838</w:t>
            </w:r>
          </w:p>
        </w:tc>
        <w:tc>
          <w:tcPr>
            <w:tcW w:w="1466" w:type="dxa"/>
            <w:tcBorders>
              <w:top w:val="nil"/>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b/>
                <w:bCs/>
                <w:color w:val="000000"/>
                <w:sz w:val="22"/>
              </w:rPr>
            </w:pPr>
            <w:r w:rsidRPr="00AF4F5A">
              <w:rPr>
                <w:rFonts w:cs="Arial"/>
                <w:b/>
                <w:bCs/>
                <w:color w:val="000000"/>
                <w:sz w:val="22"/>
              </w:rPr>
              <w:t>0.89%</w:t>
            </w:r>
          </w:p>
        </w:tc>
      </w:tr>
      <w:tr w:rsidR="00097510" w:rsidRPr="00097510" w:rsidTr="00933480">
        <w:trPr>
          <w:trHeight w:val="219"/>
          <w:jc w:val="center"/>
        </w:trPr>
        <w:tc>
          <w:tcPr>
            <w:tcW w:w="0" w:type="auto"/>
            <w:tcBorders>
              <w:top w:val="nil"/>
              <w:left w:val="single" w:sz="4" w:space="0" w:color="auto"/>
              <w:bottom w:val="nil"/>
              <w:right w:val="single" w:sz="4" w:space="0" w:color="auto"/>
            </w:tcBorders>
            <w:shd w:val="clear" w:color="auto" w:fill="auto"/>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Operating Income</w:t>
            </w:r>
            <w:r w:rsidR="00493518">
              <w:rPr>
                <w:rFonts w:cs="Arial"/>
                <w:color w:val="000000"/>
                <w:sz w:val="22"/>
              </w:rPr>
              <w:t xml:space="preserve"> (millions)</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$1,659</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$2,228</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$2,561</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$2,867</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$2,831</w:t>
            </w:r>
          </w:p>
        </w:tc>
        <w:tc>
          <w:tcPr>
            <w:tcW w:w="1466" w:type="dxa"/>
            <w:tcBorders>
              <w:top w:val="nil"/>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b/>
                <w:bCs/>
                <w:color w:val="000000"/>
                <w:sz w:val="22"/>
              </w:rPr>
            </w:pPr>
            <w:r w:rsidRPr="00AF4F5A">
              <w:rPr>
                <w:rFonts w:cs="Arial"/>
                <w:b/>
                <w:bCs/>
                <w:color w:val="000000"/>
                <w:sz w:val="22"/>
              </w:rPr>
              <w:t>14.29%</w:t>
            </w:r>
          </w:p>
        </w:tc>
      </w:tr>
      <w:tr w:rsidR="00097510" w:rsidRPr="00097510" w:rsidTr="00933480">
        <w:trPr>
          <w:trHeight w:val="111"/>
          <w:jc w:val="center"/>
        </w:trPr>
        <w:tc>
          <w:tcPr>
            <w:tcW w:w="0" w:type="auto"/>
            <w:tcBorders>
              <w:top w:val="single" w:sz="4" w:space="0" w:color="auto"/>
              <w:left w:val="single" w:sz="4" w:space="0" w:color="auto"/>
              <w:bottom w:val="nil"/>
              <w:right w:val="single" w:sz="4" w:space="0" w:color="auto"/>
            </w:tcBorders>
            <w:shd w:val="clear" w:color="auto" w:fill="auto"/>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Net Income</w:t>
            </w:r>
            <w:r w:rsidR="00493518">
              <w:rPr>
                <w:rFonts w:cs="Arial"/>
                <w:color w:val="000000"/>
                <w:sz w:val="22"/>
              </w:rPr>
              <w:t xml:space="preserve"> (millions)</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$1,495</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$1,526</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$1,130</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$1,737</w:t>
            </w:r>
          </w:p>
        </w:tc>
        <w:tc>
          <w:tcPr>
            <w:tcW w:w="0" w:type="auto"/>
            <w:tcBorders>
              <w:top w:val="single" w:sz="4" w:space="0" w:color="auto"/>
              <w:left w:val="nil"/>
              <w:bottom w:val="nil"/>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$682</w:t>
            </w:r>
          </w:p>
        </w:tc>
        <w:tc>
          <w:tcPr>
            <w:tcW w:w="1466" w:type="dxa"/>
            <w:tcBorders>
              <w:top w:val="nil"/>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b/>
                <w:bCs/>
                <w:color w:val="000000"/>
                <w:sz w:val="22"/>
              </w:rPr>
            </w:pPr>
            <w:r w:rsidRPr="00AF4F5A">
              <w:rPr>
                <w:rFonts w:cs="Arial"/>
                <w:b/>
                <w:bCs/>
                <w:color w:val="000000"/>
                <w:sz w:val="22"/>
              </w:rPr>
              <w:t>-17.82%</w:t>
            </w:r>
          </w:p>
        </w:tc>
      </w:tr>
      <w:tr w:rsidR="00097510" w:rsidRPr="00097510" w:rsidTr="00933480">
        <w:trPr>
          <w:trHeight w:val="26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97510" w:rsidRPr="00AF4F5A" w:rsidRDefault="00097510" w:rsidP="009C534C">
            <w:pPr>
              <w:spacing w:after="0"/>
              <w:jc w:val="center"/>
              <w:rPr>
                <w:rFonts w:cs="Arial"/>
                <w:color w:val="000000"/>
                <w:sz w:val="22"/>
              </w:rPr>
            </w:pPr>
            <w:r w:rsidRPr="00AF4F5A">
              <w:rPr>
                <w:rFonts w:cs="Arial"/>
                <w:color w:val="000000"/>
                <w:sz w:val="22"/>
              </w:rPr>
              <w:t>Earnings per Share (Diluted)</w:t>
            </w:r>
            <w:r w:rsidR="00493518">
              <w:rPr>
                <w:rFonts w:cs="Arial"/>
                <w:color w:val="000000"/>
                <w:sz w:val="22"/>
              </w:rPr>
              <w:t xml:space="preserve">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$2.70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$1.76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$2.61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97510" w:rsidRPr="00AF4F5A" w:rsidRDefault="00097510" w:rsidP="004B49C7">
            <w:pPr>
              <w:spacing w:after="0"/>
              <w:jc w:val="center"/>
              <w:rPr>
                <w:rFonts w:cs="Arial"/>
                <w:color w:val="000000"/>
                <w:sz w:val="22"/>
              </w:rPr>
            </w:pPr>
            <w:r w:rsidRPr="00AF4F5A">
              <w:rPr>
                <w:rFonts w:cs="Arial"/>
                <w:color w:val="000000"/>
                <w:sz w:val="22"/>
              </w:rPr>
              <w:t>$1.01</w:t>
            </w:r>
          </w:p>
        </w:tc>
        <w:tc>
          <w:tcPr>
            <w:tcW w:w="1466" w:type="dxa"/>
            <w:tcBorders>
              <w:top w:val="nil"/>
              <w:left w:val="nil"/>
              <w:bottom w:val="nil"/>
              <w:right w:val="single" w:sz="4" w:space="0" w:color="auto"/>
            </w:tcBorders>
            <w:shd w:val="clear" w:color="auto" w:fill="FFFFFF" w:themeFill="background1"/>
            <w:noWrap/>
            <w:vAlign w:val="center"/>
            <w:hideMark/>
          </w:tcPr>
          <w:p w:rsidR="00097510" w:rsidRPr="00AF4F5A" w:rsidRDefault="00097510" w:rsidP="00097510">
            <w:pPr>
              <w:spacing w:after="0"/>
              <w:jc w:val="center"/>
              <w:rPr>
                <w:rFonts w:cs="Arial"/>
                <w:color w:val="000000"/>
                <w:sz w:val="22"/>
              </w:rPr>
            </w:pPr>
            <w:r w:rsidRPr="00AF4F5A">
              <w:rPr>
                <w:rFonts w:cs="Arial"/>
                <w:color w:val="000000"/>
                <w:sz w:val="22"/>
              </w:rPr>
              <w:t> </w:t>
            </w:r>
          </w:p>
        </w:tc>
      </w:tr>
      <w:tr w:rsidR="00062BE6" w:rsidRPr="00097510" w:rsidTr="00933480">
        <w:trPr>
          <w:trHeight w:val="381"/>
          <w:jc w:val="center"/>
        </w:trPr>
        <w:tc>
          <w:tcPr>
            <w:tcW w:w="93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062BE6" w:rsidRPr="00B9624F" w:rsidRDefault="00D46D8B" w:rsidP="00CB666B">
            <w:pPr>
              <w:pStyle w:val="Heading40"/>
              <w:spacing w:before="0" w:after="0"/>
              <w:rPr>
                <w:b w:val="0"/>
                <w:sz w:val="22"/>
              </w:rPr>
            </w:pPr>
            <w:r w:rsidRPr="00B9624F">
              <w:rPr>
                <w:b w:val="0"/>
                <w:sz w:val="22"/>
              </w:rPr>
              <w:t>Source:  PPL Corporation 2015 Form 10-K</w:t>
            </w:r>
            <w:r w:rsidR="00E80CB5">
              <w:rPr>
                <w:b w:val="0"/>
                <w:sz w:val="22"/>
              </w:rPr>
              <w:t xml:space="preserve">, </w:t>
            </w:r>
            <w:r w:rsidR="00E80CB5" w:rsidRPr="00E80CB5">
              <w:rPr>
                <w:b w:val="0"/>
                <w:sz w:val="22"/>
              </w:rPr>
              <w:t>Additional information provided by B. Johnson, PPL EUS on June 15, 2016</w:t>
            </w:r>
          </w:p>
        </w:tc>
      </w:tr>
    </w:tbl>
    <w:p w:rsidR="007A47D8" w:rsidRDefault="007A47D8" w:rsidP="004B49C7">
      <w:pPr>
        <w:pStyle w:val="Normal-aftertable"/>
      </w:pPr>
      <w:r w:rsidRPr="00422DD0">
        <w:t xml:space="preserve">The financial results for PPL </w:t>
      </w:r>
      <w:r>
        <w:t>Corporation</w:t>
      </w:r>
      <w:r w:rsidRPr="00422DD0">
        <w:t xml:space="preserve"> over the 2010 to 201</w:t>
      </w:r>
      <w:r w:rsidR="006A4D2E">
        <w:t>4</w:t>
      </w:r>
      <w:r w:rsidRPr="00422DD0">
        <w:t xml:space="preserve"> period have been </w:t>
      </w:r>
      <w:r>
        <w:t>characterized by increasing operating revenues, steady operating expenses and substantially increasing operating income.  Net income and earnings per share were impacted in 2015 by an</w:t>
      </w:r>
      <w:r w:rsidRPr="0079289B">
        <w:t xml:space="preserve"> $879 million loss on the spinof</w:t>
      </w:r>
      <w:r>
        <w:t>f</w:t>
      </w:r>
      <w:r w:rsidRPr="0079289B">
        <w:t xml:space="preserve"> of the</w:t>
      </w:r>
      <w:r>
        <w:t xml:space="preserve"> PPL Energy</w:t>
      </w:r>
      <w:r w:rsidRPr="0079289B">
        <w:t xml:space="preserve"> Supply</w:t>
      </w:r>
      <w:r w:rsidR="00763DEA">
        <w:t>, LLC</w:t>
      </w:r>
      <w:r w:rsidRPr="0079289B">
        <w:t xml:space="preserve"> segment, re</w:t>
      </w:r>
      <w:r>
        <w:t>f</w:t>
      </w:r>
      <w:r w:rsidRPr="0079289B">
        <w:t>lecting the dif</w:t>
      </w:r>
      <w:r>
        <w:t>f</w:t>
      </w:r>
      <w:r w:rsidRPr="0079289B">
        <w:t>erence between PPL</w:t>
      </w:r>
      <w:r>
        <w:t xml:space="preserve"> Corporation</w:t>
      </w:r>
      <w:r w:rsidRPr="0079289B">
        <w:t>'s recorded value for the Supply segment and the</w:t>
      </w:r>
      <w:r>
        <w:t xml:space="preserve"> </w:t>
      </w:r>
      <w:r w:rsidRPr="0079289B">
        <w:t xml:space="preserve">estimated fair value determined in accordance with U.S. generally accepted accounting principles (GAAP). </w:t>
      </w:r>
      <w:r>
        <w:t xml:space="preserve"> </w:t>
      </w:r>
      <w:r w:rsidRPr="0079289B">
        <w:t>2015 also includes five months of</w:t>
      </w:r>
      <w:r>
        <w:t xml:space="preserve"> Energy</w:t>
      </w:r>
      <w:r w:rsidRPr="0079289B">
        <w:t xml:space="preserve"> Supply segment earnings, compared to</w:t>
      </w:r>
      <w:r>
        <w:t xml:space="preserve"> </w:t>
      </w:r>
      <w:r w:rsidRPr="0079289B">
        <w:t>twelve months in 2014.</w:t>
      </w:r>
      <w:r>
        <w:t xml:space="preserve"> </w:t>
      </w:r>
      <w:r w:rsidRPr="00422DD0">
        <w:t xml:space="preserve"> </w:t>
      </w:r>
      <w:r w:rsidRPr="0079289B">
        <w:t>The</w:t>
      </w:r>
      <w:r>
        <w:t xml:space="preserve"> 2015</w:t>
      </w:r>
      <w:r w:rsidRPr="0079289B">
        <w:t xml:space="preserve"> earnings were also affected by the sale of the Montana hydroelectric generating facilities.</w:t>
      </w:r>
    </w:p>
    <w:p w:rsidR="001D434E" w:rsidRDefault="0092768E" w:rsidP="004B49C7">
      <w:r>
        <w:t>A comparison of the 2015 financial contributions of PPL Corporation’s three regulated segments is provided in the following table.</w:t>
      </w:r>
    </w:p>
    <w:p w:rsidR="00AD3529" w:rsidRDefault="00356110" w:rsidP="00356110">
      <w:pPr>
        <w:pStyle w:val="Caption"/>
      </w:pPr>
      <w:bookmarkStart w:id="28" w:name="_Toc464552936"/>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10</w:t>
      </w:r>
      <w:r w:rsidR="00CB2B2A">
        <w:rPr>
          <w:noProof/>
        </w:rPr>
        <w:fldChar w:fldCharType="end"/>
      </w:r>
      <w:r w:rsidR="00F03CD4">
        <w:br/>
      </w:r>
      <w:r w:rsidR="001D434E">
        <w:t>Comparison of PPL Corporation’s Regulated Segments</w:t>
      </w:r>
      <w:r w:rsidR="008455CA">
        <w:t xml:space="preserve"> for 2015</w:t>
      </w:r>
      <w:bookmarkEnd w:id="28"/>
    </w:p>
    <w:tbl>
      <w:tblPr>
        <w:tblStyle w:val="TableGrid"/>
        <w:tblW w:w="0" w:type="auto"/>
        <w:jc w:val="center"/>
        <w:tblCellMar>
          <w:top w:w="14" w:type="dxa"/>
          <w:left w:w="115" w:type="dxa"/>
          <w:bottom w:w="14" w:type="dxa"/>
          <w:right w:w="115" w:type="dxa"/>
        </w:tblCellMar>
        <w:tblLook w:val="04A0"/>
      </w:tblPr>
      <w:tblGrid>
        <w:gridCol w:w="3708"/>
        <w:gridCol w:w="1710"/>
        <w:gridCol w:w="1890"/>
        <w:gridCol w:w="2070"/>
      </w:tblGrid>
      <w:tr w:rsidR="001D434E" w:rsidRPr="001D434E" w:rsidTr="00933480">
        <w:trPr>
          <w:cantSplit/>
          <w:trHeight w:val="576"/>
          <w:tblHeader/>
          <w:jc w:val="center"/>
        </w:trPr>
        <w:tc>
          <w:tcPr>
            <w:tcW w:w="3708" w:type="dxa"/>
            <w:shd w:val="clear" w:color="auto" w:fill="A5CD7E"/>
            <w:vAlign w:val="center"/>
          </w:tcPr>
          <w:p w:rsidR="001D434E" w:rsidRPr="001D434E" w:rsidRDefault="001D434E" w:rsidP="00933480">
            <w:pPr>
              <w:spacing w:before="120"/>
              <w:jc w:val="center"/>
              <w:rPr>
                <w:b/>
                <w:sz w:val="22"/>
              </w:rPr>
            </w:pPr>
            <w:r w:rsidRPr="001D434E">
              <w:rPr>
                <w:b/>
                <w:sz w:val="22"/>
              </w:rPr>
              <w:t>Year Ended December 31, 2015</w:t>
            </w:r>
          </w:p>
        </w:tc>
        <w:tc>
          <w:tcPr>
            <w:tcW w:w="1710" w:type="dxa"/>
            <w:shd w:val="clear" w:color="auto" w:fill="A5CD7E"/>
            <w:vAlign w:val="center"/>
          </w:tcPr>
          <w:p w:rsidR="001D434E" w:rsidRPr="006115E7" w:rsidRDefault="001D434E" w:rsidP="00933480">
            <w:pPr>
              <w:spacing w:before="120"/>
              <w:jc w:val="center"/>
              <w:rPr>
                <w:b/>
                <w:sz w:val="22"/>
              </w:rPr>
            </w:pPr>
            <w:r>
              <w:rPr>
                <w:b/>
                <w:sz w:val="22"/>
              </w:rPr>
              <w:t>UK Regulated</w:t>
            </w:r>
          </w:p>
        </w:tc>
        <w:tc>
          <w:tcPr>
            <w:tcW w:w="1890" w:type="dxa"/>
            <w:shd w:val="clear" w:color="auto" w:fill="A5CD7E"/>
            <w:vAlign w:val="center"/>
          </w:tcPr>
          <w:p w:rsidR="001D434E" w:rsidRPr="006115E7" w:rsidRDefault="001D434E" w:rsidP="00933480">
            <w:pPr>
              <w:spacing w:before="120"/>
              <w:jc w:val="center"/>
              <w:rPr>
                <w:b/>
                <w:sz w:val="22"/>
              </w:rPr>
            </w:pPr>
            <w:r>
              <w:rPr>
                <w:b/>
                <w:sz w:val="22"/>
              </w:rPr>
              <w:t>Kentucky Regulated</w:t>
            </w:r>
          </w:p>
        </w:tc>
        <w:tc>
          <w:tcPr>
            <w:tcW w:w="2070" w:type="dxa"/>
            <w:shd w:val="clear" w:color="auto" w:fill="A5CD7E"/>
            <w:vAlign w:val="center"/>
          </w:tcPr>
          <w:p w:rsidR="001D434E" w:rsidRPr="001D434E" w:rsidRDefault="001D434E" w:rsidP="00933480">
            <w:pPr>
              <w:spacing w:before="120"/>
              <w:jc w:val="center"/>
              <w:rPr>
                <w:rFonts w:cs="Arial"/>
                <w:sz w:val="22"/>
              </w:rPr>
            </w:pPr>
            <w:r w:rsidRPr="001D434E">
              <w:rPr>
                <w:b/>
                <w:sz w:val="22"/>
              </w:rPr>
              <w:t>Pe</w:t>
            </w:r>
            <w:r>
              <w:rPr>
                <w:b/>
                <w:sz w:val="22"/>
              </w:rPr>
              <w:t>nnsylvania Regulated</w:t>
            </w:r>
          </w:p>
        </w:tc>
      </w:tr>
      <w:tr w:rsidR="00AD3529" w:rsidRPr="001D434E" w:rsidTr="00933480">
        <w:trPr>
          <w:trHeight w:val="183"/>
          <w:jc w:val="center"/>
        </w:trPr>
        <w:tc>
          <w:tcPr>
            <w:tcW w:w="3708" w:type="dxa"/>
            <w:vAlign w:val="center"/>
          </w:tcPr>
          <w:p w:rsidR="00AD3529" w:rsidRPr="00D46F81" w:rsidRDefault="00144C8A" w:rsidP="005422D2">
            <w:pPr>
              <w:spacing w:after="0"/>
              <w:jc w:val="center"/>
              <w:rPr>
                <w:sz w:val="22"/>
              </w:rPr>
            </w:pPr>
            <w:r w:rsidRPr="00144C8A">
              <w:rPr>
                <w:sz w:val="22"/>
              </w:rPr>
              <w:t xml:space="preserve">Operating </w:t>
            </w:r>
            <w:r w:rsidR="005422D2">
              <w:rPr>
                <w:sz w:val="22"/>
              </w:rPr>
              <w:t>Revenues (b</w:t>
            </w:r>
            <w:r w:rsidRPr="00144C8A">
              <w:rPr>
                <w:sz w:val="22"/>
              </w:rPr>
              <w:t>illions)</w:t>
            </w:r>
          </w:p>
        </w:tc>
        <w:tc>
          <w:tcPr>
            <w:tcW w:w="1710" w:type="dxa"/>
            <w:vAlign w:val="center"/>
          </w:tcPr>
          <w:p w:rsidR="00AD3529" w:rsidRPr="0092768E" w:rsidRDefault="001D434E" w:rsidP="008455CA">
            <w:pPr>
              <w:spacing w:after="0"/>
              <w:jc w:val="center"/>
              <w:rPr>
                <w:sz w:val="22"/>
              </w:rPr>
            </w:pPr>
            <w:r w:rsidRPr="0092768E">
              <w:rPr>
                <w:sz w:val="22"/>
              </w:rPr>
              <w:t>$2.4</w:t>
            </w:r>
          </w:p>
        </w:tc>
        <w:tc>
          <w:tcPr>
            <w:tcW w:w="1890" w:type="dxa"/>
            <w:vAlign w:val="center"/>
          </w:tcPr>
          <w:p w:rsidR="00AD3529" w:rsidRPr="0092768E" w:rsidRDefault="001D434E" w:rsidP="008455CA">
            <w:pPr>
              <w:spacing w:after="0"/>
              <w:jc w:val="center"/>
              <w:rPr>
                <w:sz w:val="22"/>
              </w:rPr>
            </w:pPr>
            <w:r w:rsidRPr="0092768E">
              <w:rPr>
                <w:sz w:val="22"/>
              </w:rPr>
              <w:t>$3.1</w:t>
            </w:r>
          </w:p>
        </w:tc>
        <w:tc>
          <w:tcPr>
            <w:tcW w:w="2070" w:type="dxa"/>
            <w:vAlign w:val="center"/>
          </w:tcPr>
          <w:p w:rsidR="00AD3529" w:rsidRPr="0092768E" w:rsidRDefault="001D434E" w:rsidP="008455CA">
            <w:pPr>
              <w:spacing w:after="0"/>
              <w:jc w:val="center"/>
              <w:rPr>
                <w:sz w:val="22"/>
              </w:rPr>
            </w:pPr>
            <w:r w:rsidRPr="0092768E">
              <w:rPr>
                <w:sz w:val="22"/>
              </w:rPr>
              <w:t>$2.1</w:t>
            </w:r>
          </w:p>
        </w:tc>
      </w:tr>
      <w:tr w:rsidR="00AD3529" w:rsidRPr="001D434E" w:rsidTr="00933480">
        <w:trPr>
          <w:trHeight w:val="228"/>
          <w:jc w:val="center"/>
        </w:trPr>
        <w:tc>
          <w:tcPr>
            <w:tcW w:w="3708" w:type="dxa"/>
            <w:vAlign w:val="center"/>
          </w:tcPr>
          <w:p w:rsidR="00AD3529" w:rsidRPr="00D46F81" w:rsidRDefault="00144C8A" w:rsidP="005422D2">
            <w:pPr>
              <w:spacing w:after="0"/>
              <w:jc w:val="center"/>
            </w:pPr>
            <w:r w:rsidRPr="00144C8A">
              <w:rPr>
                <w:sz w:val="22"/>
              </w:rPr>
              <w:t>Net Income</w:t>
            </w:r>
            <w:r w:rsidR="00351771">
              <w:rPr>
                <w:sz w:val="22"/>
              </w:rPr>
              <w:t xml:space="preserve"> </w:t>
            </w:r>
            <w:r w:rsidR="005422D2">
              <w:rPr>
                <w:sz w:val="22"/>
              </w:rPr>
              <w:t>(m</w:t>
            </w:r>
            <w:r w:rsidRPr="00144C8A">
              <w:rPr>
                <w:sz w:val="22"/>
              </w:rPr>
              <w:t>illions)</w:t>
            </w:r>
          </w:p>
        </w:tc>
        <w:tc>
          <w:tcPr>
            <w:tcW w:w="1710" w:type="dxa"/>
            <w:vAlign w:val="center"/>
          </w:tcPr>
          <w:p w:rsidR="00AD3529" w:rsidRPr="0092768E" w:rsidRDefault="001D434E" w:rsidP="008455CA">
            <w:pPr>
              <w:spacing w:after="0"/>
              <w:jc w:val="center"/>
              <w:rPr>
                <w:sz w:val="22"/>
              </w:rPr>
            </w:pPr>
            <w:r w:rsidRPr="0092768E">
              <w:rPr>
                <w:sz w:val="22"/>
              </w:rPr>
              <w:t>$1,121</w:t>
            </w:r>
          </w:p>
        </w:tc>
        <w:tc>
          <w:tcPr>
            <w:tcW w:w="1890" w:type="dxa"/>
            <w:vAlign w:val="center"/>
          </w:tcPr>
          <w:p w:rsidR="00AD3529" w:rsidRPr="0092768E" w:rsidRDefault="001D434E" w:rsidP="008455CA">
            <w:pPr>
              <w:spacing w:after="0"/>
              <w:jc w:val="center"/>
              <w:rPr>
                <w:sz w:val="22"/>
              </w:rPr>
            </w:pPr>
            <w:r w:rsidRPr="0092768E">
              <w:rPr>
                <w:sz w:val="22"/>
              </w:rPr>
              <w:t>$326</w:t>
            </w:r>
          </w:p>
        </w:tc>
        <w:tc>
          <w:tcPr>
            <w:tcW w:w="2070" w:type="dxa"/>
            <w:vAlign w:val="center"/>
          </w:tcPr>
          <w:p w:rsidR="00AD3529" w:rsidRPr="0092768E" w:rsidRDefault="001D434E" w:rsidP="008455CA">
            <w:pPr>
              <w:spacing w:after="0"/>
              <w:jc w:val="center"/>
              <w:rPr>
                <w:sz w:val="22"/>
              </w:rPr>
            </w:pPr>
            <w:r w:rsidRPr="0092768E">
              <w:rPr>
                <w:sz w:val="22"/>
              </w:rPr>
              <w:t>$252</w:t>
            </w:r>
          </w:p>
        </w:tc>
      </w:tr>
      <w:tr w:rsidR="00D46F81" w:rsidRPr="001D434E" w:rsidTr="00933480">
        <w:trPr>
          <w:trHeight w:val="264"/>
          <w:jc w:val="center"/>
        </w:trPr>
        <w:tc>
          <w:tcPr>
            <w:tcW w:w="3708" w:type="dxa"/>
            <w:vAlign w:val="center"/>
          </w:tcPr>
          <w:p w:rsidR="00D46F81" w:rsidRPr="00D46F81" w:rsidRDefault="00D46F81" w:rsidP="001D434E">
            <w:pPr>
              <w:spacing w:after="0"/>
              <w:jc w:val="center"/>
              <w:rPr>
                <w:sz w:val="22"/>
              </w:rPr>
            </w:pPr>
            <w:r>
              <w:rPr>
                <w:sz w:val="22"/>
              </w:rPr>
              <w:t>Percent of Regulated Net Income</w:t>
            </w:r>
          </w:p>
        </w:tc>
        <w:tc>
          <w:tcPr>
            <w:tcW w:w="1710" w:type="dxa"/>
            <w:vAlign w:val="center"/>
          </w:tcPr>
          <w:p w:rsidR="00D46F81" w:rsidRPr="0092768E" w:rsidRDefault="00876F48" w:rsidP="008455CA">
            <w:pPr>
              <w:spacing w:after="0"/>
              <w:jc w:val="center"/>
              <w:rPr>
                <w:sz w:val="22"/>
              </w:rPr>
            </w:pPr>
            <w:r>
              <w:rPr>
                <w:sz w:val="22"/>
              </w:rPr>
              <w:t>66.0%</w:t>
            </w:r>
          </w:p>
        </w:tc>
        <w:tc>
          <w:tcPr>
            <w:tcW w:w="1890" w:type="dxa"/>
            <w:vAlign w:val="center"/>
          </w:tcPr>
          <w:p w:rsidR="00D46F81" w:rsidRPr="0092768E" w:rsidRDefault="00876F48" w:rsidP="008455CA">
            <w:pPr>
              <w:spacing w:after="0"/>
              <w:jc w:val="center"/>
              <w:rPr>
                <w:sz w:val="22"/>
              </w:rPr>
            </w:pPr>
            <w:r>
              <w:rPr>
                <w:sz w:val="22"/>
              </w:rPr>
              <w:t>19.2%</w:t>
            </w:r>
          </w:p>
        </w:tc>
        <w:tc>
          <w:tcPr>
            <w:tcW w:w="2070" w:type="dxa"/>
            <w:vAlign w:val="center"/>
          </w:tcPr>
          <w:p w:rsidR="00D46F81" w:rsidRPr="0092768E" w:rsidRDefault="00876F48" w:rsidP="008455CA">
            <w:pPr>
              <w:spacing w:after="0"/>
              <w:jc w:val="center"/>
              <w:rPr>
                <w:sz w:val="22"/>
              </w:rPr>
            </w:pPr>
            <w:r>
              <w:rPr>
                <w:sz w:val="22"/>
              </w:rPr>
              <w:t>14.8%</w:t>
            </w:r>
          </w:p>
        </w:tc>
      </w:tr>
      <w:tr w:rsidR="00AD3529" w:rsidRPr="001D434E" w:rsidTr="00933480">
        <w:trPr>
          <w:trHeight w:val="219"/>
          <w:jc w:val="center"/>
        </w:trPr>
        <w:tc>
          <w:tcPr>
            <w:tcW w:w="3708" w:type="dxa"/>
            <w:vAlign w:val="center"/>
          </w:tcPr>
          <w:p w:rsidR="00AD3529" w:rsidRPr="00D46F81" w:rsidRDefault="00144C8A" w:rsidP="001D434E">
            <w:pPr>
              <w:spacing w:after="0"/>
              <w:jc w:val="center"/>
            </w:pPr>
            <w:r w:rsidRPr="00144C8A">
              <w:rPr>
                <w:sz w:val="22"/>
              </w:rPr>
              <w:t>Electricity Delivered (in GWh)</w:t>
            </w:r>
          </w:p>
        </w:tc>
        <w:tc>
          <w:tcPr>
            <w:tcW w:w="1710" w:type="dxa"/>
            <w:vAlign w:val="center"/>
          </w:tcPr>
          <w:p w:rsidR="00AD3529" w:rsidRPr="0092768E" w:rsidRDefault="001D434E" w:rsidP="008455CA">
            <w:pPr>
              <w:spacing w:after="0"/>
              <w:jc w:val="center"/>
              <w:rPr>
                <w:sz w:val="22"/>
              </w:rPr>
            </w:pPr>
            <w:r w:rsidRPr="0092768E">
              <w:rPr>
                <w:sz w:val="22"/>
              </w:rPr>
              <w:t>75,907</w:t>
            </w:r>
          </w:p>
        </w:tc>
        <w:tc>
          <w:tcPr>
            <w:tcW w:w="1890" w:type="dxa"/>
            <w:vAlign w:val="center"/>
          </w:tcPr>
          <w:p w:rsidR="00AD3529" w:rsidRPr="0092768E" w:rsidRDefault="001D434E" w:rsidP="008455CA">
            <w:pPr>
              <w:spacing w:after="0"/>
              <w:jc w:val="center"/>
              <w:rPr>
                <w:sz w:val="22"/>
              </w:rPr>
            </w:pPr>
            <w:r w:rsidRPr="0092768E">
              <w:rPr>
                <w:sz w:val="22"/>
              </w:rPr>
              <w:t>30,814</w:t>
            </w:r>
          </w:p>
        </w:tc>
        <w:tc>
          <w:tcPr>
            <w:tcW w:w="2070" w:type="dxa"/>
            <w:vAlign w:val="center"/>
          </w:tcPr>
          <w:p w:rsidR="00AD3529" w:rsidRPr="0092768E" w:rsidRDefault="001D434E" w:rsidP="008455CA">
            <w:pPr>
              <w:spacing w:after="0"/>
              <w:jc w:val="center"/>
              <w:rPr>
                <w:sz w:val="22"/>
              </w:rPr>
            </w:pPr>
            <w:r w:rsidRPr="0092768E">
              <w:rPr>
                <w:sz w:val="22"/>
              </w:rPr>
              <w:t>36,984</w:t>
            </w:r>
          </w:p>
        </w:tc>
      </w:tr>
      <w:tr w:rsidR="00286644" w:rsidRPr="001D434E" w:rsidTr="00933480">
        <w:trPr>
          <w:trHeight w:val="183"/>
          <w:jc w:val="center"/>
        </w:trPr>
        <w:tc>
          <w:tcPr>
            <w:tcW w:w="9378" w:type="dxa"/>
            <w:gridSpan w:val="4"/>
            <w:vAlign w:val="center"/>
          </w:tcPr>
          <w:p w:rsidR="00286644" w:rsidRPr="00F96688" w:rsidRDefault="00D46D8B" w:rsidP="00286644">
            <w:pPr>
              <w:spacing w:after="0"/>
              <w:jc w:val="left"/>
              <w:rPr>
                <w:sz w:val="22"/>
              </w:rPr>
            </w:pPr>
            <w:r w:rsidRPr="00B9624F">
              <w:rPr>
                <w:sz w:val="22"/>
              </w:rPr>
              <w:t>Source:  PPL Corporation 2015 Form 10-K</w:t>
            </w:r>
          </w:p>
        </w:tc>
      </w:tr>
    </w:tbl>
    <w:p w:rsidR="00876F48" w:rsidRPr="001D434E" w:rsidRDefault="00876F48" w:rsidP="00062BE6">
      <w:pPr>
        <w:spacing w:before="120"/>
      </w:pPr>
      <w:r>
        <w:t>PPL EU accounts for 14.8% of PPL Corporation’s net income from regulated operations.</w:t>
      </w:r>
    </w:p>
    <w:p w:rsidR="00B76BA6" w:rsidRDefault="00B76BA6" w:rsidP="008F0626">
      <w:pPr>
        <w:pStyle w:val="Heading30"/>
      </w:pPr>
      <w:r w:rsidRPr="00830546">
        <w:t>PPL SERVICE</w:t>
      </w:r>
      <w:r w:rsidR="008D3174" w:rsidRPr="00830546">
        <w:t>s</w:t>
      </w:r>
      <w:r w:rsidRPr="00830546">
        <w:t xml:space="preserve"> CORPORATION</w:t>
      </w:r>
    </w:p>
    <w:p w:rsidR="002A549F" w:rsidRDefault="002A549F" w:rsidP="002A549F">
      <w:r>
        <w:t>PPL Services Corporation (PPL SC) is one of three</w:t>
      </w:r>
      <w:r w:rsidR="00615D45">
        <w:t xml:space="preserve"> domestic</w:t>
      </w:r>
      <w:r>
        <w:t xml:space="preserve"> PPL Corporation service companies (centralized support services companies each serving multiple affiliated companies).  The other two are the LG&amp;E and KU Services Company (LKE SC) and </w:t>
      </w:r>
      <w:r>
        <w:lastRenderedPageBreak/>
        <w:t xml:space="preserve">PPL EU Services Corporation (PPL EUS).  PPL SC primarily serves Pennsylvania based entities including PPL Corporation, </w:t>
      </w:r>
      <w:r w:rsidR="00830546">
        <w:t xml:space="preserve">other </w:t>
      </w:r>
      <w:r>
        <w:t xml:space="preserve">PPL Corporation Pennsylvania headquartered subsidiaries, and PPL EU.  LKE SC serves the Kentucky operations, and PPL EUS primarily serves PPL EU.  </w:t>
      </w:r>
    </w:p>
    <w:p w:rsidR="002A549F" w:rsidRDefault="002A549F" w:rsidP="002A549F">
      <w:r>
        <w:rPr>
          <w:rFonts w:eastAsia="Calibri"/>
        </w:rPr>
        <w:t xml:space="preserve">PPL SC </w:t>
      </w:r>
      <w:r w:rsidR="00CB666B">
        <w:rPr>
          <w:rFonts w:eastAsia="Calibri"/>
        </w:rPr>
        <w:t xml:space="preserve">began providing services to affiliates as of </w:t>
      </w:r>
      <w:r w:rsidRPr="00505B67">
        <w:rPr>
          <w:rFonts w:eastAsia="Calibri"/>
        </w:rPr>
        <w:t xml:space="preserve">July 1, 2000 as the result of </w:t>
      </w:r>
      <w:proofErr w:type="gramStart"/>
      <w:r>
        <w:rPr>
          <w:rFonts w:eastAsia="Calibri"/>
        </w:rPr>
        <w:t>a PPL</w:t>
      </w:r>
      <w:proofErr w:type="gramEnd"/>
      <w:r>
        <w:rPr>
          <w:rFonts w:eastAsia="Calibri"/>
        </w:rPr>
        <w:t xml:space="preserve"> Corporation realignment.</w:t>
      </w:r>
      <w:r w:rsidR="0092194D">
        <w:rPr>
          <w:rFonts w:eastAsia="Calibri"/>
        </w:rPr>
        <w:t xml:space="preserve"> </w:t>
      </w:r>
      <w:r w:rsidRPr="00505B67">
        <w:rPr>
          <w:rFonts w:eastAsia="Calibri"/>
        </w:rPr>
        <w:t xml:space="preserve"> </w:t>
      </w:r>
      <w:r>
        <w:t>PPL SC is composed of five departments</w:t>
      </w:r>
      <w:r w:rsidR="00FA2E23">
        <w:t>, with four of these</w:t>
      </w:r>
      <w:r>
        <w:t xml:space="preserve"> reporting to the Chairman, President, and Chief Executive Officer (CEO) of PPL SC</w:t>
      </w:r>
      <w:r w:rsidRPr="00505B67">
        <w:t>:</w:t>
      </w:r>
    </w:p>
    <w:p w:rsidR="002A549F" w:rsidRDefault="00CE0385" w:rsidP="00F03CD4">
      <w:pPr>
        <w:pStyle w:val="Bullet"/>
        <w:keepNext/>
      </w:pPr>
      <w:r>
        <w:t xml:space="preserve">Office of </w:t>
      </w:r>
      <w:r w:rsidR="002A549F">
        <w:t>General</w:t>
      </w:r>
      <w:r w:rsidR="00615D45">
        <w:t xml:space="preserve"> Counsel</w:t>
      </w:r>
    </w:p>
    <w:p w:rsidR="00615D45" w:rsidRDefault="00615D45" w:rsidP="00615D45">
      <w:pPr>
        <w:pStyle w:val="Bullet"/>
      </w:pPr>
      <w:r>
        <w:t>Corporate Audit and Business Ethics</w:t>
      </w:r>
    </w:p>
    <w:p w:rsidR="002A549F" w:rsidRDefault="00B411B3" w:rsidP="002A549F">
      <w:pPr>
        <w:pStyle w:val="Bullet"/>
      </w:pPr>
      <w:r>
        <w:t>Financ</w:t>
      </w:r>
      <w:r w:rsidR="00CB666B">
        <w:t>ial</w:t>
      </w:r>
    </w:p>
    <w:p w:rsidR="00615D45" w:rsidRDefault="00FA2E23" w:rsidP="00615D45">
      <w:pPr>
        <w:pStyle w:val="Bullet"/>
      </w:pPr>
      <w:r>
        <w:t>Information Technology</w:t>
      </w:r>
    </w:p>
    <w:p w:rsidR="002A549F" w:rsidRDefault="002A549F" w:rsidP="00615D45">
      <w:pPr>
        <w:pStyle w:val="Bullet"/>
      </w:pPr>
      <w:r>
        <w:t>Human Resources</w:t>
      </w:r>
    </w:p>
    <w:p w:rsidR="00490791" w:rsidRDefault="00490791" w:rsidP="00B93227">
      <w:pPr>
        <w:pStyle w:val="Normal-aftertable"/>
      </w:pPr>
      <w:r w:rsidRPr="00063101">
        <w:t xml:space="preserve">The top level organization structure for </w:t>
      </w:r>
      <w:r w:rsidR="001629FB">
        <w:t>PPL S</w:t>
      </w:r>
      <w:r w:rsidR="005D6D4E">
        <w:t>C</w:t>
      </w:r>
      <w:r w:rsidRPr="00063101">
        <w:t xml:space="preserve"> is shown in the following organization chart.</w:t>
      </w:r>
      <w:r w:rsidR="002A549F">
        <w:t xml:space="preserve">  </w:t>
      </w:r>
    </w:p>
    <w:p w:rsidR="00490791" w:rsidRDefault="00356110" w:rsidP="00356110">
      <w:pPr>
        <w:pStyle w:val="Caption"/>
      </w:pPr>
      <w:bookmarkStart w:id="29" w:name="_Toc464552937"/>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11</w:t>
      </w:r>
      <w:r w:rsidR="00CB2B2A">
        <w:rPr>
          <w:noProof/>
        </w:rPr>
        <w:fldChar w:fldCharType="end"/>
      </w:r>
      <w:r w:rsidR="00F03CD4">
        <w:br/>
      </w:r>
      <w:r w:rsidR="001629FB" w:rsidRPr="00B97744">
        <w:t>PPL Services</w:t>
      </w:r>
      <w:r w:rsidR="00490791" w:rsidRPr="00B97744">
        <w:t xml:space="preserve"> </w:t>
      </w:r>
      <w:r w:rsidR="00B97744" w:rsidRPr="00B97744">
        <w:t xml:space="preserve">Corporation </w:t>
      </w:r>
      <w:r w:rsidR="00490791" w:rsidRPr="00B97744">
        <w:t>Organization Chart</w:t>
      </w:r>
      <w:bookmarkEnd w:id="29"/>
      <w:r w:rsidR="00490791" w:rsidRPr="00B97744">
        <w:t xml:space="preserve"> </w:t>
      </w:r>
    </w:p>
    <w:p w:rsidR="00B97744" w:rsidRDefault="00541D50" w:rsidP="00962081">
      <w:r>
        <w:rPr>
          <w:noProof/>
        </w:rPr>
        <w:drawing>
          <wp:inline distT="0" distB="0" distL="0" distR="0">
            <wp:extent cx="5943600" cy="20523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PL-SC_01072_page1_v3.jpg"/>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052320"/>
                    </a:xfrm>
                    <a:prstGeom prst="rect">
                      <a:avLst/>
                    </a:prstGeom>
                  </pic:spPr>
                </pic:pic>
              </a:graphicData>
            </a:graphic>
          </wp:inline>
        </w:drawing>
      </w:r>
    </w:p>
    <w:p w:rsidR="00490791" w:rsidRDefault="008B1CC4" w:rsidP="00962081">
      <w:r>
        <w:t>Source:  DN 01-072</w:t>
      </w:r>
    </w:p>
    <w:p w:rsidR="00D10652" w:rsidRDefault="00173CC6" w:rsidP="00D10652">
      <w:pPr>
        <w:pStyle w:val="Normal-aftertable"/>
      </w:pPr>
      <w:r>
        <w:t>The PPL SC organization is discussed in greater detail in Chapter IV, Affiliate Relationships</w:t>
      </w:r>
      <w:r w:rsidR="00DD1FA2">
        <w:t xml:space="preserve"> and the individual functions are discussed in various chapters of this report.  The </w:t>
      </w:r>
      <w:r w:rsidR="00615D45">
        <w:t>PPL SC Corporate Audit and Business Ethics and Finance functions are covered in Chapter V, Finance and Accounting</w:t>
      </w:r>
      <w:r w:rsidR="00DD1FA2">
        <w:t xml:space="preserve"> and t</w:t>
      </w:r>
      <w:r w:rsidR="00615D45">
        <w:t>he PPL SC Human Resources function is covered in Chapter X</w:t>
      </w:r>
      <w:r w:rsidR="00CC25AC">
        <w:t>II</w:t>
      </w:r>
      <w:r w:rsidR="00615D45">
        <w:t xml:space="preserve">, Human Resources.  Although the Chief Information Officer </w:t>
      </w:r>
      <w:r w:rsidR="00CC25AC">
        <w:t>does not report to the CEO,</w:t>
      </w:r>
      <w:r w:rsidR="00615D45">
        <w:t xml:space="preserve"> the Information Technology </w:t>
      </w:r>
      <w:r w:rsidR="00CC25AC">
        <w:t>personnel</w:t>
      </w:r>
      <w:r w:rsidR="00CC2690">
        <w:t xml:space="preserve"> supporting Pennsylvania</w:t>
      </w:r>
      <w:r w:rsidR="00615D45">
        <w:t xml:space="preserve"> </w:t>
      </w:r>
      <w:r w:rsidR="00CC25AC">
        <w:t>are employees of</w:t>
      </w:r>
      <w:r w:rsidR="00C615F8">
        <w:t xml:space="preserve"> PPL SC</w:t>
      </w:r>
      <w:r w:rsidR="00615D45">
        <w:t xml:space="preserve">.  </w:t>
      </w:r>
      <w:r w:rsidR="00CC25AC">
        <w:t>The</w:t>
      </w:r>
      <w:r w:rsidR="00615D45">
        <w:t xml:space="preserve"> Information Technology function is covered in Chapter </w:t>
      </w:r>
      <w:r w:rsidR="00CC25AC">
        <w:t>XI</w:t>
      </w:r>
      <w:r w:rsidR="00615D45">
        <w:t>, Information Technology</w:t>
      </w:r>
      <w:r w:rsidR="00CC25AC">
        <w:t xml:space="preserve"> and Systems</w:t>
      </w:r>
      <w:r w:rsidR="00615D45">
        <w:t>.</w:t>
      </w:r>
      <w:r w:rsidR="00DD1FA2">
        <w:t xml:space="preserve">  The General Counsel and External Affairs functions are covered</w:t>
      </w:r>
      <w:r w:rsidR="0048401E">
        <w:t xml:space="preserve"> as part of</w:t>
      </w:r>
      <w:r w:rsidR="00DD1FA2">
        <w:t xml:space="preserve"> this chapter</w:t>
      </w:r>
      <w:r w:rsidR="0048401E">
        <w:t xml:space="preserve"> (below)</w:t>
      </w:r>
      <w:r w:rsidR="00DD1FA2">
        <w:t>.</w:t>
      </w:r>
    </w:p>
    <w:p w:rsidR="00A83094" w:rsidRDefault="00B411B3" w:rsidP="003733B1">
      <w:pPr>
        <w:pStyle w:val="Heading40"/>
      </w:pPr>
      <w:r>
        <w:t>Office of General Counsel</w:t>
      </w:r>
    </w:p>
    <w:p w:rsidR="00A83094" w:rsidRDefault="00B411B3" w:rsidP="00A83094">
      <w:pPr>
        <w:rPr>
          <w:rFonts w:cs="Arial"/>
          <w:szCs w:val="24"/>
        </w:rPr>
      </w:pPr>
      <w:r>
        <w:rPr>
          <w:rFonts w:cs="Arial"/>
          <w:szCs w:val="24"/>
        </w:rPr>
        <w:t>The PPL SC Office of General Counsel is led by t</w:t>
      </w:r>
      <w:r w:rsidR="00A83094">
        <w:rPr>
          <w:rFonts w:cs="Arial"/>
          <w:szCs w:val="24"/>
        </w:rPr>
        <w:t>he Senior Vice President, General Counsel</w:t>
      </w:r>
      <w:r w:rsidR="00CC25AC">
        <w:rPr>
          <w:rFonts w:cs="Arial"/>
          <w:szCs w:val="24"/>
        </w:rPr>
        <w:t>,</w:t>
      </w:r>
      <w:r w:rsidR="00A83094">
        <w:rPr>
          <w:rFonts w:cs="Arial"/>
          <w:szCs w:val="24"/>
        </w:rPr>
        <w:t xml:space="preserve"> and Corporate Secretary (SVP,</w:t>
      </w:r>
      <w:r w:rsidR="003E0783">
        <w:rPr>
          <w:rFonts w:cs="Arial"/>
          <w:szCs w:val="24"/>
        </w:rPr>
        <w:t xml:space="preserve"> </w:t>
      </w:r>
      <w:r w:rsidR="00A83094">
        <w:rPr>
          <w:rFonts w:cs="Arial"/>
          <w:szCs w:val="24"/>
        </w:rPr>
        <w:t>GC&amp;CS)</w:t>
      </w:r>
      <w:r>
        <w:rPr>
          <w:rFonts w:cs="Arial"/>
          <w:szCs w:val="24"/>
        </w:rPr>
        <w:t xml:space="preserve">.  In addition to leading </w:t>
      </w:r>
      <w:r w:rsidR="00A83094">
        <w:rPr>
          <w:rFonts w:cs="Arial"/>
          <w:szCs w:val="24"/>
        </w:rPr>
        <w:t>PPL Corporation’s legal</w:t>
      </w:r>
      <w:r>
        <w:rPr>
          <w:rFonts w:cs="Arial"/>
          <w:szCs w:val="24"/>
        </w:rPr>
        <w:t xml:space="preserve"> functions</w:t>
      </w:r>
      <w:r w:rsidR="00A83094">
        <w:rPr>
          <w:rFonts w:cs="Arial"/>
          <w:szCs w:val="24"/>
        </w:rPr>
        <w:t>,</w:t>
      </w:r>
      <w:r>
        <w:rPr>
          <w:rFonts w:cs="Arial"/>
          <w:szCs w:val="24"/>
        </w:rPr>
        <w:t xml:space="preserve"> </w:t>
      </w:r>
      <w:r w:rsidR="00756656">
        <w:rPr>
          <w:rFonts w:cs="Arial"/>
          <w:szCs w:val="24"/>
        </w:rPr>
        <w:t>the SVP, GC&amp;CS</w:t>
      </w:r>
      <w:r>
        <w:rPr>
          <w:rFonts w:cs="Arial"/>
          <w:szCs w:val="24"/>
        </w:rPr>
        <w:t xml:space="preserve"> </w:t>
      </w:r>
      <w:r w:rsidR="00756656">
        <w:rPr>
          <w:rFonts w:cs="Arial"/>
          <w:szCs w:val="24"/>
        </w:rPr>
        <w:t xml:space="preserve">serves as Corporate Secretary for PPL </w:t>
      </w:r>
      <w:r w:rsidR="00756656">
        <w:rPr>
          <w:rFonts w:cs="Arial"/>
          <w:szCs w:val="24"/>
        </w:rPr>
        <w:lastRenderedPageBreak/>
        <w:t>Corporation and</w:t>
      </w:r>
      <w:r>
        <w:rPr>
          <w:rFonts w:cs="Arial"/>
          <w:szCs w:val="24"/>
        </w:rPr>
        <w:t xml:space="preserve"> leads the public affairs and </w:t>
      </w:r>
      <w:r w:rsidR="00A83094">
        <w:rPr>
          <w:rFonts w:cs="Arial"/>
          <w:szCs w:val="24"/>
        </w:rPr>
        <w:t>corporate comm</w:t>
      </w:r>
      <w:r>
        <w:rPr>
          <w:rFonts w:cs="Arial"/>
          <w:szCs w:val="24"/>
        </w:rPr>
        <w:t>unications functions.</w:t>
      </w:r>
      <w:r w:rsidR="00A83094">
        <w:rPr>
          <w:rFonts w:cs="Arial"/>
          <w:szCs w:val="24"/>
        </w:rPr>
        <w:t xml:space="preserve">  These service groups are organizationally situated within the PPL SC.  The SVP</w:t>
      </w:r>
      <w:r w:rsidR="00E919CB">
        <w:rPr>
          <w:rFonts w:cs="Arial"/>
          <w:szCs w:val="24"/>
        </w:rPr>
        <w:t>, GC</w:t>
      </w:r>
      <w:r w:rsidR="00A83094">
        <w:rPr>
          <w:rFonts w:cs="Arial"/>
          <w:szCs w:val="24"/>
        </w:rPr>
        <w:t xml:space="preserve">&amp;CS has the following reports:  </w:t>
      </w:r>
    </w:p>
    <w:p w:rsidR="00A83094" w:rsidRDefault="00A83094" w:rsidP="00B93227">
      <w:pPr>
        <w:pStyle w:val="Bullet"/>
      </w:pPr>
      <w:r>
        <w:t>Public Affairs Vice President who is responsible for Federal</w:t>
      </w:r>
      <w:r w:rsidR="00756656">
        <w:t xml:space="preserve"> and State</w:t>
      </w:r>
      <w:r>
        <w:t xml:space="preserve"> Government Relations activities</w:t>
      </w:r>
      <w:r w:rsidR="00756656">
        <w:t xml:space="preserve"> as well as Chairing </w:t>
      </w:r>
      <w:r>
        <w:t>the PPL</w:t>
      </w:r>
      <w:r w:rsidR="0014676F">
        <w:t>-affiliated</w:t>
      </w:r>
      <w:r>
        <w:t xml:space="preserve"> </w:t>
      </w:r>
      <w:r w:rsidR="0014676F">
        <w:t>e</w:t>
      </w:r>
      <w:r>
        <w:t xml:space="preserve">mployee </w:t>
      </w:r>
      <w:r w:rsidR="0014676F">
        <w:t>political action committee</w:t>
      </w:r>
      <w:r>
        <w:t>.</w:t>
      </w:r>
    </w:p>
    <w:p w:rsidR="00A83094" w:rsidRDefault="00A83094" w:rsidP="00B93227">
      <w:pPr>
        <w:pStyle w:val="Bullet"/>
      </w:pPr>
      <w:r>
        <w:t xml:space="preserve">Deputy General Counsel and Vice President whose </w:t>
      </w:r>
      <w:r w:rsidR="00CC25AC">
        <w:t xml:space="preserve">group of </w:t>
      </w:r>
      <w:r>
        <w:t xml:space="preserve">attorneys cover </w:t>
      </w:r>
      <w:r w:rsidRPr="00F91439">
        <w:t>all corporate governance matters including securities, financing, Board matters</w:t>
      </w:r>
      <w:r>
        <w:t>, Dodd-Frank issues</w:t>
      </w:r>
      <w:r w:rsidRPr="00F91439">
        <w:t>, corporate compliance</w:t>
      </w:r>
      <w:r w:rsidR="00CC25AC">
        <w:t>,</w:t>
      </w:r>
      <w:r w:rsidRPr="00F91439">
        <w:t xml:space="preserve"> and environmental matters.</w:t>
      </w:r>
      <w:r>
        <w:t xml:space="preserve">  An Associate General Counsel and Assistant Secretary in this group </w:t>
      </w:r>
      <w:proofErr w:type="gramStart"/>
      <w:r>
        <w:t>serves</w:t>
      </w:r>
      <w:proofErr w:type="gramEnd"/>
      <w:r>
        <w:t xml:space="preserve"> as the Corporate Secretary for PPL EU. </w:t>
      </w:r>
    </w:p>
    <w:p w:rsidR="00A83094" w:rsidRDefault="00A83094" w:rsidP="00B93227">
      <w:pPr>
        <w:pStyle w:val="Bullet"/>
      </w:pPr>
      <w:r>
        <w:t>Associate General Counsel whose group of attorneys is the primary source of legal support for PPL EU and PPL EUS</w:t>
      </w:r>
      <w:r w:rsidR="00CC25AC">
        <w:t>,</w:t>
      </w:r>
      <w:r>
        <w:t xml:space="preserve"> including regulatory advisory services.</w:t>
      </w:r>
    </w:p>
    <w:p w:rsidR="00A83094" w:rsidRDefault="00A83094" w:rsidP="00B93227">
      <w:pPr>
        <w:pStyle w:val="Bullet"/>
      </w:pPr>
      <w:r>
        <w:t xml:space="preserve">Director of Corporate Communications whose group assists with </w:t>
      </w:r>
      <w:r w:rsidRPr="009A17E0">
        <w:t xml:space="preserve">corporate relations, executive support, financial reporting, philanthropic activities, the PPL Corporation website, various internal newsletters, and generally managing the PPL </w:t>
      </w:r>
      <w:r w:rsidR="00CC25AC">
        <w:t xml:space="preserve">Corporation </w:t>
      </w:r>
      <w:r w:rsidRPr="009A17E0">
        <w:t>brand and reputation.</w:t>
      </w:r>
      <w:r>
        <w:t xml:space="preserve"> </w:t>
      </w:r>
    </w:p>
    <w:p w:rsidR="00BD3ED3" w:rsidRDefault="00BD3ED3" w:rsidP="00BD3ED3">
      <w:r w:rsidRPr="008F0626">
        <w:t xml:space="preserve">The Office of General Counsel also provides extensive assistance with PPL EU rate cases and regulatory advisory support. </w:t>
      </w:r>
    </w:p>
    <w:p w:rsidR="00D10652" w:rsidRDefault="00A83094" w:rsidP="00D10652">
      <w:pPr>
        <w:pStyle w:val="Normal-aftertable"/>
      </w:pPr>
      <w:r>
        <w:t>External</w:t>
      </w:r>
      <w:r w:rsidRPr="00DB160A">
        <w:t xml:space="preserve"> counsel is used by PPL</w:t>
      </w:r>
      <w:r>
        <w:t xml:space="preserve"> Corporation</w:t>
      </w:r>
      <w:r w:rsidRPr="00DB160A">
        <w:t xml:space="preserve"> </w:t>
      </w:r>
      <w:r w:rsidR="00FC3317">
        <w:t xml:space="preserve">generally </w:t>
      </w:r>
      <w:r>
        <w:t>in situations where</w:t>
      </w:r>
      <w:r w:rsidRPr="00DB160A">
        <w:t xml:space="preserve"> special expertise is required or </w:t>
      </w:r>
      <w:r>
        <w:t>the</w:t>
      </w:r>
      <w:r w:rsidRPr="00DB160A">
        <w:t xml:space="preserve"> work load </w:t>
      </w:r>
      <w:r w:rsidR="00FC3317">
        <w:t xml:space="preserve">of </w:t>
      </w:r>
      <w:r w:rsidRPr="00DB160A">
        <w:t xml:space="preserve">inside </w:t>
      </w:r>
      <w:r w:rsidR="00FC3317">
        <w:t>counsel warrants outside assistance to provide legal support in a timely fashion</w:t>
      </w:r>
      <w:r w:rsidRPr="00DB160A">
        <w:t xml:space="preserve">.  When outside counsel is involved, they are seasoned </w:t>
      </w:r>
      <w:r w:rsidR="00CC25AC">
        <w:t xml:space="preserve">attorneys </w:t>
      </w:r>
      <w:r w:rsidRPr="00DB160A">
        <w:t>with good success records in the area of focus.</w:t>
      </w:r>
      <w:r>
        <w:t xml:space="preserve">  </w:t>
      </w:r>
    </w:p>
    <w:p w:rsidR="00C373BB" w:rsidRPr="00DC61D3" w:rsidRDefault="00C373BB" w:rsidP="00CE0385">
      <w:pPr>
        <w:pStyle w:val="Heading40"/>
      </w:pPr>
      <w:r w:rsidRPr="00DC61D3">
        <w:t>PPL SC Public Affairs</w:t>
      </w:r>
    </w:p>
    <w:p w:rsidR="00334281" w:rsidRDefault="00334281" w:rsidP="00334281">
      <w:r>
        <w:t xml:space="preserve">The Public Affairs group is led by the Public Affairs Vice President who reports to the </w:t>
      </w:r>
      <w:r>
        <w:rPr>
          <w:rFonts w:cs="Arial"/>
          <w:szCs w:val="24"/>
        </w:rPr>
        <w:t>SVP,</w:t>
      </w:r>
      <w:r w:rsidR="00A574C4">
        <w:rPr>
          <w:rFonts w:cs="Arial"/>
          <w:szCs w:val="24"/>
        </w:rPr>
        <w:t xml:space="preserve"> </w:t>
      </w:r>
      <w:r>
        <w:rPr>
          <w:rFonts w:cs="Arial"/>
          <w:szCs w:val="24"/>
        </w:rPr>
        <w:t>GC&amp;CS</w:t>
      </w:r>
      <w:r>
        <w:t xml:space="preserve">.  </w:t>
      </w:r>
      <w:r w:rsidR="00BD3ED3">
        <w:t xml:space="preserve">The Public Affairs </w:t>
      </w:r>
      <w:r w:rsidR="00FC3317">
        <w:t xml:space="preserve">VP </w:t>
      </w:r>
      <w:r>
        <w:t xml:space="preserve">has three direct reports that include a Federal Government Relations Vice President located in Washington, DC, a </w:t>
      </w:r>
      <w:r w:rsidR="0014676F">
        <w:t xml:space="preserve">Senior </w:t>
      </w:r>
      <w:r>
        <w:t>Manager-State Government Relations located in Harrisburg</w:t>
      </w:r>
      <w:r w:rsidR="00771921">
        <w:t>, PA</w:t>
      </w:r>
      <w:r>
        <w:t xml:space="preserve"> and </w:t>
      </w:r>
      <w:r w:rsidR="0014676F">
        <w:t>an Administrative Specialist</w:t>
      </w:r>
      <w:r>
        <w:t xml:space="preserve"> located in the Allentown</w:t>
      </w:r>
      <w:r w:rsidR="00771921">
        <w:t>, PA</w:t>
      </w:r>
      <w:r>
        <w:t xml:space="preserve"> corporate office.  The Federal Government Relations Vice President is assisted by a Manager-Federal Government Relations and </w:t>
      </w:r>
      <w:r w:rsidR="0014676F">
        <w:t xml:space="preserve">a part-time </w:t>
      </w:r>
      <w:r>
        <w:t>Admin</w:t>
      </w:r>
      <w:r w:rsidR="009A77AB">
        <w:t>istrative</w:t>
      </w:r>
      <w:r>
        <w:t xml:space="preserve"> Coordinator.</w:t>
      </w:r>
    </w:p>
    <w:p w:rsidR="003243A9" w:rsidRPr="006D1B9D" w:rsidRDefault="003243A9" w:rsidP="003243A9">
      <w:pPr>
        <w:rPr>
          <w:rFonts w:cs="Arial"/>
          <w:szCs w:val="24"/>
        </w:rPr>
      </w:pPr>
      <w:r>
        <w:rPr>
          <w:rFonts w:cs="Arial"/>
          <w:szCs w:val="24"/>
        </w:rPr>
        <w:t xml:space="preserve">The primary objectives of the Public Affairs group are to:  </w:t>
      </w:r>
      <w:r w:rsidR="001C1CE8">
        <w:rPr>
          <w:rFonts w:cs="Arial"/>
          <w:szCs w:val="24"/>
        </w:rPr>
        <w:t>(</w:t>
      </w:r>
      <w:r>
        <w:rPr>
          <w:rFonts w:cs="Arial"/>
          <w:szCs w:val="24"/>
        </w:rPr>
        <w:t>1) advance PPL</w:t>
      </w:r>
      <w:r w:rsidR="009A77AB">
        <w:rPr>
          <w:rFonts w:cs="Arial"/>
          <w:szCs w:val="24"/>
        </w:rPr>
        <w:t xml:space="preserve"> Corporation</w:t>
      </w:r>
      <w:r>
        <w:rPr>
          <w:rFonts w:cs="Arial"/>
          <w:szCs w:val="24"/>
        </w:rPr>
        <w:t xml:space="preserve">’s </w:t>
      </w:r>
      <w:r w:rsidR="0014676F">
        <w:rPr>
          <w:rFonts w:cs="Arial"/>
          <w:szCs w:val="24"/>
        </w:rPr>
        <w:t>legislative and advocacy priorities</w:t>
      </w:r>
      <w:r>
        <w:rPr>
          <w:rFonts w:cs="Arial"/>
          <w:szCs w:val="24"/>
        </w:rPr>
        <w:t xml:space="preserve"> with policy makers, </w:t>
      </w:r>
      <w:r w:rsidR="001C1CE8">
        <w:rPr>
          <w:rFonts w:cs="Arial"/>
          <w:szCs w:val="24"/>
        </w:rPr>
        <w:t>(</w:t>
      </w:r>
      <w:r>
        <w:rPr>
          <w:rFonts w:cs="Arial"/>
          <w:szCs w:val="24"/>
        </w:rPr>
        <w:t>2) effectively respond to inquiries</w:t>
      </w:r>
      <w:r w:rsidR="009A77AB">
        <w:rPr>
          <w:rFonts w:cs="Arial"/>
          <w:szCs w:val="24"/>
        </w:rPr>
        <w:t>,</w:t>
      </w:r>
      <w:r>
        <w:rPr>
          <w:rFonts w:cs="Arial"/>
          <w:szCs w:val="24"/>
        </w:rPr>
        <w:t xml:space="preserve"> and </w:t>
      </w:r>
      <w:r w:rsidR="001C1CE8">
        <w:rPr>
          <w:rFonts w:cs="Arial"/>
          <w:szCs w:val="24"/>
        </w:rPr>
        <w:t>(</w:t>
      </w:r>
      <w:r>
        <w:rPr>
          <w:rFonts w:cs="Arial"/>
          <w:szCs w:val="24"/>
        </w:rPr>
        <w:t>3) to establish a favorable</w:t>
      </w:r>
      <w:r w:rsidR="0014676F">
        <w:rPr>
          <w:rFonts w:cs="Arial"/>
          <w:szCs w:val="24"/>
        </w:rPr>
        <w:t xml:space="preserve"> reputation and</w:t>
      </w:r>
      <w:r>
        <w:rPr>
          <w:rFonts w:cs="Arial"/>
          <w:szCs w:val="24"/>
        </w:rPr>
        <w:t xml:space="preserve"> policy environment for PPL</w:t>
      </w:r>
      <w:r w:rsidR="009A77AB">
        <w:rPr>
          <w:rFonts w:cs="Arial"/>
          <w:szCs w:val="24"/>
        </w:rPr>
        <w:t xml:space="preserve"> Corporation</w:t>
      </w:r>
      <w:r>
        <w:rPr>
          <w:rFonts w:cs="Arial"/>
          <w:szCs w:val="24"/>
        </w:rPr>
        <w:t>.</w:t>
      </w:r>
    </w:p>
    <w:p w:rsidR="00334281" w:rsidRDefault="00334281" w:rsidP="00334281">
      <w:r>
        <w:t xml:space="preserve">On the Federal-facing side of the organization, the Vice President oversees registered lobbyists who work on behalf of PPL Corporation and its subsidiaries to influence the outcomes of issues at the Federal level that are important to the company.  This includes interfacing with various Federal agencies </w:t>
      </w:r>
      <w:r w:rsidR="00DC61D3">
        <w:t>(s</w:t>
      </w:r>
      <w:r w:rsidR="009A77AB">
        <w:t xml:space="preserve">uch as the </w:t>
      </w:r>
      <w:r>
        <w:t>FERC</w:t>
      </w:r>
      <w:r w:rsidR="009A77AB">
        <w:t xml:space="preserve"> and</w:t>
      </w:r>
      <w:r>
        <w:t xml:space="preserve"> </w:t>
      </w:r>
      <w:r w:rsidR="00152655">
        <w:t>Environmental Protection Agency (EPA)</w:t>
      </w:r>
      <w:r>
        <w:t xml:space="preserve">), industry associations </w:t>
      </w:r>
      <w:r w:rsidR="00152655">
        <w:t xml:space="preserve">(such as the Edison Electric Institute </w:t>
      </w:r>
      <w:r>
        <w:t>(EEI)</w:t>
      </w:r>
      <w:r w:rsidR="00152655">
        <w:t>)</w:t>
      </w:r>
      <w:r w:rsidR="009A77AB">
        <w:t>,</w:t>
      </w:r>
      <w:r>
        <w:t xml:space="preserve"> and the Congressional delegation</w:t>
      </w:r>
      <w:r w:rsidR="009A77AB">
        <w:t>s from PPL Corporation states</w:t>
      </w:r>
      <w:r>
        <w:t>.</w:t>
      </w:r>
    </w:p>
    <w:p w:rsidR="00334281" w:rsidRDefault="00334281" w:rsidP="00334281">
      <w:r>
        <w:lastRenderedPageBreak/>
        <w:t>On the State-facing side of the organization, the Vice President relies on</w:t>
      </w:r>
      <w:r w:rsidR="0014676F">
        <w:t xml:space="preserve"> the Senior Manager – State Government Relations as the </w:t>
      </w:r>
      <w:r w:rsidR="00054EEF">
        <w:t xml:space="preserve">lead Pennsylvania </w:t>
      </w:r>
      <w:r w:rsidR="0014676F">
        <w:t>lobbyist for the corporation and</w:t>
      </w:r>
      <w:r>
        <w:t xml:space="preserve"> a long-standing PPL</w:t>
      </w:r>
      <w:r w:rsidR="009A77AB">
        <w:t xml:space="preserve"> Corporation</w:t>
      </w:r>
      <w:r>
        <w:t xml:space="preserve"> contractor for lobbyist services that relate to </w:t>
      </w:r>
      <w:r w:rsidR="00556570">
        <w:t xml:space="preserve">Pennsylvania </w:t>
      </w:r>
      <w:r>
        <w:t xml:space="preserve">state issues. </w:t>
      </w:r>
      <w:r w:rsidR="00556570">
        <w:t xml:space="preserve"> In other states PPL Corporation may retain contract lobbyists from time to time if its corporate interests are best served to do so.</w:t>
      </w:r>
    </w:p>
    <w:p w:rsidR="00C373BB" w:rsidRPr="003243A9" w:rsidRDefault="003243A9" w:rsidP="00334281">
      <w:pPr>
        <w:rPr>
          <w:rFonts w:cs="Arial"/>
          <w:szCs w:val="24"/>
        </w:rPr>
      </w:pPr>
      <w:r>
        <w:t xml:space="preserve">The Vice President’s duties also include </w:t>
      </w:r>
      <w:r>
        <w:rPr>
          <w:rFonts w:cs="Arial"/>
          <w:szCs w:val="24"/>
        </w:rPr>
        <w:t>serving as the Chairman of the PPL</w:t>
      </w:r>
      <w:r w:rsidR="0014676F">
        <w:rPr>
          <w:rFonts w:cs="Arial"/>
          <w:szCs w:val="24"/>
        </w:rPr>
        <w:t>-affiliated</w:t>
      </w:r>
      <w:r>
        <w:rPr>
          <w:rFonts w:cs="Arial"/>
          <w:szCs w:val="24"/>
        </w:rPr>
        <w:t xml:space="preserve"> </w:t>
      </w:r>
      <w:r w:rsidR="0014676F">
        <w:rPr>
          <w:rFonts w:cs="Arial"/>
          <w:szCs w:val="24"/>
        </w:rPr>
        <w:t xml:space="preserve">employee political action </w:t>
      </w:r>
      <w:r w:rsidR="00556570">
        <w:rPr>
          <w:rFonts w:cs="Arial"/>
          <w:szCs w:val="24"/>
        </w:rPr>
        <w:t>c</w:t>
      </w:r>
      <w:r>
        <w:rPr>
          <w:rFonts w:cs="Arial"/>
          <w:szCs w:val="24"/>
        </w:rPr>
        <w:t>ommittee (PAC)</w:t>
      </w:r>
      <w:r w:rsidR="0014676F">
        <w:rPr>
          <w:rFonts w:cs="Arial"/>
          <w:szCs w:val="24"/>
        </w:rPr>
        <w:t>, PPL People for Good Government</w:t>
      </w:r>
      <w:r>
        <w:rPr>
          <w:rFonts w:cs="Arial"/>
          <w:szCs w:val="24"/>
        </w:rPr>
        <w:t xml:space="preserve">.  This committee is funded by </w:t>
      </w:r>
      <w:r w:rsidR="0014676F">
        <w:rPr>
          <w:rFonts w:cs="Arial"/>
          <w:szCs w:val="24"/>
        </w:rPr>
        <w:t xml:space="preserve">voluntary </w:t>
      </w:r>
      <w:r>
        <w:rPr>
          <w:rFonts w:cs="Arial"/>
          <w:szCs w:val="24"/>
        </w:rPr>
        <w:t xml:space="preserve">contributions from employees, </w:t>
      </w:r>
      <w:r w:rsidR="0014676F">
        <w:rPr>
          <w:rFonts w:cs="Arial"/>
          <w:szCs w:val="24"/>
        </w:rPr>
        <w:t>retirees and</w:t>
      </w:r>
      <w:r>
        <w:rPr>
          <w:rFonts w:cs="Arial"/>
          <w:szCs w:val="24"/>
        </w:rPr>
        <w:t xml:space="preserve"> Board members.    PPL Corporation, by </w:t>
      </w:r>
      <w:r w:rsidR="00556570">
        <w:rPr>
          <w:rFonts w:cs="Arial"/>
          <w:szCs w:val="24"/>
        </w:rPr>
        <w:t>Federal Election Commission regulation</w:t>
      </w:r>
      <w:r>
        <w:rPr>
          <w:rFonts w:cs="Arial"/>
          <w:szCs w:val="24"/>
        </w:rPr>
        <w:t>, can provide</w:t>
      </w:r>
      <w:r w:rsidR="00F6184B">
        <w:rPr>
          <w:rFonts w:cs="Arial"/>
          <w:szCs w:val="24"/>
        </w:rPr>
        <w:t xml:space="preserve"> </w:t>
      </w:r>
      <w:r>
        <w:rPr>
          <w:rFonts w:cs="Arial"/>
          <w:szCs w:val="24"/>
        </w:rPr>
        <w:t>administrative support to the PAC</w:t>
      </w:r>
      <w:r w:rsidR="00556570">
        <w:rPr>
          <w:rFonts w:cs="Arial"/>
          <w:szCs w:val="24"/>
        </w:rPr>
        <w:t xml:space="preserve"> for its operating expenditures without limitation.  Federal Election Commission administrative policy prohibits corporate f</w:t>
      </w:r>
      <w:r w:rsidR="008A0EB6">
        <w:rPr>
          <w:rFonts w:cs="Arial"/>
          <w:szCs w:val="24"/>
        </w:rPr>
        <w:t>undraising support in excess of</w:t>
      </w:r>
      <w:r w:rsidR="00556570">
        <w:rPr>
          <w:rFonts w:cs="Arial"/>
          <w:szCs w:val="24"/>
        </w:rPr>
        <w:t xml:space="preserve"> 33</w:t>
      </w:r>
      <w:r w:rsidR="00F6184B">
        <w:rPr>
          <w:rFonts w:cs="Arial"/>
          <w:szCs w:val="24"/>
        </w:rPr>
        <w:t xml:space="preserve"> percent of total contributions</w:t>
      </w:r>
      <w:r>
        <w:rPr>
          <w:rFonts w:cs="Arial"/>
          <w:szCs w:val="24"/>
        </w:rPr>
        <w:t>.</w:t>
      </w:r>
      <w:r w:rsidR="00054EEF">
        <w:rPr>
          <w:rFonts w:cs="Arial"/>
          <w:szCs w:val="24"/>
        </w:rPr>
        <w:t xml:space="preserve">  In 2015, the corporate dollars for administration of the PAC totaled $92,388.</w:t>
      </w:r>
      <w:r>
        <w:rPr>
          <w:rFonts w:cs="Arial"/>
          <w:szCs w:val="24"/>
        </w:rPr>
        <w:t xml:space="preserve">  The PAC supports candidates</w:t>
      </w:r>
      <w:r w:rsidR="00F6184B">
        <w:rPr>
          <w:rFonts w:cs="Arial"/>
          <w:szCs w:val="24"/>
        </w:rPr>
        <w:t xml:space="preserve"> for elected office</w:t>
      </w:r>
      <w:r w:rsidR="00123FCD">
        <w:rPr>
          <w:rFonts w:cs="Arial"/>
          <w:szCs w:val="24"/>
        </w:rPr>
        <w:t xml:space="preserve"> and can better position the company to advocate for</w:t>
      </w:r>
      <w:r w:rsidR="005A761C">
        <w:rPr>
          <w:rFonts w:cs="Arial"/>
          <w:szCs w:val="24"/>
        </w:rPr>
        <w:t xml:space="preserve"> </w:t>
      </w:r>
      <w:r>
        <w:rPr>
          <w:rFonts w:cs="Arial"/>
          <w:szCs w:val="24"/>
        </w:rPr>
        <w:t>initiatives that are beneficial to PPL</w:t>
      </w:r>
      <w:r w:rsidR="009A77AB">
        <w:rPr>
          <w:rFonts w:cs="Arial"/>
          <w:szCs w:val="24"/>
        </w:rPr>
        <w:t xml:space="preserve"> Corporation</w:t>
      </w:r>
      <w:r>
        <w:rPr>
          <w:rFonts w:cs="Arial"/>
          <w:szCs w:val="24"/>
        </w:rPr>
        <w:t>.  The PAC has a steering committee</w:t>
      </w:r>
      <w:r w:rsidR="00123FCD">
        <w:rPr>
          <w:rFonts w:cs="Arial"/>
          <w:szCs w:val="24"/>
        </w:rPr>
        <w:t xml:space="preserve"> and state and federal allocations subcommittees</w:t>
      </w:r>
      <w:r>
        <w:rPr>
          <w:rFonts w:cs="Arial"/>
          <w:szCs w:val="24"/>
        </w:rPr>
        <w:t xml:space="preserve"> that sets the agenda and determines the allocation of funding for various candidates.</w:t>
      </w:r>
    </w:p>
    <w:p w:rsidR="00A83094" w:rsidRDefault="00CE0385" w:rsidP="00CE0385">
      <w:pPr>
        <w:pStyle w:val="Heading40"/>
      </w:pPr>
      <w:r>
        <w:t>PPL SC Corporate Communications</w:t>
      </w:r>
    </w:p>
    <w:p w:rsidR="00A83094" w:rsidRDefault="00CE0385" w:rsidP="00A83094">
      <w:pPr>
        <w:rPr>
          <w:rFonts w:cs="Arial"/>
          <w:szCs w:val="24"/>
        </w:rPr>
      </w:pPr>
      <w:r>
        <w:rPr>
          <w:rFonts w:cs="Arial"/>
          <w:szCs w:val="24"/>
        </w:rPr>
        <w:t>Corporate communications</w:t>
      </w:r>
      <w:r w:rsidR="00A83094">
        <w:rPr>
          <w:rFonts w:cs="Arial"/>
          <w:szCs w:val="24"/>
        </w:rPr>
        <w:t xml:space="preserve"> functions are carried out by </w:t>
      </w:r>
      <w:r>
        <w:rPr>
          <w:rFonts w:cs="Arial"/>
          <w:szCs w:val="24"/>
        </w:rPr>
        <w:t xml:space="preserve">the PPL SC Corporate Communications group.  </w:t>
      </w:r>
      <w:r w:rsidR="00C373BB">
        <w:rPr>
          <w:rFonts w:cs="Arial"/>
          <w:szCs w:val="24"/>
        </w:rPr>
        <w:t xml:space="preserve">The </w:t>
      </w:r>
      <w:r>
        <w:rPr>
          <w:rFonts w:cs="Arial"/>
          <w:szCs w:val="24"/>
        </w:rPr>
        <w:t>PPL SC Corporate Communications</w:t>
      </w:r>
      <w:r w:rsidR="00A83094">
        <w:rPr>
          <w:rFonts w:cs="Arial"/>
          <w:szCs w:val="24"/>
        </w:rPr>
        <w:t xml:space="preserve"> group is led by a Director-Corporate Communications who reports to the Senior Vice President, General Counsel and Corporate Secretary and resides organizationally within the PPL SC.  </w:t>
      </w:r>
      <w:r>
        <w:rPr>
          <w:rFonts w:cs="Arial"/>
          <w:szCs w:val="24"/>
        </w:rPr>
        <w:t xml:space="preserve">The Director has </w:t>
      </w:r>
      <w:r w:rsidR="009E79A6">
        <w:rPr>
          <w:rFonts w:cs="Arial"/>
          <w:szCs w:val="24"/>
        </w:rPr>
        <w:t xml:space="preserve">seven </w:t>
      </w:r>
      <w:r>
        <w:rPr>
          <w:rFonts w:cs="Arial"/>
          <w:szCs w:val="24"/>
        </w:rPr>
        <w:t>employees in his organization including four direct reports.  These include a S</w:t>
      </w:r>
      <w:r w:rsidR="00A723D9">
        <w:rPr>
          <w:rFonts w:cs="Arial"/>
          <w:szCs w:val="24"/>
        </w:rPr>
        <w:t>enior</w:t>
      </w:r>
      <w:r>
        <w:rPr>
          <w:rFonts w:cs="Arial"/>
          <w:szCs w:val="24"/>
        </w:rPr>
        <w:t xml:space="preserve"> Manager of Corporate Relations, a Web </w:t>
      </w:r>
      <w:r w:rsidR="00F90EF9">
        <w:rPr>
          <w:rFonts w:cs="Arial"/>
          <w:szCs w:val="24"/>
        </w:rPr>
        <w:t xml:space="preserve">and </w:t>
      </w:r>
      <w:r>
        <w:rPr>
          <w:rFonts w:cs="Arial"/>
          <w:szCs w:val="24"/>
        </w:rPr>
        <w:t>Print Editor, a Media Relations Manager</w:t>
      </w:r>
      <w:r w:rsidR="00F90EF9">
        <w:rPr>
          <w:rFonts w:cs="Arial"/>
          <w:szCs w:val="24"/>
        </w:rPr>
        <w:t>,</w:t>
      </w:r>
      <w:r>
        <w:rPr>
          <w:rFonts w:cs="Arial"/>
          <w:szCs w:val="24"/>
        </w:rPr>
        <w:t xml:space="preserve"> and an Admin</w:t>
      </w:r>
      <w:r w:rsidR="00A723D9">
        <w:rPr>
          <w:rFonts w:cs="Arial"/>
          <w:szCs w:val="24"/>
        </w:rPr>
        <w:t>istrative</w:t>
      </w:r>
      <w:r>
        <w:rPr>
          <w:rFonts w:cs="Arial"/>
          <w:szCs w:val="24"/>
        </w:rPr>
        <w:t xml:space="preserve"> </w:t>
      </w:r>
      <w:r w:rsidR="009E79A6">
        <w:rPr>
          <w:rFonts w:cs="Arial"/>
          <w:szCs w:val="24"/>
        </w:rPr>
        <w:t>Specialist</w:t>
      </w:r>
      <w:r>
        <w:rPr>
          <w:rFonts w:cs="Arial"/>
          <w:szCs w:val="24"/>
        </w:rPr>
        <w:t>.  Other positions include a Corporate Relations Specialist</w:t>
      </w:r>
      <w:r w:rsidR="009E79A6">
        <w:rPr>
          <w:rFonts w:cs="Arial"/>
          <w:szCs w:val="24"/>
        </w:rPr>
        <w:t>,</w:t>
      </w:r>
      <w:r w:rsidR="00F27665">
        <w:rPr>
          <w:rFonts w:cs="Arial"/>
          <w:szCs w:val="24"/>
        </w:rPr>
        <w:t xml:space="preserve"> which reports to the Senior </w:t>
      </w:r>
      <w:r w:rsidR="009E79A6">
        <w:rPr>
          <w:rFonts w:cs="Arial"/>
          <w:szCs w:val="24"/>
        </w:rPr>
        <w:t>Manager-</w:t>
      </w:r>
      <w:r w:rsidR="00F27665">
        <w:rPr>
          <w:rFonts w:cs="Arial"/>
          <w:szCs w:val="24"/>
        </w:rPr>
        <w:t>Corporate Relations</w:t>
      </w:r>
      <w:r w:rsidR="009E79A6">
        <w:rPr>
          <w:rFonts w:cs="Arial"/>
          <w:szCs w:val="24"/>
        </w:rPr>
        <w:t>, a Corporate Relations Coordinator</w:t>
      </w:r>
      <w:r>
        <w:rPr>
          <w:rFonts w:cs="Arial"/>
          <w:szCs w:val="24"/>
        </w:rPr>
        <w:t xml:space="preserve"> and a </w:t>
      </w:r>
      <w:r w:rsidR="009E79A6">
        <w:rPr>
          <w:rFonts w:cs="Arial"/>
          <w:szCs w:val="24"/>
        </w:rPr>
        <w:t>Steno Clerk</w:t>
      </w:r>
      <w:r>
        <w:rPr>
          <w:rFonts w:cs="Arial"/>
          <w:szCs w:val="24"/>
        </w:rPr>
        <w:t>.</w:t>
      </w:r>
      <w:r w:rsidR="00C373BB">
        <w:rPr>
          <w:rFonts w:cs="Arial"/>
          <w:szCs w:val="24"/>
        </w:rPr>
        <w:t xml:space="preserve"> </w:t>
      </w:r>
      <w:r>
        <w:rPr>
          <w:rFonts w:cs="Arial"/>
          <w:szCs w:val="24"/>
        </w:rPr>
        <w:t xml:space="preserve"> </w:t>
      </w:r>
      <w:r w:rsidR="00C373BB">
        <w:rPr>
          <w:rFonts w:cs="Arial"/>
          <w:szCs w:val="24"/>
        </w:rPr>
        <w:t xml:space="preserve">All staff </w:t>
      </w:r>
      <w:proofErr w:type="gramStart"/>
      <w:r w:rsidR="00C373BB">
        <w:rPr>
          <w:rFonts w:cs="Arial"/>
          <w:szCs w:val="24"/>
        </w:rPr>
        <w:t>are</w:t>
      </w:r>
      <w:proofErr w:type="gramEnd"/>
      <w:r w:rsidR="00C373BB">
        <w:rPr>
          <w:rFonts w:cs="Arial"/>
          <w:szCs w:val="24"/>
        </w:rPr>
        <w:t xml:space="preserve"> located in the Allentown corporate office.  </w:t>
      </w:r>
      <w:r w:rsidR="00A83094">
        <w:rPr>
          <w:rFonts w:cs="Arial"/>
          <w:szCs w:val="24"/>
        </w:rPr>
        <w:t>Th</w:t>
      </w:r>
      <w:r w:rsidR="002C1F91">
        <w:rPr>
          <w:rFonts w:cs="Arial"/>
          <w:szCs w:val="24"/>
        </w:rPr>
        <w:t>e Corporate Communications group</w:t>
      </w:r>
      <w:r w:rsidR="00A83094">
        <w:rPr>
          <w:rFonts w:cs="Arial"/>
          <w:szCs w:val="24"/>
        </w:rPr>
        <w:t xml:space="preserve"> carries out the following activities:</w:t>
      </w:r>
    </w:p>
    <w:p w:rsidR="00A83094" w:rsidRDefault="00A83094" w:rsidP="009A3E36">
      <w:pPr>
        <w:pStyle w:val="Bullet"/>
        <w:keepNext/>
      </w:pPr>
      <w:r>
        <w:t>Corporate communications</w:t>
      </w:r>
    </w:p>
    <w:p w:rsidR="00A83094" w:rsidRDefault="00A83094" w:rsidP="00A83094">
      <w:pPr>
        <w:pStyle w:val="Bullet"/>
      </w:pPr>
      <w:r>
        <w:t>Corporate relations</w:t>
      </w:r>
    </w:p>
    <w:p w:rsidR="00A83094" w:rsidRDefault="00A83094" w:rsidP="00A83094">
      <w:pPr>
        <w:pStyle w:val="Bullet"/>
      </w:pPr>
      <w:r>
        <w:t>Executive support</w:t>
      </w:r>
    </w:p>
    <w:p w:rsidR="00A83094" w:rsidRDefault="00A83094" w:rsidP="00A83094">
      <w:pPr>
        <w:pStyle w:val="Bullet"/>
      </w:pPr>
      <w:r>
        <w:t>Financial reporting</w:t>
      </w:r>
      <w:r w:rsidR="00A723D9">
        <w:t xml:space="preserve"> assistance</w:t>
      </w:r>
    </w:p>
    <w:p w:rsidR="00A83094" w:rsidRDefault="00A83094" w:rsidP="00A83094">
      <w:pPr>
        <w:pStyle w:val="Bullet"/>
      </w:pPr>
      <w:r>
        <w:t>Philanthropic activities</w:t>
      </w:r>
    </w:p>
    <w:p w:rsidR="00786019" w:rsidRDefault="00786019" w:rsidP="00A83094">
      <w:pPr>
        <w:pStyle w:val="Bullet"/>
      </w:pPr>
      <w:r>
        <w:t>Communication support to Corporati</w:t>
      </w:r>
      <w:r w:rsidR="00557D10">
        <w:t>o</w:t>
      </w:r>
      <w:r>
        <w:t>n HR organization</w:t>
      </w:r>
    </w:p>
    <w:p w:rsidR="00786019" w:rsidRDefault="00786019" w:rsidP="00A83094">
      <w:pPr>
        <w:pStyle w:val="Bullet"/>
      </w:pPr>
      <w:r>
        <w:t>Merger and acquisition communications</w:t>
      </w:r>
    </w:p>
    <w:p w:rsidR="00A83094" w:rsidRDefault="00A83094" w:rsidP="00A83094">
      <w:pPr>
        <w:pStyle w:val="Bullet"/>
      </w:pPr>
      <w:r>
        <w:t xml:space="preserve">PPL Corporation </w:t>
      </w:r>
      <w:r w:rsidR="00786019">
        <w:t xml:space="preserve">external and internal </w:t>
      </w:r>
      <w:r>
        <w:t>website</w:t>
      </w:r>
      <w:r w:rsidR="00786019">
        <w:t>s,</w:t>
      </w:r>
      <w:r>
        <w:t xml:space="preserve"> including the “Grid” (PPL internal website)</w:t>
      </w:r>
    </w:p>
    <w:p w:rsidR="00786019" w:rsidRDefault="00786019" w:rsidP="00A83094">
      <w:pPr>
        <w:pStyle w:val="Bullet"/>
      </w:pPr>
      <w:r>
        <w:t>PPL Corporation social media pre</w:t>
      </w:r>
      <w:r w:rsidR="00557D10">
        <w:t>s</w:t>
      </w:r>
      <w:r>
        <w:t>ence (Twitter and LinkedIn)</w:t>
      </w:r>
    </w:p>
    <w:p w:rsidR="00A83094" w:rsidRDefault="00A83094" w:rsidP="00A83094">
      <w:pPr>
        <w:pStyle w:val="Bullet"/>
      </w:pPr>
      <w:r>
        <w:t>Managing the PPL brand and reputation.</w:t>
      </w:r>
    </w:p>
    <w:p w:rsidR="00A83094" w:rsidRDefault="00A83094" w:rsidP="00A83094">
      <w:pPr>
        <w:pStyle w:val="Bullet"/>
      </w:pPr>
      <w:r>
        <w:t>Assists PPL executives with speechwriting and messaging</w:t>
      </w:r>
    </w:p>
    <w:p w:rsidR="00A83094" w:rsidRDefault="00A83094" w:rsidP="00A83094">
      <w:pPr>
        <w:pStyle w:val="Bullet"/>
      </w:pPr>
      <w:r>
        <w:t>Coordination of the shareholders annual meeting</w:t>
      </w:r>
    </w:p>
    <w:p w:rsidR="00A83094" w:rsidRDefault="00A83094" w:rsidP="00A83094">
      <w:pPr>
        <w:pStyle w:val="Bullet"/>
      </w:pPr>
      <w:r>
        <w:lastRenderedPageBreak/>
        <w:t>Releases financial performance information to the media</w:t>
      </w:r>
    </w:p>
    <w:p w:rsidR="00A83094" w:rsidRDefault="00A83094" w:rsidP="00A83094">
      <w:pPr>
        <w:pStyle w:val="Bullet"/>
      </w:pPr>
      <w:r>
        <w:t>Manages the communications associated with the PPL Foundation and the United Way campaign</w:t>
      </w:r>
    </w:p>
    <w:p w:rsidR="00A83094" w:rsidRDefault="00A83094" w:rsidP="00A83094">
      <w:pPr>
        <w:pStyle w:val="Bullet"/>
      </w:pPr>
      <w:r>
        <w:t>Production of “Dimensions” magazine, an internal periodical that is published three times per year</w:t>
      </w:r>
    </w:p>
    <w:p w:rsidR="00786019" w:rsidRDefault="00786019" w:rsidP="00A83094">
      <w:pPr>
        <w:pStyle w:val="Bullet"/>
      </w:pPr>
      <w:r>
        <w:t>Assists Executive Crisis Team communications and coordinates associated ECT emergency preparedness drills</w:t>
      </w:r>
    </w:p>
    <w:p w:rsidR="00A83094" w:rsidRDefault="00A83094" w:rsidP="00A83094">
      <w:pPr>
        <w:pStyle w:val="Bullet"/>
      </w:pPr>
      <w:r>
        <w:t>Assists other departments with graphic design and web services.</w:t>
      </w:r>
    </w:p>
    <w:p w:rsidR="00A83094" w:rsidRDefault="00A83094" w:rsidP="00A83094">
      <w:pPr>
        <w:pStyle w:val="Heading40"/>
      </w:pPr>
      <w:r>
        <w:t>P</w:t>
      </w:r>
      <w:r w:rsidR="003733B1">
        <w:t>PL EU Services C</w:t>
      </w:r>
      <w:r>
        <w:t xml:space="preserve">orporation </w:t>
      </w:r>
    </w:p>
    <w:p w:rsidR="00A83094" w:rsidRPr="00EE25E5" w:rsidRDefault="00A83094" w:rsidP="00A83094">
      <w:pPr>
        <w:rPr>
          <w:color w:val="000000"/>
        </w:rPr>
      </w:pPr>
      <w:r w:rsidRPr="00252683">
        <w:t xml:space="preserve">In 2015, </w:t>
      </w:r>
      <w:r w:rsidR="00A723D9">
        <w:t>PPL EU Services Corpor</w:t>
      </w:r>
      <w:r w:rsidR="00AF4F5A">
        <w:t>a</w:t>
      </w:r>
      <w:r w:rsidR="00A723D9">
        <w:t>tion (</w:t>
      </w:r>
      <w:r w:rsidRPr="00252683">
        <w:t>PPL EU</w:t>
      </w:r>
      <w:r>
        <w:t>S</w:t>
      </w:r>
      <w:r w:rsidR="00A723D9">
        <w:t>)</w:t>
      </w:r>
      <w:r w:rsidRPr="00252683">
        <w:t xml:space="preserve"> </w:t>
      </w:r>
      <w:r w:rsidR="005A761C">
        <w:t>began</w:t>
      </w:r>
      <w:r w:rsidRPr="00252683">
        <w:t xml:space="preserve"> provid</w:t>
      </w:r>
      <w:r w:rsidR="005A761C">
        <w:t>ing</w:t>
      </w:r>
      <w:r w:rsidRPr="00252683">
        <w:t xml:space="preserve"> </w:t>
      </w:r>
      <w:r w:rsidR="004C7A7B">
        <w:rPr>
          <w:color w:val="000000"/>
        </w:rPr>
        <w:t xml:space="preserve">support services and corporate functions such as </w:t>
      </w:r>
      <w:r w:rsidR="00A723D9">
        <w:rPr>
          <w:color w:val="000000"/>
        </w:rPr>
        <w:t>accounting, regulatory,</w:t>
      </w:r>
      <w:r w:rsidR="004C7A7B">
        <w:rPr>
          <w:color w:val="000000"/>
        </w:rPr>
        <w:t xml:space="preserve"> supply chain, human resources</w:t>
      </w:r>
      <w:r w:rsidR="00A723D9">
        <w:rPr>
          <w:color w:val="000000"/>
        </w:rPr>
        <w:t>,</w:t>
      </w:r>
      <w:r w:rsidR="004C7A7B">
        <w:rPr>
          <w:color w:val="000000"/>
        </w:rPr>
        <w:t xml:space="preserve"> and facilities management</w:t>
      </w:r>
      <w:r w:rsidR="00F56FC3" w:rsidRPr="00F56FC3">
        <w:t xml:space="preserve"> primarily to </w:t>
      </w:r>
      <w:r w:rsidR="00F56FC3">
        <w:t>PPL E</w:t>
      </w:r>
      <w:r w:rsidR="00A723D9">
        <w:t>U</w:t>
      </w:r>
      <w:r w:rsidR="00F56FC3">
        <w:t xml:space="preserve"> and its affiliates</w:t>
      </w:r>
      <w:r w:rsidRPr="00252683">
        <w:t>.</w:t>
      </w:r>
      <w:r w:rsidR="00EE25E5" w:rsidRPr="00252683">
        <w:t xml:space="preserve">  </w:t>
      </w:r>
      <w:r w:rsidR="00EE25E5">
        <w:t>Recognizing that u</w:t>
      </w:r>
      <w:r w:rsidR="00EE25E5" w:rsidRPr="00252683">
        <w:t>pon completion of the anticipated spinoff of PPL Energy Supply</w:t>
      </w:r>
      <w:r w:rsidR="00763DEA">
        <w:t>, LLC</w:t>
      </w:r>
      <w:r w:rsidR="00EE25E5" w:rsidRPr="00252683">
        <w:t xml:space="preserve"> and any related transition services to Talen</w:t>
      </w:r>
      <w:r w:rsidR="00E022BA">
        <w:t xml:space="preserve"> Energy Corporation</w:t>
      </w:r>
      <w:r w:rsidR="00EE25E5" w:rsidRPr="00252683">
        <w:t>, the remaining corporate functions that would be provided by PPL S</w:t>
      </w:r>
      <w:r w:rsidR="00EE25E5">
        <w:t>C</w:t>
      </w:r>
      <w:r w:rsidR="00EE25E5" w:rsidRPr="00252683">
        <w:t xml:space="preserve"> would </w:t>
      </w:r>
      <w:r w:rsidR="00E022BA">
        <w:t>largely</w:t>
      </w:r>
      <w:r w:rsidR="00E022BA" w:rsidRPr="00252683">
        <w:t xml:space="preserve"> </w:t>
      </w:r>
      <w:r w:rsidR="00EE25E5" w:rsidRPr="00252683">
        <w:t>be in support of PPL E</w:t>
      </w:r>
      <w:r w:rsidR="00EE25E5">
        <w:t>U, a</w:t>
      </w:r>
      <w:r w:rsidR="00EE25E5" w:rsidRPr="00252683">
        <w:t xml:space="preserve"> new</w:t>
      </w:r>
      <w:r w:rsidR="00EE25E5">
        <w:t xml:space="preserve"> centralized services company, PPL EUS, w</w:t>
      </w:r>
      <w:r w:rsidR="00EE25E5" w:rsidRPr="00252683">
        <w:t>as form</w:t>
      </w:r>
      <w:r w:rsidR="00EE25E5">
        <w:t>ed.</w:t>
      </w:r>
      <w:r w:rsidR="00A723D9">
        <w:t xml:space="preserve"> </w:t>
      </w:r>
      <w:r w:rsidRPr="00252683">
        <w:t xml:space="preserve"> </w:t>
      </w:r>
      <w:r w:rsidR="00EE25E5">
        <w:rPr>
          <w:color w:val="000000"/>
        </w:rPr>
        <w:t>Significant portions of the various corporate functions previously within PPL S</w:t>
      </w:r>
      <w:r w:rsidR="00A723D9">
        <w:rPr>
          <w:color w:val="000000"/>
        </w:rPr>
        <w:t>C</w:t>
      </w:r>
      <w:r w:rsidR="00EE25E5">
        <w:rPr>
          <w:color w:val="000000"/>
        </w:rPr>
        <w:t xml:space="preserve"> were transferred to PPL EU</w:t>
      </w:r>
      <w:r w:rsidR="00A723D9">
        <w:rPr>
          <w:color w:val="000000"/>
        </w:rPr>
        <w:t>S</w:t>
      </w:r>
      <w:r w:rsidR="00EE25E5">
        <w:rPr>
          <w:color w:val="000000"/>
        </w:rPr>
        <w:t xml:space="preserve"> in 2015. </w:t>
      </w:r>
      <w:r w:rsidR="006C74A6">
        <w:rPr>
          <w:color w:val="000000"/>
        </w:rPr>
        <w:t xml:space="preserve"> </w:t>
      </w:r>
      <w:r w:rsidR="00EE25E5">
        <w:rPr>
          <w:color w:val="000000"/>
        </w:rPr>
        <w:t>Certain other functions are to be transferred to PPL EU</w:t>
      </w:r>
      <w:r w:rsidR="00A723D9">
        <w:rPr>
          <w:color w:val="000000"/>
        </w:rPr>
        <w:t>S</w:t>
      </w:r>
      <w:r w:rsidR="00EE25E5">
        <w:rPr>
          <w:color w:val="000000"/>
        </w:rPr>
        <w:t xml:space="preserve"> as the transition services agreements with Talen expire</w:t>
      </w:r>
      <w:r w:rsidR="008D3C86">
        <w:rPr>
          <w:color w:val="000000"/>
        </w:rPr>
        <w:t xml:space="preserve"> although</w:t>
      </w:r>
      <w:r w:rsidR="006C74A6">
        <w:rPr>
          <w:color w:val="000000"/>
        </w:rPr>
        <w:t xml:space="preserve"> </w:t>
      </w:r>
      <w:r w:rsidR="00EE25E5">
        <w:rPr>
          <w:color w:val="000000"/>
        </w:rPr>
        <w:t>PPL S</w:t>
      </w:r>
      <w:r w:rsidR="00A723D9">
        <w:rPr>
          <w:color w:val="000000"/>
        </w:rPr>
        <w:t>C</w:t>
      </w:r>
      <w:r w:rsidR="00EE25E5">
        <w:rPr>
          <w:color w:val="000000"/>
        </w:rPr>
        <w:t xml:space="preserve"> will continue to provide certain limited corporate functions.</w:t>
      </w:r>
      <w:r w:rsidR="00A723D9">
        <w:rPr>
          <w:color w:val="000000"/>
        </w:rPr>
        <w:t xml:space="preserve"> </w:t>
      </w:r>
      <w:r w:rsidR="00EE25E5">
        <w:rPr>
          <w:color w:val="000000"/>
        </w:rPr>
        <w:t xml:space="preserve"> For both service companies, the costs of these services are charged directly to the respective recipients or indirectly charged to applicable recipients based on an average of the recipients' relative invested capital, operation and maintenance expenses</w:t>
      </w:r>
      <w:r w:rsidR="00A723D9">
        <w:rPr>
          <w:color w:val="000000"/>
        </w:rPr>
        <w:t>,</w:t>
      </w:r>
      <w:r w:rsidR="00EE25E5">
        <w:rPr>
          <w:color w:val="000000"/>
        </w:rPr>
        <w:t xml:space="preserve"> and number of employees.  PPL EUS is discussed in greater detail in Chapter IV, Affiliate Relations</w:t>
      </w:r>
      <w:r w:rsidR="00A723D9">
        <w:rPr>
          <w:color w:val="000000"/>
        </w:rPr>
        <w:t>hips</w:t>
      </w:r>
      <w:r w:rsidR="00EE25E5">
        <w:rPr>
          <w:color w:val="000000"/>
        </w:rPr>
        <w:t>.</w:t>
      </w:r>
    </w:p>
    <w:p w:rsidR="00573E10" w:rsidRDefault="00573E10" w:rsidP="00573E10">
      <w:pPr>
        <w:pStyle w:val="Heading30"/>
      </w:pPr>
      <w:r>
        <w:t>talen spinoff</w:t>
      </w:r>
    </w:p>
    <w:p w:rsidR="00B44AB5" w:rsidRDefault="00573E10" w:rsidP="005405FA">
      <w:r>
        <w:t>In June 2014, PPL</w:t>
      </w:r>
      <w:r w:rsidR="00585080">
        <w:t xml:space="preserve"> Corporation</w:t>
      </w:r>
      <w:r>
        <w:t xml:space="preserve"> and PPL Energy Supply</w:t>
      </w:r>
      <w:r w:rsidR="00763DEA">
        <w:t>, LLC</w:t>
      </w:r>
      <w:r>
        <w:t xml:space="preserve"> executed definitive agreemen</w:t>
      </w:r>
      <w:r w:rsidR="005405FA">
        <w:t xml:space="preserve">ts with affiliates of Riverstone Holdings LLC (Riverstone) </w:t>
      </w:r>
      <w:r>
        <w:t>to combine their competitive power generation businesses into a new, stand-alone, publicly traded company named Talen Energy</w:t>
      </w:r>
      <w:r w:rsidR="00A53F8E">
        <w:t xml:space="preserve"> Corporation (Talen)</w:t>
      </w:r>
      <w:r>
        <w:t xml:space="preserve">.  </w:t>
      </w:r>
    </w:p>
    <w:p w:rsidR="00B44AB5" w:rsidRDefault="00B44AB5" w:rsidP="00B44AB5">
      <w:r w:rsidRPr="00B44AB5">
        <w:t xml:space="preserve">The rationale for spinning off the PPL </w:t>
      </w:r>
      <w:r w:rsidR="00DC051F">
        <w:t xml:space="preserve">Corporation </w:t>
      </w:r>
      <w:r w:rsidR="00E022BA">
        <w:t xml:space="preserve">competitive </w:t>
      </w:r>
      <w:r w:rsidRPr="00B44AB5">
        <w:t xml:space="preserve">generation </w:t>
      </w:r>
      <w:r w:rsidR="00E022BA">
        <w:t>business as of June 1, 2015</w:t>
      </w:r>
      <w:r w:rsidR="00E022BA" w:rsidRPr="00B44AB5">
        <w:t xml:space="preserve"> </w:t>
      </w:r>
      <w:r w:rsidRPr="00B44AB5">
        <w:t xml:space="preserve">was generally to separate the </w:t>
      </w:r>
      <w:r w:rsidR="00E022BA">
        <w:t xml:space="preserve">higher </w:t>
      </w:r>
      <w:r w:rsidRPr="00B44AB5">
        <w:t xml:space="preserve">risk </w:t>
      </w:r>
      <w:r w:rsidR="00E022BA">
        <w:t xml:space="preserve">competitive </w:t>
      </w:r>
      <w:r w:rsidRPr="00B44AB5">
        <w:t xml:space="preserve">generation </w:t>
      </w:r>
      <w:r w:rsidR="00E022BA">
        <w:t xml:space="preserve">business </w:t>
      </w:r>
      <w:r w:rsidRPr="00B44AB5">
        <w:t>from the relatively stable</w:t>
      </w:r>
      <w:r w:rsidR="00E022BA">
        <w:t xml:space="preserve"> and lower risk</w:t>
      </w:r>
      <w:r w:rsidRPr="00B44AB5">
        <w:t xml:space="preserve"> regulated electric </w:t>
      </w:r>
      <w:r w:rsidR="00E022BA">
        <w:t xml:space="preserve">utility </w:t>
      </w:r>
      <w:r w:rsidRPr="00B44AB5">
        <w:t xml:space="preserve">business.  </w:t>
      </w:r>
      <w:r w:rsidR="00E022BA">
        <w:t>Prior to the spin</w:t>
      </w:r>
      <w:r w:rsidR="00D77389">
        <w:t>-off</w:t>
      </w:r>
      <w:r w:rsidRPr="00B44AB5">
        <w:t>, investors had to live with the combination of high risk and low risk assets together in one single investment which locked in some amount of value.  However, once separated, investors could choose to invest in the higher risk asset (Talen)</w:t>
      </w:r>
      <w:r w:rsidR="00B3309A">
        <w:t>,</w:t>
      </w:r>
      <w:r w:rsidRPr="00B44AB5">
        <w:t xml:space="preserve"> the low risk asset (PPL Corporation)</w:t>
      </w:r>
      <w:r w:rsidR="00DC051F">
        <w:t>,</w:t>
      </w:r>
      <w:r w:rsidRPr="00B44AB5">
        <w:t xml:space="preserve"> or both if they wished.  At the spinoff, PPL </w:t>
      </w:r>
      <w:r w:rsidR="00DC051F">
        <w:t xml:space="preserve">Corporation </w:t>
      </w:r>
      <w:r w:rsidRPr="00B44AB5">
        <w:t xml:space="preserve">shareholders received </w:t>
      </w:r>
      <w:r w:rsidR="00E022BA">
        <w:t xml:space="preserve">approximately </w:t>
      </w:r>
      <w:r w:rsidRPr="00B44AB5">
        <w:t xml:space="preserve">one share of Talen stock for every eight shares of PPL stock they owned.  PPL Corporation </w:t>
      </w:r>
      <w:r w:rsidR="0062000D">
        <w:t>has no</w:t>
      </w:r>
      <w:r w:rsidR="00E022BA">
        <w:t xml:space="preserve"> ownership interests in </w:t>
      </w:r>
      <w:r w:rsidRPr="00B44AB5">
        <w:t>Talen.</w:t>
      </w:r>
    </w:p>
    <w:p w:rsidR="003F3418" w:rsidRDefault="00573E10" w:rsidP="005405FA">
      <w:r>
        <w:t xml:space="preserve">Under the terms of the agreements, PPL </w:t>
      </w:r>
      <w:r w:rsidR="00DC051F">
        <w:t xml:space="preserve">Corporation </w:t>
      </w:r>
      <w:r w:rsidR="00266C45">
        <w:t xml:space="preserve">spun off </w:t>
      </w:r>
      <w:r>
        <w:t>to PPL</w:t>
      </w:r>
      <w:r w:rsidR="00DC051F">
        <w:t xml:space="preserve"> Corporation</w:t>
      </w:r>
      <w:r>
        <w:t xml:space="preserve"> shareowners a newly formed entity, Talen Energy Holdings, Inc. (Holdco), which </w:t>
      </w:r>
      <w:r w:rsidR="00266C45">
        <w:t xml:space="preserve">owned </w:t>
      </w:r>
      <w:r>
        <w:t>all of the membership interests of</w:t>
      </w:r>
      <w:r w:rsidR="0086292D">
        <w:t xml:space="preserve"> the former</w:t>
      </w:r>
      <w:r>
        <w:t xml:space="preserve"> PPL Energy Supply</w:t>
      </w:r>
      <w:r w:rsidR="00266C45">
        <w:t>, LLC</w:t>
      </w:r>
      <w:r>
        <w:t xml:space="preserve"> and all of the common stock of Talen.  Immediately following the spinoff, Holdco merge</w:t>
      </w:r>
      <w:r w:rsidR="0086292D">
        <w:t>d</w:t>
      </w:r>
      <w:r>
        <w:t xml:space="preserve"> with a </w:t>
      </w:r>
      <w:r>
        <w:lastRenderedPageBreak/>
        <w:t>special purpose subsidiary of Talen, with Holdco continuing as the surviving company to the merger and as a wholly owned subsidiary of Talen and the sole owner of</w:t>
      </w:r>
      <w:r w:rsidR="0086292D">
        <w:t xml:space="preserve"> the former</w:t>
      </w:r>
      <w:r>
        <w:t xml:space="preserve"> PPL Energy Supply</w:t>
      </w:r>
      <w:r w:rsidR="00763DEA">
        <w:t>, LLC</w:t>
      </w:r>
      <w:r>
        <w:t>.</w:t>
      </w:r>
      <w:r w:rsidR="00DC051F">
        <w:t xml:space="preserve"> </w:t>
      </w:r>
      <w:r>
        <w:t xml:space="preserve"> Substantially contemporaneous with the merger, </w:t>
      </w:r>
      <w:r w:rsidR="00494E09">
        <w:t xml:space="preserve">the Riverstone affiliates’ </w:t>
      </w:r>
      <w:r w:rsidR="00266C45">
        <w:t xml:space="preserve">interests </w:t>
      </w:r>
      <w:r w:rsidR="0086292D">
        <w:t>w</w:t>
      </w:r>
      <w:r w:rsidR="00494E09">
        <w:t>ere</w:t>
      </w:r>
      <w:r>
        <w:t xml:space="preserve"> contributed by </w:t>
      </w:r>
      <w:r w:rsidR="00494E09">
        <w:t>their</w:t>
      </w:r>
      <w:r>
        <w:t xml:space="preserve"> owners to become</w:t>
      </w:r>
      <w:r w:rsidR="003F3418">
        <w:t xml:space="preserve"> a subsidiary of Talen.</w:t>
      </w:r>
    </w:p>
    <w:p w:rsidR="00144C8A" w:rsidRDefault="00266C45" w:rsidP="00144C8A">
      <w:pPr>
        <w:pStyle w:val="Heading40"/>
      </w:pPr>
      <w:r>
        <w:t>Businesses Included in Spinoff</w:t>
      </w:r>
    </w:p>
    <w:p w:rsidR="0084125D" w:rsidRDefault="008F0269" w:rsidP="0084125D">
      <w:r>
        <w:t>The Riverstone subsidiaries’ generation assets included in the Talen transaction totaled 5,325 MW of natural gas and coal capacity located in Maryland, New Jersey, Pennsylvania, Massachusetts, and Texas.</w:t>
      </w:r>
      <w:r w:rsidR="00DC051F">
        <w:t xml:space="preserve"> </w:t>
      </w:r>
      <w:r>
        <w:t xml:space="preserve"> </w:t>
      </w:r>
      <w:r w:rsidR="0084125D">
        <w:t>The following PPL Energy Supply</w:t>
      </w:r>
      <w:r w:rsidR="00763DEA">
        <w:t>, LLC</w:t>
      </w:r>
      <w:r w:rsidR="0084125D">
        <w:t xml:space="preserve"> generation assets were included in the transaction.</w:t>
      </w:r>
    </w:p>
    <w:p w:rsidR="005E7F15" w:rsidRDefault="00356110" w:rsidP="00356110">
      <w:pPr>
        <w:pStyle w:val="Caption"/>
      </w:pPr>
      <w:bookmarkStart w:id="30" w:name="_Toc464552938"/>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12</w:t>
      </w:r>
      <w:r w:rsidR="00CB2B2A">
        <w:rPr>
          <w:noProof/>
        </w:rPr>
        <w:fldChar w:fldCharType="end"/>
      </w:r>
      <w:r w:rsidR="00F03CD4">
        <w:br/>
      </w:r>
      <w:r w:rsidR="008455CA">
        <w:t>PPL Energy Supply</w:t>
      </w:r>
      <w:r w:rsidR="00763DEA">
        <w:t>, LLC</w:t>
      </w:r>
      <w:r w:rsidR="008455CA">
        <w:t xml:space="preserve"> Generation Assets in Talen Transaction</w:t>
      </w:r>
      <w:bookmarkEnd w:id="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0" w:type="dxa"/>
          <w:bottom w:w="29" w:type="dxa"/>
          <w:right w:w="0" w:type="dxa"/>
        </w:tblCellMar>
        <w:tblLook w:val="0000"/>
      </w:tblPr>
      <w:tblGrid>
        <w:gridCol w:w="1785"/>
        <w:gridCol w:w="1264"/>
        <w:gridCol w:w="1445"/>
        <w:gridCol w:w="1081"/>
        <w:gridCol w:w="879"/>
        <w:gridCol w:w="1323"/>
        <w:gridCol w:w="857"/>
      </w:tblGrid>
      <w:tr w:rsidR="00982CCC" w:rsidRPr="00DD3F08" w:rsidTr="00933480">
        <w:trPr>
          <w:cantSplit/>
          <w:trHeight w:val="360"/>
          <w:tblHeader/>
          <w:jc w:val="center"/>
        </w:trPr>
        <w:tc>
          <w:tcPr>
            <w:tcW w:w="0" w:type="auto"/>
            <w:shd w:val="clear" w:color="auto" w:fill="A5CD7E"/>
            <w:vAlign w:val="center"/>
          </w:tcPr>
          <w:p w:rsidR="00F07C3C" w:rsidRPr="002B6689" w:rsidRDefault="00DC051F" w:rsidP="00933480">
            <w:pPr>
              <w:spacing w:before="80" w:after="80"/>
              <w:ind w:left="176" w:hanging="176"/>
              <w:jc w:val="center"/>
              <w:rPr>
                <w:rFonts w:eastAsiaTheme="minorEastAsia" w:cs="Arial"/>
                <w:b/>
                <w:bCs/>
                <w:color w:val="000000"/>
                <w:sz w:val="18"/>
                <w:szCs w:val="18"/>
              </w:rPr>
            </w:pPr>
            <w:r>
              <w:rPr>
                <w:rFonts w:eastAsiaTheme="minorEastAsia" w:cs="Arial"/>
                <w:b/>
                <w:bCs/>
                <w:color w:val="000000"/>
                <w:sz w:val="18"/>
                <w:szCs w:val="18"/>
              </w:rPr>
              <w:t>Asset</w:t>
            </w:r>
          </w:p>
        </w:tc>
        <w:tc>
          <w:tcPr>
            <w:tcW w:w="0" w:type="auto"/>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Location</w:t>
            </w:r>
          </w:p>
        </w:tc>
        <w:tc>
          <w:tcPr>
            <w:tcW w:w="1441" w:type="dxa"/>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Fuel Type</w:t>
            </w:r>
          </w:p>
        </w:tc>
        <w:tc>
          <w:tcPr>
            <w:tcW w:w="1078" w:type="dxa"/>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Ownership</w:t>
            </w:r>
          </w:p>
        </w:tc>
        <w:tc>
          <w:tcPr>
            <w:tcW w:w="879" w:type="dxa"/>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Owned</w:t>
            </w:r>
            <w:r w:rsidR="00933480">
              <w:rPr>
                <w:rFonts w:eastAsiaTheme="minorEastAsia" w:cs="Arial"/>
                <w:b/>
                <w:bCs/>
                <w:color w:val="000000"/>
                <w:sz w:val="18"/>
                <w:szCs w:val="18"/>
              </w:rPr>
              <w:t xml:space="preserve"> </w:t>
            </w:r>
            <w:r w:rsidRPr="002B6689">
              <w:rPr>
                <w:rFonts w:eastAsiaTheme="minorEastAsia" w:cs="Arial"/>
                <w:b/>
                <w:bCs/>
                <w:color w:val="000000"/>
                <w:sz w:val="18"/>
                <w:szCs w:val="18"/>
              </w:rPr>
              <w:t>Capacity</w:t>
            </w:r>
            <w:r w:rsidR="00933480">
              <w:rPr>
                <w:rFonts w:eastAsiaTheme="minorEastAsia" w:cs="Arial"/>
                <w:b/>
                <w:bCs/>
                <w:color w:val="000000"/>
                <w:sz w:val="18"/>
                <w:szCs w:val="18"/>
              </w:rPr>
              <w:t xml:space="preserve"> </w:t>
            </w:r>
            <w:r w:rsidRPr="002B6689">
              <w:rPr>
                <w:rFonts w:eastAsiaTheme="minorEastAsia" w:cs="Arial"/>
                <w:b/>
                <w:bCs/>
                <w:color w:val="000000"/>
                <w:sz w:val="18"/>
                <w:szCs w:val="18"/>
              </w:rPr>
              <w:t>(MW)</w:t>
            </w:r>
          </w:p>
        </w:tc>
        <w:tc>
          <w:tcPr>
            <w:tcW w:w="1323" w:type="dxa"/>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Commercial</w:t>
            </w:r>
            <w:r w:rsidR="00933480">
              <w:rPr>
                <w:rFonts w:eastAsiaTheme="minorEastAsia" w:cs="Arial"/>
                <w:b/>
                <w:bCs/>
                <w:color w:val="000000"/>
                <w:sz w:val="18"/>
                <w:szCs w:val="18"/>
              </w:rPr>
              <w:t xml:space="preserve"> </w:t>
            </w:r>
            <w:r w:rsidRPr="002B6689">
              <w:rPr>
                <w:rFonts w:eastAsiaTheme="minorEastAsia" w:cs="Arial"/>
                <w:b/>
                <w:bCs/>
                <w:color w:val="000000"/>
                <w:sz w:val="18"/>
                <w:szCs w:val="18"/>
              </w:rPr>
              <w:t>Operation</w:t>
            </w:r>
            <w:r w:rsidR="00933480">
              <w:rPr>
                <w:rFonts w:eastAsiaTheme="minorEastAsia" w:cs="Arial"/>
                <w:b/>
                <w:bCs/>
                <w:color w:val="000000"/>
                <w:sz w:val="18"/>
                <w:szCs w:val="18"/>
              </w:rPr>
              <w:t xml:space="preserve"> </w:t>
            </w:r>
            <w:r w:rsidRPr="002B6689">
              <w:rPr>
                <w:rFonts w:eastAsiaTheme="minorEastAsia" w:cs="Arial"/>
                <w:b/>
                <w:bCs/>
                <w:color w:val="000000"/>
                <w:sz w:val="18"/>
                <w:szCs w:val="18"/>
              </w:rPr>
              <w:t>Date</w:t>
            </w:r>
          </w:p>
        </w:tc>
        <w:tc>
          <w:tcPr>
            <w:tcW w:w="857" w:type="dxa"/>
            <w:shd w:val="clear" w:color="auto" w:fill="A5CD7E"/>
            <w:vAlign w:val="center"/>
          </w:tcPr>
          <w:p w:rsidR="00F07C3C" w:rsidRPr="002B6689" w:rsidRDefault="00F07C3C" w:rsidP="00933480">
            <w:pPr>
              <w:spacing w:before="80" w:after="80"/>
              <w:jc w:val="center"/>
              <w:rPr>
                <w:rFonts w:eastAsiaTheme="minorEastAsia" w:cs="Arial"/>
                <w:sz w:val="18"/>
                <w:szCs w:val="18"/>
              </w:rPr>
            </w:pPr>
            <w:r w:rsidRPr="002B6689">
              <w:rPr>
                <w:rFonts w:eastAsiaTheme="minorEastAsia" w:cs="Arial"/>
                <w:b/>
                <w:bCs/>
                <w:color w:val="000000"/>
                <w:sz w:val="18"/>
                <w:szCs w:val="18"/>
              </w:rPr>
              <w:t>Region/</w:t>
            </w:r>
            <w:r w:rsidR="00933480">
              <w:rPr>
                <w:rFonts w:eastAsiaTheme="minorEastAsia" w:cs="Arial"/>
                <w:b/>
                <w:bCs/>
                <w:color w:val="000000"/>
                <w:sz w:val="18"/>
                <w:szCs w:val="18"/>
              </w:rPr>
              <w:t xml:space="preserve"> </w:t>
            </w:r>
            <w:r w:rsidRPr="002B6689">
              <w:rPr>
                <w:rFonts w:eastAsiaTheme="minorEastAsia" w:cs="Arial"/>
                <w:b/>
                <w:bCs/>
                <w:color w:val="000000"/>
                <w:sz w:val="18"/>
                <w:szCs w:val="18"/>
              </w:rPr>
              <w:t>ISO</w:t>
            </w:r>
          </w:p>
        </w:tc>
      </w:tr>
      <w:tr w:rsidR="00982CCC" w:rsidRPr="00DD3F08" w:rsidTr="00933480">
        <w:trPr>
          <w:trHeight w:val="201"/>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Montour</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1,504</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1972 – 1973</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228"/>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Brunner Island</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1,411</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1961 – 1969</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138"/>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Keystone</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12%</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210</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1967 – 1968</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174"/>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Conemaugh</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16%</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276</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1970 – 1971</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93"/>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Martins Creek 3 &amp; 4</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Natural Gas / Oil</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1,700</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1975 – 1977</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129"/>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Ironwood</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Natural Gas</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660</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2001</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246"/>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Lower Mt. Bethel</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Natural Gas</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538</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2004</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56"/>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Peakers</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Natural Gas / Oil</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358</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1967 – 1973</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56"/>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Susquehanna</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Nuclear</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90%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2,245</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1983 – 1985</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93"/>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Pr>
                <w:rFonts w:eastAsiaTheme="minorEastAsia" w:cs="Arial"/>
                <w:color w:val="000000"/>
                <w:sz w:val="18"/>
                <w:szCs w:val="18"/>
              </w:rPr>
              <w:t>Eastern Hydro</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PA</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Hydro</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293</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1910 – 1926</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PJM</w:t>
            </w:r>
          </w:p>
        </w:tc>
      </w:tr>
      <w:tr w:rsidR="00982CCC" w:rsidRPr="00DD3F08" w:rsidTr="00933480">
        <w:trPr>
          <w:trHeight w:val="129"/>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Colstrip 1 &amp; 2</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MT</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50%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307</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1975 – 1976</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WECC</w:t>
            </w:r>
          </w:p>
        </w:tc>
      </w:tr>
      <w:tr w:rsidR="00982CCC" w:rsidRPr="00DD3F08" w:rsidTr="00933480">
        <w:trPr>
          <w:trHeight w:val="138"/>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Colstrip 3</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MT</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30%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222</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1984</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WECC</w:t>
            </w:r>
          </w:p>
        </w:tc>
      </w:tr>
      <w:tr w:rsidR="00982CCC" w:rsidRPr="00DD3F08" w:rsidTr="00933480">
        <w:trPr>
          <w:trHeight w:val="84"/>
          <w:jc w:val="center"/>
        </w:trPr>
        <w:tc>
          <w:tcPr>
            <w:tcW w:w="0" w:type="auto"/>
            <w:vAlign w:val="center"/>
          </w:tcPr>
          <w:p w:rsidR="00F07C3C" w:rsidRPr="002B6689" w:rsidRDefault="00F07C3C" w:rsidP="00F90ED4">
            <w:pPr>
              <w:spacing w:after="0"/>
              <w:ind w:left="572" w:hanging="392"/>
              <w:jc w:val="center"/>
              <w:rPr>
                <w:rFonts w:eastAsiaTheme="minorEastAsia" w:cs="Arial"/>
                <w:color w:val="000000"/>
                <w:sz w:val="18"/>
                <w:szCs w:val="18"/>
              </w:rPr>
            </w:pPr>
            <w:r>
              <w:rPr>
                <w:rFonts w:eastAsiaTheme="minorEastAsia" w:cs="Arial"/>
                <w:color w:val="000000"/>
                <w:sz w:val="18"/>
                <w:szCs w:val="18"/>
              </w:rPr>
              <w:t>Corette</w:t>
            </w:r>
          </w:p>
        </w:tc>
        <w:tc>
          <w:tcPr>
            <w:tcW w:w="0" w:type="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MT</w:t>
            </w:r>
          </w:p>
        </w:tc>
        <w:tc>
          <w:tcPr>
            <w:tcW w:w="1441"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Coal</w:t>
            </w:r>
          </w:p>
        </w:tc>
        <w:tc>
          <w:tcPr>
            <w:tcW w:w="1078"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148</w:t>
            </w:r>
          </w:p>
        </w:tc>
        <w:tc>
          <w:tcPr>
            <w:tcW w:w="1323"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1968</w:t>
            </w:r>
          </w:p>
        </w:tc>
        <w:tc>
          <w:tcPr>
            <w:tcW w:w="857" w:type="dxa"/>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WECC</w:t>
            </w:r>
          </w:p>
        </w:tc>
      </w:tr>
      <w:tr w:rsidR="00982CCC" w:rsidRPr="00DD3F08" w:rsidTr="00933480">
        <w:trPr>
          <w:trHeight w:val="111"/>
          <w:jc w:val="center"/>
        </w:trPr>
        <w:tc>
          <w:tcPr>
            <w:tcW w:w="0" w:type="auto"/>
            <w:shd w:val="clear" w:color="auto" w:fill="auto"/>
            <w:vAlign w:val="center"/>
          </w:tcPr>
          <w:p w:rsidR="00F07C3C" w:rsidRPr="002B6689" w:rsidRDefault="00F07C3C" w:rsidP="00F90ED4">
            <w:pPr>
              <w:spacing w:after="0"/>
              <w:ind w:left="572" w:hanging="392"/>
              <w:jc w:val="center"/>
              <w:rPr>
                <w:rFonts w:eastAsiaTheme="minorEastAsia" w:cs="Arial"/>
                <w:color w:val="000000"/>
                <w:sz w:val="18"/>
                <w:szCs w:val="18"/>
              </w:rPr>
            </w:pPr>
            <w:r w:rsidRPr="002B6689">
              <w:rPr>
                <w:rFonts w:eastAsiaTheme="minorEastAsia" w:cs="Arial"/>
                <w:color w:val="000000"/>
                <w:sz w:val="18"/>
                <w:szCs w:val="18"/>
              </w:rPr>
              <w:t>Renewables</w:t>
            </w:r>
          </w:p>
        </w:tc>
        <w:tc>
          <w:tcPr>
            <w:tcW w:w="0" w:type="auto"/>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NH, NJ, PA, VT</w:t>
            </w:r>
          </w:p>
        </w:tc>
        <w:tc>
          <w:tcPr>
            <w:tcW w:w="1441"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Renewables</w:t>
            </w:r>
          </w:p>
        </w:tc>
        <w:tc>
          <w:tcPr>
            <w:tcW w:w="1078"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100%</w:t>
            </w:r>
          </w:p>
        </w:tc>
        <w:tc>
          <w:tcPr>
            <w:tcW w:w="879"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29</w:t>
            </w:r>
          </w:p>
        </w:tc>
        <w:tc>
          <w:tcPr>
            <w:tcW w:w="1323"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Various</w:t>
            </w:r>
          </w:p>
        </w:tc>
        <w:tc>
          <w:tcPr>
            <w:tcW w:w="857" w:type="dxa"/>
            <w:shd w:val="clear" w:color="auto" w:fill="auto"/>
            <w:vAlign w:val="center"/>
          </w:tcPr>
          <w:p w:rsidR="00F07C3C" w:rsidRPr="002B6689" w:rsidRDefault="00F07C3C" w:rsidP="00F90ED4">
            <w:pPr>
              <w:spacing w:after="0"/>
              <w:jc w:val="center"/>
              <w:rPr>
                <w:rFonts w:eastAsiaTheme="minorEastAsia" w:cs="Arial"/>
                <w:color w:val="000000"/>
                <w:sz w:val="18"/>
                <w:szCs w:val="18"/>
              </w:rPr>
            </w:pPr>
            <w:r w:rsidRPr="002B6689">
              <w:rPr>
                <w:rFonts w:eastAsiaTheme="minorEastAsia" w:cs="Arial"/>
                <w:color w:val="000000"/>
                <w:sz w:val="18"/>
                <w:szCs w:val="18"/>
              </w:rPr>
              <w:t>Various</w:t>
            </w:r>
          </w:p>
        </w:tc>
      </w:tr>
      <w:tr w:rsidR="00982CCC" w:rsidRPr="00DD3F08" w:rsidTr="00933480">
        <w:trPr>
          <w:trHeight w:val="56"/>
          <w:jc w:val="center"/>
        </w:trPr>
        <w:tc>
          <w:tcPr>
            <w:tcW w:w="5575" w:type="dxa"/>
            <w:gridSpan w:val="4"/>
            <w:shd w:val="clear" w:color="auto" w:fill="auto"/>
            <w:vAlign w:val="center"/>
          </w:tcPr>
          <w:p w:rsidR="00982CCC" w:rsidRPr="002B6689" w:rsidRDefault="00982CCC" w:rsidP="00982CCC">
            <w:pPr>
              <w:spacing w:after="0"/>
              <w:jc w:val="right"/>
              <w:rPr>
                <w:rFonts w:eastAsiaTheme="minorEastAsia" w:cs="Arial"/>
                <w:color w:val="000000"/>
                <w:sz w:val="18"/>
                <w:szCs w:val="18"/>
              </w:rPr>
            </w:pPr>
            <w:r w:rsidRPr="002B6689">
              <w:rPr>
                <w:rFonts w:eastAsiaTheme="minorEastAsia" w:cs="Arial"/>
                <w:b/>
                <w:bCs/>
                <w:color w:val="000000"/>
                <w:sz w:val="18"/>
                <w:szCs w:val="18"/>
              </w:rPr>
              <w:t>Total Energy Supply</w:t>
            </w:r>
          </w:p>
        </w:tc>
        <w:tc>
          <w:tcPr>
            <w:tcW w:w="879" w:type="dxa"/>
            <w:shd w:val="clear" w:color="auto" w:fill="auto"/>
            <w:vAlign w:val="center"/>
          </w:tcPr>
          <w:p w:rsidR="00982CCC" w:rsidRPr="002B6689" w:rsidRDefault="00982CCC" w:rsidP="00F90ED4">
            <w:pPr>
              <w:spacing w:after="0"/>
              <w:jc w:val="center"/>
              <w:rPr>
                <w:rFonts w:eastAsiaTheme="minorEastAsia" w:cs="Arial"/>
                <w:color w:val="000000"/>
                <w:sz w:val="18"/>
                <w:szCs w:val="18"/>
              </w:rPr>
            </w:pPr>
            <w:r w:rsidRPr="002B6689">
              <w:rPr>
                <w:rFonts w:eastAsiaTheme="minorEastAsia" w:cs="Arial"/>
                <w:b/>
                <w:bCs/>
                <w:color w:val="000000"/>
                <w:sz w:val="18"/>
                <w:szCs w:val="18"/>
              </w:rPr>
              <w:t>9,901</w:t>
            </w:r>
          </w:p>
        </w:tc>
        <w:tc>
          <w:tcPr>
            <w:tcW w:w="2180" w:type="dxa"/>
            <w:gridSpan w:val="2"/>
            <w:shd w:val="clear" w:color="auto" w:fill="auto"/>
            <w:vAlign w:val="center"/>
          </w:tcPr>
          <w:p w:rsidR="00982CCC" w:rsidRPr="002B6689" w:rsidRDefault="00982CCC" w:rsidP="00F90ED4">
            <w:pPr>
              <w:spacing w:after="0"/>
              <w:jc w:val="center"/>
              <w:rPr>
                <w:rFonts w:eastAsiaTheme="minorEastAsia" w:cs="Arial"/>
                <w:color w:val="000000"/>
                <w:sz w:val="18"/>
                <w:szCs w:val="18"/>
              </w:rPr>
            </w:pPr>
          </w:p>
        </w:tc>
      </w:tr>
      <w:tr w:rsidR="00B35A94" w:rsidRPr="00DD3F08" w:rsidTr="00933480">
        <w:trPr>
          <w:trHeight w:val="156"/>
          <w:jc w:val="center"/>
        </w:trPr>
        <w:tc>
          <w:tcPr>
            <w:tcW w:w="8634" w:type="dxa"/>
            <w:gridSpan w:val="7"/>
            <w:shd w:val="clear" w:color="auto" w:fill="auto"/>
            <w:vAlign w:val="center"/>
          </w:tcPr>
          <w:p w:rsidR="00B35A94" w:rsidRPr="00B35A94" w:rsidRDefault="00B35A94" w:rsidP="00B35A94">
            <w:pPr>
              <w:spacing w:after="0"/>
              <w:jc w:val="left"/>
            </w:pPr>
            <w:r w:rsidRPr="00732E31">
              <w:rPr>
                <w:rFonts w:eastAsiaTheme="minorEastAsia" w:cs="Arial"/>
                <w:szCs w:val="24"/>
              </w:rPr>
              <w:t>Source:  Form S-1/A, Talen Energy Corp – TLN, December 22, 2014 p. 13</w:t>
            </w:r>
          </w:p>
        </w:tc>
      </w:tr>
    </w:tbl>
    <w:p w:rsidR="0084125D" w:rsidRDefault="0084125D" w:rsidP="00B93227">
      <w:pPr>
        <w:pStyle w:val="Normal-aftertable"/>
      </w:pPr>
      <w:r>
        <w:t>The transaction was subject to approval by the Nuclear Regulatory Commission and the Federal Energy Regulatory Commission (including the required market power analysis)</w:t>
      </w:r>
      <w:r w:rsidR="006C74A6">
        <w:t>,</w:t>
      </w:r>
      <w:r>
        <w:t xml:space="preserve"> a Hart-Scott-Rodino review</w:t>
      </w:r>
      <w:r w:rsidR="006C74A6">
        <w:t>,</w:t>
      </w:r>
      <w:r>
        <w:t xml:space="preserve"> certain approvals by the Pennsylvania Public Utility Commission</w:t>
      </w:r>
      <w:r w:rsidR="006C74A6">
        <w:t>,</w:t>
      </w:r>
      <w:r>
        <w:t xml:space="preserve"> and other customary closing conditions.</w:t>
      </w:r>
    </w:p>
    <w:p w:rsidR="00144C8A" w:rsidRDefault="00F440DB" w:rsidP="006C74A6">
      <w:pPr>
        <w:pStyle w:val="Heading40"/>
      </w:pPr>
      <w:r>
        <w:t>Effect on Shareowners</w:t>
      </w:r>
    </w:p>
    <w:p w:rsidR="00573E10" w:rsidRDefault="003F3418" w:rsidP="003F3418">
      <w:r>
        <w:t>Upon completion of t</w:t>
      </w:r>
      <w:r w:rsidR="0084125D">
        <w:t>he</w:t>
      </w:r>
      <w:r w:rsidR="00573E10">
        <w:t xml:space="preserve"> tr</w:t>
      </w:r>
      <w:r w:rsidR="0086292D">
        <w:t>ansactions</w:t>
      </w:r>
      <w:r>
        <w:t xml:space="preserve"> on June 1, 2015</w:t>
      </w:r>
      <w:r w:rsidR="0086292D">
        <w:t>, PPL</w:t>
      </w:r>
      <w:r w:rsidR="005A38F1">
        <w:t xml:space="preserve"> Corporation</w:t>
      </w:r>
      <w:r w:rsidR="0086292D">
        <w:t xml:space="preserve"> shareowners</w:t>
      </w:r>
      <w:r w:rsidR="00573E10">
        <w:t xml:space="preserve"> </w:t>
      </w:r>
      <w:r w:rsidR="0086292D">
        <w:t xml:space="preserve">became </w:t>
      </w:r>
      <w:r w:rsidR="00573E10">
        <w:t>own</w:t>
      </w:r>
      <w:r w:rsidR="0086292D">
        <w:t>ers of</w:t>
      </w:r>
      <w:r w:rsidR="00573E10">
        <w:t xml:space="preserve"> 65% of Talen and affi</w:t>
      </w:r>
      <w:r w:rsidR="0086292D">
        <w:t xml:space="preserve">liates of Riverstone </w:t>
      </w:r>
      <w:r w:rsidR="00573E10">
        <w:t>own</w:t>
      </w:r>
      <w:r w:rsidR="0086292D">
        <w:t>ed</w:t>
      </w:r>
      <w:r w:rsidR="00573E10">
        <w:t xml:space="preserve"> 35%</w:t>
      </w:r>
      <w:r w:rsidR="0086292D">
        <w:t xml:space="preserve"> of Talen</w:t>
      </w:r>
      <w:r>
        <w:t xml:space="preserve">. </w:t>
      </w:r>
      <w:r w:rsidR="005A38F1">
        <w:t xml:space="preserve"> </w:t>
      </w:r>
      <w:r>
        <w:t>PPL</w:t>
      </w:r>
      <w:r w:rsidR="005A38F1">
        <w:t xml:space="preserve"> Corporation</w:t>
      </w:r>
      <w:r>
        <w:t xml:space="preserve"> </w:t>
      </w:r>
      <w:r w:rsidR="0086292D">
        <w:t>has</w:t>
      </w:r>
      <w:r w:rsidR="00573E10">
        <w:t xml:space="preserve"> no continuing ownership interest in, control of, or affiliation with Talen</w:t>
      </w:r>
      <w:r w:rsidR="0019736A">
        <w:t>.</w:t>
      </w:r>
      <w:r w:rsidR="0086292D">
        <w:t xml:space="preserve"> PPL</w:t>
      </w:r>
      <w:r w:rsidR="005A38F1">
        <w:t xml:space="preserve"> Corporation</w:t>
      </w:r>
      <w:r w:rsidR="0086292D">
        <w:t>'s shareowners</w:t>
      </w:r>
      <w:r w:rsidR="0019736A" w:rsidRPr="0019736A">
        <w:t xml:space="preserve"> received approximately 0.1249 shares of Talen Energy common stock for each share of PPL common stock they owned on May 20, 2015. </w:t>
      </w:r>
      <w:r>
        <w:t xml:space="preserve">  The spinoff had</w:t>
      </w:r>
      <w:r w:rsidR="00573E10">
        <w:t xml:space="preserve"> no effect on the number of PPL</w:t>
      </w:r>
      <w:r w:rsidR="00F440DB">
        <w:t xml:space="preserve"> Corporation</w:t>
      </w:r>
      <w:r w:rsidR="00573E10">
        <w:t xml:space="preserve"> common shares owned by PPL </w:t>
      </w:r>
      <w:r w:rsidR="00F440DB">
        <w:t xml:space="preserve">Corporation </w:t>
      </w:r>
      <w:r w:rsidR="00573E10">
        <w:t>shareowners or the number of shares of PPL</w:t>
      </w:r>
      <w:r w:rsidR="00F440DB">
        <w:t xml:space="preserve"> Corporation</w:t>
      </w:r>
      <w:r w:rsidR="00573E10">
        <w:t xml:space="preserve"> common </w:t>
      </w:r>
      <w:r w:rsidR="00573E10">
        <w:lastRenderedPageBreak/>
        <w:t>stock</w:t>
      </w:r>
      <w:r w:rsidR="0086292D">
        <w:t xml:space="preserve"> outstanding.  The transaction was</w:t>
      </w:r>
      <w:r w:rsidR="00573E10">
        <w:t xml:space="preserve"> tax-free to PPL </w:t>
      </w:r>
      <w:r w:rsidR="00F440DB">
        <w:t xml:space="preserve">Corporation </w:t>
      </w:r>
      <w:r w:rsidR="00573E10">
        <w:t>and its shareowners for U.S. federal income tax purposes.</w:t>
      </w:r>
    </w:p>
    <w:p w:rsidR="00144C8A" w:rsidRDefault="00F440DB" w:rsidP="00144C8A">
      <w:pPr>
        <w:pStyle w:val="Heading40"/>
      </w:pPr>
      <w:r>
        <w:t>Effect on Employees</w:t>
      </w:r>
    </w:p>
    <w:p w:rsidR="00573E10" w:rsidRDefault="00573E10" w:rsidP="00DB59D3">
      <w:r>
        <w:t xml:space="preserve">Following the announcement of the transaction to form Talen, efforts were initiated to identify the appropriate staffing for Talen and for PPL </w:t>
      </w:r>
      <w:r w:rsidR="00F440DB">
        <w:t xml:space="preserve">Corporation </w:t>
      </w:r>
      <w:r>
        <w:t xml:space="preserve">and its subsidiaries following completion of the spinoff.  Organizational plans </w:t>
      </w:r>
      <w:r w:rsidR="00C952F6">
        <w:t>identified the need to resize and restructure the organizations with new organizational</w:t>
      </w:r>
      <w:r>
        <w:t xml:space="preserve"> staffing selections substantially completed in 2014</w:t>
      </w:r>
      <w:r w:rsidR="00C952F6">
        <w:t xml:space="preserve"> and finalized during 2015</w:t>
      </w:r>
      <w:r>
        <w:t>.</w:t>
      </w:r>
      <w:r w:rsidR="00494E09">
        <w:t xml:space="preserve">  </w:t>
      </w:r>
      <w:r w:rsidR="00C952F6">
        <w:t>To achieve the</w:t>
      </w:r>
      <w:r>
        <w:t xml:space="preserve"> n</w:t>
      </w:r>
      <w:r w:rsidR="00494E09">
        <w:t>ew organizational plan</w:t>
      </w:r>
      <w:r w:rsidR="0019736A">
        <w:t>,</w:t>
      </w:r>
      <w:r w:rsidR="00977C7C">
        <w:t xml:space="preserve"> separation of</w:t>
      </w:r>
      <w:r w:rsidR="00B80801">
        <w:t xml:space="preserve"> </w:t>
      </w:r>
      <w:r w:rsidR="00DB59D3">
        <w:t>306 positions</w:t>
      </w:r>
      <w:r w:rsidR="00012B19">
        <w:t xml:space="preserve"> </w:t>
      </w:r>
      <w:r w:rsidR="00977C7C">
        <w:t>was required</w:t>
      </w:r>
      <w:r w:rsidR="00012B19">
        <w:t xml:space="preserve"> which included</w:t>
      </w:r>
      <w:r w:rsidR="00DB59D3">
        <w:t xml:space="preserve"> 112 Energy Supply positions. </w:t>
      </w:r>
      <w:r w:rsidR="00384F8E">
        <w:t xml:space="preserve"> </w:t>
      </w:r>
      <w:r w:rsidR="00362B2D">
        <w:t xml:space="preserve">  </w:t>
      </w:r>
    </w:p>
    <w:p w:rsidR="00E0402C" w:rsidRDefault="005A7F8F" w:rsidP="00573E10">
      <w:r>
        <w:t>T</w:t>
      </w:r>
      <w:r w:rsidR="00A53F8E" w:rsidRPr="00A53F8E">
        <w:t xml:space="preserve">he staffs </w:t>
      </w:r>
      <w:r w:rsidR="00B3309A">
        <w:t>of</w:t>
      </w:r>
      <w:r w:rsidR="00A53F8E" w:rsidRPr="00A53F8E">
        <w:t xml:space="preserve"> t</w:t>
      </w:r>
      <w:r w:rsidR="003049DF">
        <w:t>he generation plants remained</w:t>
      </w:r>
      <w:r w:rsidR="00A53F8E" w:rsidRPr="00A53F8E">
        <w:t xml:space="preserve"> the same as before the spinoff.  However, to support Talen and adjust to the reduction in support services needed by PPL</w:t>
      </w:r>
      <w:r w:rsidR="00E0402C">
        <w:t xml:space="preserve"> Corporation</w:t>
      </w:r>
      <w:r w:rsidR="00A53F8E" w:rsidRPr="00A53F8E">
        <w:t xml:space="preserve"> after the </w:t>
      </w:r>
      <w:r w:rsidR="00266C45">
        <w:t>spinoff</w:t>
      </w:r>
      <w:r w:rsidR="00A53F8E" w:rsidRPr="00A53F8E">
        <w:t>, significant reductions in staffing in PPL S</w:t>
      </w:r>
      <w:r w:rsidR="00BF3C55">
        <w:t>C</w:t>
      </w:r>
      <w:r w:rsidR="00A53F8E" w:rsidRPr="00A53F8E">
        <w:t xml:space="preserve"> were needed.  Approximately 250 PPL </w:t>
      </w:r>
      <w:r w:rsidR="00D56CDC">
        <w:t>S</w:t>
      </w:r>
      <w:r w:rsidR="00B3309A">
        <w:t xml:space="preserve">C </w:t>
      </w:r>
      <w:r w:rsidR="00A53F8E" w:rsidRPr="00A53F8E">
        <w:t>employees will</w:t>
      </w:r>
      <w:r w:rsidR="00E0402C">
        <w:t xml:space="preserve"> eventually</w:t>
      </w:r>
      <w:r w:rsidR="00A53F8E" w:rsidRPr="00A53F8E">
        <w:t xml:space="preserve"> be shed </w:t>
      </w:r>
      <w:r w:rsidR="00384F8E">
        <w:t>as part of</w:t>
      </w:r>
      <w:r w:rsidR="00384F8E" w:rsidRPr="00A53F8E">
        <w:t xml:space="preserve"> </w:t>
      </w:r>
      <w:r w:rsidR="00A53F8E" w:rsidRPr="00A53F8E">
        <w:t xml:space="preserve">the process beyond those transitioning to employment with Talen.  </w:t>
      </w:r>
    </w:p>
    <w:p w:rsidR="00EB1D19" w:rsidRDefault="00A53F8E" w:rsidP="00EB1D19">
      <w:pPr>
        <w:rPr>
          <w:color w:val="000000"/>
        </w:rPr>
      </w:pPr>
      <w:r w:rsidRPr="00A53F8E">
        <w:t>PPL</w:t>
      </w:r>
      <w:r w:rsidR="00E0402C">
        <w:t xml:space="preserve"> SC’s</w:t>
      </w:r>
      <w:r w:rsidRPr="00A53F8E">
        <w:t xml:space="preserve"> standard separation policy was invoked for the employees who were released or chose to separate.</w:t>
      </w:r>
      <w:r w:rsidR="00E0402C">
        <w:t xml:space="preserve">  </w:t>
      </w:r>
      <w:r w:rsidR="00EB1D19">
        <w:rPr>
          <w:color w:val="000000"/>
        </w:rPr>
        <w:t>The separation benefits included cash severance compensation, lump sum COBRA reimbursement payments</w:t>
      </w:r>
      <w:r w:rsidR="00384F8E">
        <w:rPr>
          <w:color w:val="000000"/>
        </w:rPr>
        <w:t>,</w:t>
      </w:r>
      <w:r w:rsidR="00EB1D19">
        <w:rPr>
          <w:color w:val="000000"/>
        </w:rPr>
        <w:t xml:space="preserve"> and outplacement services.</w:t>
      </w:r>
      <w:r w:rsidR="00384F8E">
        <w:rPr>
          <w:color w:val="000000"/>
        </w:rPr>
        <w:t xml:space="preserve">  </w:t>
      </w:r>
      <w:r w:rsidR="00EB1D19">
        <w:rPr>
          <w:color w:val="000000"/>
        </w:rPr>
        <w:t xml:space="preserve">Most separations and payment of separation benefits </w:t>
      </w:r>
      <w:r w:rsidR="00507D16">
        <w:rPr>
          <w:color w:val="000000"/>
        </w:rPr>
        <w:t>were</w:t>
      </w:r>
      <w:r w:rsidR="00EB1D19">
        <w:rPr>
          <w:color w:val="000000"/>
        </w:rPr>
        <w:t xml:space="preserve"> completed by the end of 2015. </w:t>
      </w:r>
      <w:r w:rsidR="00384F8E">
        <w:rPr>
          <w:color w:val="000000"/>
        </w:rPr>
        <w:t xml:space="preserve"> </w:t>
      </w:r>
      <w:r w:rsidR="00261D0B">
        <w:t xml:space="preserve">At December 31, 2015 and 2014, the recorded </w:t>
      </w:r>
      <w:r w:rsidR="00261D0B" w:rsidRPr="00DB59D3">
        <w:t>liabil</w:t>
      </w:r>
      <w:r w:rsidR="00261D0B">
        <w:t xml:space="preserve">ities related to the separation </w:t>
      </w:r>
      <w:r w:rsidR="00261D0B" w:rsidRPr="00DB59D3">
        <w:t>benefits were $13 million and</w:t>
      </w:r>
      <w:r w:rsidR="00261D0B">
        <w:t xml:space="preserve"> $20 million respectively.</w:t>
      </w:r>
    </w:p>
    <w:p w:rsidR="005A7F8F" w:rsidRPr="00491A68" w:rsidRDefault="005A7F8F" w:rsidP="005A7F8F">
      <w:pPr>
        <w:rPr>
          <w:rFonts w:cs="Arial"/>
          <w:szCs w:val="24"/>
        </w:rPr>
      </w:pPr>
      <w:r>
        <w:rPr>
          <w:rFonts w:cs="Arial"/>
          <w:szCs w:val="24"/>
        </w:rPr>
        <w:t>A</w:t>
      </w:r>
      <w:r w:rsidR="009638D8">
        <w:rPr>
          <w:rFonts w:cs="Arial"/>
          <w:szCs w:val="24"/>
        </w:rPr>
        <w:t xml:space="preserve">s a result of the spinoff, a </w:t>
      </w:r>
      <w:r>
        <w:rPr>
          <w:rFonts w:cs="Arial"/>
          <w:szCs w:val="24"/>
        </w:rPr>
        <w:t>Transition Service</w:t>
      </w:r>
      <w:r w:rsidR="00ED1B7E">
        <w:rPr>
          <w:rFonts w:cs="Arial"/>
          <w:szCs w:val="24"/>
        </w:rPr>
        <w:t>s</w:t>
      </w:r>
      <w:r>
        <w:rPr>
          <w:rFonts w:cs="Arial"/>
          <w:szCs w:val="24"/>
        </w:rPr>
        <w:t xml:space="preserve"> Agreement (TSA) between PPL Corporation and Talen </w:t>
      </w:r>
      <w:r w:rsidR="009638D8">
        <w:rPr>
          <w:rFonts w:cs="Arial"/>
          <w:szCs w:val="24"/>
        </w:rPr>
        <w:t>was entered to provide certain services to one another</w:t>
      </w:r>
      <w:r>
        <w:rPr>
          <w:rFonts w:cs="Arial"/>
          <w:szCs w:val="24"/>
        </w:rPr>
        <w:t>.  The TSA has a term of two years</w:t>
      </w:r>
      <w:r w:rsidR="009638D8">
        <w:rPr>
          <w:rFonts w:cs="Arial"/>
          <w:szCs w:val="24"/>
        </w:rPr>
        <w:t xml:space="preserve"> from the spinoff date</w:t>
      </w:r>
      <w:r w:rsidR="004460D7">
        <w:rPr>
          <w:rFonts w:cs="Arial"/>
          <w:szCs w:val="24"/>
        </w:rPr>
        <w:t>.</w:t>
      </w:r>
      <w:r w:rsidR="00384F8E">
        <w:rPr>
          <w:rFonts w:cs="Arial"/>
          <w:szCs w:val="24"/>
        </w:rPr>
        <w:t xml:space="preserve"> </w:t>
      </w:r>
      <w:r>
        <w:rPr>
          <w:rFonts w:cs="Arial"/>
          <w:szCs w:val="24"/>
        </w:rPr>
        <w:t xml:space="preserve"> </w:t>
      </w:r>
      <w:r w:rsidR="004460D7">
        <w:rPr>
          <w:rFonts w:cs="Arial"/>
          <w:szCs w:val="24"/>
        </w:rPr>
        <w:t>U</w:t>
      </w:r>
      <w:r>
        <w:rPr>
          <w:rFonts w:cs="Arial"/>
          <w:szCs w:val="24"/>
        </w:rPr>
        <w:t xml:space="preserve">nder the agreement, PPL </w:t>
      </w:r>
      <w:r w:rsidR="00115885">
        <w:rPr>
          <w:rFonts w:cs="Arial"/>
          <w:szCs w:val="24"/>
        </w:rPr>
        <w:t xml:space="preserve">Corporation </w:t>
      </w:r>
      <w:r>
        <w:rPr>
          <w:rFonts w:cs="Arial"/>
          <w:szCs w:val="24"/>
        </w:rPr>
        <w:t>provides payroll services, accounting, enterprise resource planning</w:t>
      </w:r>
      <w:r w:rsidR="00115885">
        <w:rPr>
          <w:rFonts w:cs="Arial"/>
          <w:szCs w:val="24"/>
        </w:rPr>
        <w:t>,</w:t>
      </w:r>
      <w:r>
        <w:rPr>
          <w:rFonts w:cs="Arial"/>
          <w:szCs w:val="24"/>
        </w:rPr>
        <w:t xml:space="preserve"> and computer system capacity to Talen.  Services are provided to Talen at </w:t>
      </w:r>
      <w:r w:rsidR="00115885">
        <w:rPr>
          <w:rFonts w:cs="Arial"/>
          <w:szCs w:val="24"/>
        </w:rPr>
        <w:t>a negotiated rate</w:t>
      </w:r>
      <w:r>
        <w:rPr>
          <w:rFonts w:cs="Arial"/>
          <w:szCs w:val="24"/>
        </w:rPr>
        <w:t>.</w:t>
      </w:r>
      <w:r w:rsidR="00384F8E">
        <w:rPr>
          <w:rFonts w:cs="Arial"/>
          <w:szCs w:val="24"/>
        </w:rPr>
        <w:t xml:space="preserve"> </w:t>
      </w:r>
      <w:r w:rsidR="009638D8" w:rsidRPr="009638D8">
        <w:t xml:space="preserve"> </w:t>
      </w:r>
      <w:r w:rsidR="009638D8">
        <w:rPr>
          <w:rFonts w:cs="Arial"/>
          <w:szCs w:val="24"/>
        </w:rPr>
        <w:t>Talen provides a minor amount of transmission services to PPL</w:t>
      </w:r>
      <w:r w:rsidR="00115885">
        <w:rPr>
          <w:rFonts w:cs="Arial"/>
          <w:szCs w:val="24"/>
        </w:rPr>
        <w:t xml:space="preserve"> EU</w:t>
      </w:r>
      <w:r w:rsidR="00A8652A">
        <w:rPr>
          <w:rFonts w:cs="Arial"/>
          <w:szCs w:val="24"/>
        </w:rPr>
        <w:t xml:space="preserve"> t</w:t>
      </w:r>
      <w:r w:rsidR="009638D8">
        <w:rPr>
          <w:rFonts w:cs="Arial"/>
          <w:szCs w:val="24"/>
        </w:rPr>
        <w:t xml:space="preserve">he cost of </w:t>
      </w:r>
      <w:r w:rsidR="00A8652A">
        <w:rPr>
          <w:rFonts w:cs="Arial"/>
          <w:szCs w:val="24"/>
        </w:rPr>
        <w:t>which</w:t>
      </w:r>
      <w:r w:rsidR="009638D8">
        <w:rPr>
          <w:rFonts w:cs="Arial"/>
          <w:szCs w:val="24"/>
        </w:rPr>
        <w:t xml:space="preserve"> is approximately $6,600 per month.  These services will be phased out under the TSA.</w:t>
      </w:r>
      <w:r w:rsidR="009638D8">
        <w:t xml:space="preserve">  </w:t>
      </w:r>
      <w:r w:rsidR="009638D8" w:rsidRPr="009638D8">
        <w:rPr>
          <w:rFonts w:cs="Arial"/>
          <w:szCs w:val="24"/>
        </w:rPr>
        <w:t>For the nine months ended September 30, 2015, the amounts PPL</w:t>
      </w:r>
      <w:r w:rsidR="00115885">
        <w:rPr>
          <w:rFonts w:cs="Arial"/>
          <w:szCs w:val="24"/>
        </w:rPr>
        <w:t xml:space="preserve"> Corporation</w:t>
      </w:r>
      <w:r w:rsidR="009638D8" w:rsidRPr="009638D8">
        <w:rPr>
          <w:rFonts w:cs="Arial"/>
          <w:szCs w:val="24"/>
        </w:rPr>
        <w:t xml:space="preserve"> billed Talen Energy for services</w:t>
      </w:r>
      <w:r w:rsidR="00A8652A">
        <w:rPr>
          <w:rFonts w:cs="Arial"/>
          <w:szCs w:val="24"/>
        </w:rPr>
        <w:t xml:space="preserve"> provided under the TSA</w:t>
      </w:r>
      <w:r w:rsidR="009638D8" w:rsidRPr="009638D8">
        <w:rPr>
          <w:rFonts w:cs="Arial"/>
          <w:szCs w:val="24"/>
        </w:rPr>
        <w:t xml:space="preserve"> were $14 million.</w:t>
      </w:r>
    </w:p>
    <w:p w:rsidR="00F23255" w:rsidRDefault="004606C4" w:rsidP="00D75CF6">
      <w:r>
        <w:rPr>
          <w:rFonts w:cs="Arial"/>
          <w:szCs w:val="24"/>
        </w:rPr>
        <w:t>Overall, the Talen divestiture is expected to reduce PPL</w:t>
      </w:r>
      <w:r w:rsidR="001114C7">
        <w:rPr>
          <w:rFonts w:cs="Arial"/>
          <w:szCs w:val="24"/>
        </w:rPr>
        <w:t xml:space="preserve"> Corporation</w:t>
      </w:r>
      <w:r>
        <w:rPr>
          <w:rFonts w:cs="Arial"/>
          <w:szCs w:val="24"/>
        </w:rPr>
        <w:t xml:space="preserve"> costs by $185 million per year.  These costs either migrated to Talen or were eliminated with the spinoff.</w:t>
      </w:r>
    </w:p>
    <w:p w:rsidR="00652B0E" w:rsidRPr="00C157CD" w:rsidRDefault="00652B0E" w:rsidP="004F00E5">
      <w:pPr>
        <w:pStyle w:val="Heading2"/>
        <w:numPr>
          <w:ilvl w:val="0"/>
          <w:numId w:val="102"/>
        </w:numPr>
      </w:pPr>
      <w:bookmarkStart w:id="31" w:name="_Toc464551975"/>
      <w:r w:rsidRPr="00C157CD">
        <w:t>Findings</w:t>
      </w:r>
      <w:bookmarkEnd w:id="31"/>
    </w:p>
    <w:p w:rsidR="002847C3" w:rsidRPr="008E72E5" w:rsidRDefault="002847C3" w:rsidP="0049591B">
      <w:pPr>
        <w:pStyle w:val="Findings"/>
      </w:pPr>
      <w:r w:rsidRPr="008E72E5">
        <w:t xml:space="preserve">The </w:t>
      </w:r>
      <w:r w:rsidR="005D2D2D" w:rsidRPr="008E72E5">
        <w:t xml:space="preserve">PPL </w:t>
      </w:r>
      <w:r w:rsidR="00E40BBB" w:rsidRPr="008E72E5">
        <w:t>EU President and senior management team demonstrate positive lead</w:t>
      </w:r>
      <w:r w:rsidR="005D2D2D" w:rsidRPr="008E72E5">
        <w:t xml:space="preserve">ership </w:t>
      </w:r>
      <w:r w:rsidR="00E40BBB" w:rsidRPr="008E72E5">
        <w:t xml:space="preserve">of the </w:t>
      </w:r>
      <w:r w:rsidR="00D07309">
        <w:t>organization</w:t>
      </w:r>
      <w:r w:rsidR="00E40BBB" w:rsidRPr="008E72E5">
        <w:t>.</w:t>
      </w:r>
    </w:p>
    <w:p w:rsidR="00364AE2" w:rsidRDefault="00C35647" w:rsidP="00A64AC4">
      <w:r w:rsidRPr="00234962">
        <w:t xml:space="preserve">PPL </w:t>
      </w:r>
      <w:r w:rsidR="00234962">
        <w:t>EU leadership is committed to</w:t>
      </w:r>
      <w:r w:rsidR="00E40BBB" w:rsidRPr="00234962">
        <w:t xml:space="preserve"> </w:t>
      </w:r>
      <w:r w:rsidRPr="00234962">
        <w:t>elevating the performance of the utility through</w:t>
      </w:r>
      <w:r w:rsidR="00234962">
        <w:t xml:space="preserve"> motivating employees, enhancing their skills</w:t>
      </w:r>
      <w:r w:rsidR="008275B1">
        <w:t>,</w:t>
      </w:r>
      <w:r w:rsidR="00234962">
        <w:t xml:space="preserve"> and </w:t>
      </w:r>
      <w:r w:rsidRPr="00234962">
        <w:t xml:space="preserve">improving the </w:t>
      </w:r>
      <w:r w:rsidR="00234962">
        <w:t>organizational</w:t>
      </w:r>
      <w:r w:rsidRPr="00234962">
        <w:t xml:space="preserve"> culture to deliver exceptional service to customers at a reasonable price.</w:t>
      </w:r>
      <w:r w:rsidR="008275B1">
        <w:t xml:space="preserve"> </w:t>
      </w:r>
      <w:r w:rsidR="00774562">
        <w:t xml:space="preserve"> </w:t>
      </w:r>
      <w:r w:rsidR="00102515">
        <w:t>PPL EU</w:t>
      </w:r>
      <w:r w:rsidR="00364AE2">
        <w:t xml:space="preserve"> leadership is demonstrated </w:t>
      </w:r>
      <w:r w:rsidR="00384F8E">
        <w:t xml:space="preserve">in </w:t>
      </w:r>
      <w:r w:rsidR="00364AE2">
        <w:t>three ways:</w:t>
      </w:r>
    </w:p>
    <w:p w:rsidR="00364AE2" w:rsidRDefault="00102515" w:rsidP="00B93227">
      <w:pPr>
        <w:pStyle w:val="Bullet"/>
      </w:pPr>
      <w:r>
        <w:t>Management and supervisory development programs</w:t>
      </w:r>
    </w:p>
    <w:p w:rsidR="00102515" w:rsidRPr="00102515" w:rsidRDefault="00102515" w:rsidP="00B93227">
      <w:pPr>
        <w:pStyle w:val="Bullet"/>
      </w:pPr>
      <w:r w:rsidRPr="00102515">
        <w:t>Employee engagement</w:t>
      </w:r>
    </w:p>
    <w:p w:rsidR="00102515" w:rsidRDefault="00102515" w:rsidP="00B93227">
      <w:pPr>
        <w:pStyle w:val="Bullet"/>
      </w:pPr>
      <w:r w:rsidRPr="00102515">
        <w:lastRenderedPageBreak/>
        <w:t>Effective communications</w:t>
      </w:r>
    </w:p>
    <w:p w:rsidR="00774562" w:rsidRPr="00774562" w:rsidRDefault="00774562" w:rsidP="00B93227">
      <w:pPr>
        <w:pStyle w:val="Normal-aftertable"/>
      </w:pPr>
      <w:r w:rsidRPr="00774562">
        <w:t>The President is p</w:t>
      </w:r>
      <w:r>
        <w:t xml:space="preserve">ersonally committed to eliminating </w:t>
      </w:r>
      <w:r w:rsidR="00A64AC4">
        <w:t>among</w:t>
      </w:r>
      <w:r>
        <w:t xml:space="preserve"> PPL EU</w:t>
      </w:r>
      <w:r w:rsidR="00A64AC4">
        <w:t xml:space="preserve"> employees</w:t>
      </w:r>
      <w:r w:rsidRPr="00774562">
        <w:t xml:space="preserve"> the</w:t>
      </w:r>
      <w:r>
        <w:t xml:space="preserve"> insular thinking and</w:t>
      </w:r>
      <w:r w:rsidRPr="00774562">
        <w:t xml:space="preserve"> </w:t>
      </w:r>
      <w:r>
        <w:t xml:space="preserve">the </w:t>
      </w:r>
      <w:r w:rsidRPr="00774562">
        <w:t>passive/defensiv</w:t>
      </w:r>
      <w:r>
        <w:t>e culture</w:t>
      </w:r>
      <w:r w:rsidRPr="00774562">
        <w:t xml:space="preserve"> presen</w:t>
      </w:r>
      <w:r>
        <w:t xml:space="preserve">t in most utilities </w:t>
      </w:r>
      <w:proofErr w:type="gramStart"/>
      <w:r>
        <w:t>that result</w:t>
      </w:r>
      <w:r w:rsidR="00420F52">
        <w:t>s</w:t>
      </w:r>
      <w:proofErr w:type="gramEnd"/>
      <w:r w:rsidRPr="00774562">
        <w:t xml:space="preserve"> in avoiding conflict rather than using conflict </w:t>
      </w:r>
      <w:r w:rsidR="00A64AC4">
        <w:t xml:space="preserve">to </w:t>
      </w:r>
      <w:r w:rsidRPr="00774562">
        <w:t>constructively improve circumstances.</w:t>
      </w:r>
      <w:r>
        <w:t xml:space="preserve">  The President is a strong advocate for developing leadership among employees and has sponsored </w:t>
      </w:r>
      <w:r w:rsidR="00102515">
        <w:t>specific</w:t>
      </w:r>
      <w:r>
        <w:t xml:space="preserve"> courses </w:t>
      </w:r>
      <w:r w:rsidR="00CF21A4">
        <w:t xml:space="preserve">being taught in </w:t>
      </w:r>
      <w:r w:rsidR="008275B1">
        <w:t xml:space="preserve">PPL </w:t>
      </w:r>
      <w:r w:rsidR="00CF21A4">
        <w:t>EU</w:t>
      </w:r>
      <w:r w:rsidR="00420F52">
        <w:t>,</w:t>
      </w:r>
      <w:r w:rsidRPr="00774562">
        <w:t xml:space="preserve"> designed to address these cultural deficiencies</w:t>
      </w:r>
      <w:r w:rsidR="008275B1">
        <w:t>,</w:t>
      </w:r>
      <w:r w:rsidR="00A64AC4">
        <w:t xml:space="preserve"> including</w:t>
      </w:r>
      <w:r w:rsidRPr="00774562">
        <w:t>:</w:t>
      </w:r>
    </w:p>
    <w:p w:rsidR="00774562" w:rsidRPr="00774562" w:rsidRDefault="00774562" w:rsidP="00B93227">
      <w:pPr>
        <w:pStyle w:val="Bullet"/>
      </w:pPr>
      <w:r w:rsidRPr="00774562">
        <w:t>Constructive Culture (What does a constructive culture look like?)</w:t>
      </w:r>
    </w:p>
    <w:p w:rsidR="00774562" w:rsidRPr="00774562" w:rsidRDefault="00BB352D" w:rsidP="00B93227">
      <w:pPr>
        <w:pStyle w:val="Bullet"/>
      </w:pPr>
      <w:r w:rsidRPr="00BB352D">
        <w:rPr>
          <w:rFonts w:cs="Arial"/>
          <w:szCs w:val="24"/>
        </w:rPr>
        <w:t>Frontline Lea</w:t>
      </w:r>
      <w:r>
        <w:rPr>
          <w:rFonts w:cs="Arial"/>
          <w:szCs w:val="24"/>
        </w:rPr>
        <w:t>der</w:t>
      </w:r>
      <w:r w:rsidR="00774562" w:rsidRPr="00774562">
        <w:t xml:space="preserve"> </w:t>
      </w:r>
    </w:p>
    <w:p w:rsidR="00BB352D" w:rsidRDefault="00774562" w:rsidP="00B93227">
      <w:pPr>
        <w:pStyle w:val="Bullet"/>
      </w:pPr>
      <w:r w:rsidRPr="00774562">
        <w:t>Achieving Excellence (How do</w:t>
      </w:r>
      <w:r w:rsidR="00A64AC4" w:rsidRPr="00A64AC4">
        <w:t xml:space="preserve"> you manage across functions and a</w:t>
      </w:r>
      <w:r w:rsidRPr="00774562">
        <w:t>void conspiring for mediocrity</w:t>
      </w:r>
      <w:r w:rsidR="008275B1">
        <w:t>?</w:t>
      </w:r>
      <w:r w:rsidRPr="00774562">
        <w:t>)</w:t>
      </w:r>
    </w:p>
    <w:p w:rsidR="00BB352D" w:rsidRPr="00BB352D" w:rsidRDefault="00BB352D" w:rsidP="00B93227">
      <w:pPr>
        <w:pStyle w:val="Bullet"/>
      </w:pPr>
      <w:r w:rsidRPr="00BB352D">
        <w:rPr>
          <w:rFonts w:cs="Arial"/>
          <w:szCs w:val="24"/>
        </w:rPr>
        <w:t>Team Engagement for</w:t>
      </w:r>
      <w:r>
        <w:rPr>
          <w:rFonts w:cs="Arial"/>
          <w:szCs w:val="24"/>
        </w:rPr>
        <w:t xml:space="preserve"> Performance Improvement</w:t>
      </w:r>
    </w:p>
    <w:p w:rsidR="00A64AC4" w:rsidRDefault="00BB352D" w:rsidP="00B93227">
      <w:pPr>
        <w:pStyle w:val="Normal-aftertable"/>
      </w:pPr>
      <w:r>
        <w:t>Another course, “</w:t>
      </w:r>
      <w:r w:rsidRPr="00A64AC4">
        <w:t>Understanding Strategy</w:t>
      </w:r>
      <w:r w:rsidR="008275B1">
        <w:t>,</w:t>
      </w:r>
      <w:r>
        <w:t xml:space="preserve">” </w:t>
      </w:r>
      <w:r>
        <w:rPr>
          <w:rFonts w:cs="Arial"/>
          <w:szCs w:val="24"/>
        </w:rPr>
        <w:t>helps employees to understand strategy at all levels.</w:t>
      </w:r>
      <w:r>
        <w:t xml:space="preserve">  </w:t>
      </w:r>
      <w:r w:rsidR="00A64AC4" w:rsidRPr="00A64AC4">
        <w:t>Although these courses were initially designed for management and supervisory employees, more recently union employees have also been included.</w:t>
      </w:r>
    </w:p>
    <w:p w:rsidR="00C35647" w:rsidRPr="00C35647" w:rsidRDefault="00C35647" w:rsidP="00A64AC4">
      <w:r w:rsidRPr="00C35647">
        <w:t>In</w:t>
      </w:r>
      <w:r w:rsidR="00A64AC4">
        <w:t xml:space="preserve"> addition to the focused developmental course</w:t>
      </w:r>
      <w:r w:rsidR="00384F8E">
        <w:t>s</w:t>
      </w:r>
      <w:r w:rsidR="00A64AC4">
        <w:t xml:space="preserve"> described above, PPL EU provides established developmental training for its employees.  In</w:t>
      </w:r>
      <w:r w:rsidRPr="00C35647">
        <w:t xml:space="preserve"> 2014, “Managing People and Processes</w:t>
      </w:r>
      <w:r w:rsidR="00A64AC4">
        <w:t xml:space="preserve"> (MPP)</w:t>
      </w:r>
      <w:r w:rsidRPr="00C35647">
        <w:t>,” a program for f</w:t>
      </w:r>
      <w:r w:rsidR="00A31136">
        <w:t>irst-line supervisors</w:t>
      </w:r>
      <w:r w:rsidR="00384F8E">
        <w:t>,</w:t>
      </w:r>
      <w:r w:rsidR="00A31136">
        <w:t xml:space="preserve"> trained 26 PPL EU</w:t>
      </w:r>
      <w:r w:rsidRPr="00C35647">
        <w:t xml:space="preserve"> first line supervisor</w:t>
      </w:r>
      <w:r w:rsidR="00A31136">
        <w:t>s</w:t>
      </w:r>
      <w:r w:rsidRPr="00C35647">
        <w:t>.  The program focuses on 12 management skills critical to super</w:t>
      </w:r>
      <w:r w:rsidR="00A64AC4">
        <w:t>visory effectiveness.  In 2015</w:t>
      </w:r>
      <w:r w:rsidRPr="00C35647">
        <w:t xml:space="preserve">, the program added an intercultural simulation program to help employees </w:t>
      </w:r>
      <w:r w:rsidR="008275B1">
        <w:t>identify</w:t>
      </w:r>
      <w:r w:rsidRPr="00C35647">
        <w:t xml:space="preserve"> the misunderstandings that can occur when people make assumptions about each other’s cultural practices.  “Leading People and Processes</w:t>
      </w:r>
      <w:r w:rsidR="00A64AC4">
        <w:t xml:space="preserve"> (LPP)</w:t>
      </w:r>
      <w:r w:rsidRPr="00C35647">
        <w:t>,” a program for mid-level managers</w:t>
      </w:r>
      <w:r w:rsidR="00384F8E">
        <w:t>,</w:t>
      </w:r>
      <w:r w:rsidRPr="00C35647">
        <w:t xml:space="preserve"> trained </w:t>
      </w:r>
      <w:r w:rsidR="00A31136">
        <w:t>11</w:t>
      </w:r>
      <w:r w:rsidRPr="00C35647">
        <w:t xml:space="preserve"> participants from </w:t>
      </w:r>
      <w:r w:rsidR="00A31136">
        <w:t xml:space="preserve">PPL </w:t>
      </w:r>
      <w:r w:rsidRPr="00C35647">
        <w:t>EU</w:t>
      </w:r>
      <w:r w:rsidR="00A64AC4">
        <w:t>.  This</w:t>
      </w:r>
      <w:r w:rsidRPr="00C35647">
        <w:t xml:space="preserve"> program focuses on skills vital for success as a PPL</w:t>
      </w:r>
      <w:r w:rsidR="008275B1">
        <w:t xml:space="preserve"> EU</w:t>
      </w:r>
      <w:r w:rsidRPr="00C35647">
        <w:t xml:space="preserve"> leader.</w:t>
      </w:r>
      <w:r w:rsidR="00045D0E">
        <w:t xml:space="preserve"> </w:t>
      </w:r>
      <w:r w:rsidR="00A31136">
        <w:t xml:space="preserve"> </w:t>
      </w:r>
      <w:r w:rsidRPr="00C35647">
        <w:t xml:space="preserve">Of the 37 </w:t>
      </w:r>
      <w:r w:rsidR="00A31136">
        <w:t>PPL EU</w:t>
      </w:r>
      <w:r w:rsidRPr="00C35647">
        <w:t xml:space="preserve"> first-line supervisors and mid-level managers participating in the MPP and LPP program, 27% were diverse participants.</w:t>
      </w:r>
    </w:p>
    <w:p w:rsidR="00C35647" w:rsidRPr="00C35647" w:rsidRDefault="00C35647" w:rsidP="00A64AC4">
      <w:r w:rsidRPr="00C35647">
        <w:t xml:space="preserve">In 2014, 298 </w:t>
      </w:r>
      <w:r w:rsidR="00CF21A4">
        <w:t>PPL EU</w:t>
      </w:r>
      <w:r w:rsidRPr="00C35647">
        <w:t xml:space="preserve"> Supervisors were assigned “Appreciating Differences</w:t>
      </w:r>
      <w:r w:rsidR="00367DCB">
        <w:t>,</w:t>
      </w:r>
      <w:r w:rsidRPr="00C35647">
        <w:t>” a 60-minute online course designed to explore diversity, understand how diversity impacts business, and examine reactions towards human differences.</w:t>
      </w:r>
      <w:r w:rsidR="00367DCB">
        <w:t xml:space="preserve"> </w:t>
      </w:r>
      <w:r w:rsidRPr="00C35647">
        <w:t xml:space="preserve"> The goal of the course was to help employees promote workplace inclusion, employee engagement</w:t>
      </w:r>
      <w:r w:rsidR="00367DCB">
        <w:t>,</w:t>
      </w:r>
      <w:r w:rsidRPr="00C35647">
        <w:t xml:space="preserve"> and productivity. </w:t>
      </w:r>
    </w:p>
    <w:p w:rsidR="00102515" w:rsidRDefault="00C35647" w:rsidP="00A64AC4">
      <w:r w:rsidRPr="00C35647">
        <w:t>A variety of professional development training programs designed to develop and broaden interpersonal and personal effectiveness skills are available for all supervisory and professional employees.  Workshops focusing on team building, leadership, emotional intelligence, conflict resolution, time management, and stress management, are a sampling of the types of programs available.</w:t>
      </w:r>
      <w:r w:rsidRPr="008E72E5">
        <w:t xml:space="preserve"> </w:t>
      </w:r>
    </w:p>
    <w:p w:rsidR="007C4FE0" w:rsidRDefault="007C4FE0" w:rsidP="00102515">
      <w:r>
        <w:t>Professional development training is, in some cases, assigned to salaried employees based on their role and position.  In other cases, the training is made available as “open enrollment” to support on-going professional development and individual development plans.  In some limited cases, professional development training is provided to bargaining unit employees to prepare them for leadership roles with the bargaining unit or to further their ability to support culture change initiatives.</w:t>
      </w:r>
    </w:p>
    <w:p w:rsidR="00102515" w:rsidRDefault="00102515" w:rsidP="00102515">
      <w:r w:rsidRPr="00C35647">
        <w:lastRenderedPageBreak/>
        <w:t>PPL</w:t>
      </w:r>
      <w:r w:rsidR="00901A54">
        <w:t xml:space="preserve"> EU</w:t>
      </w:r>
      <w:r w:rsidRPr="00C35647">
        <w:t xml:space="preserve">’s Technical Training Center </w:t>
      </w:r>
      <w:r>
        <w:t xml:space="preserve">also </w:t>
      </w:r>
      <w:r w:rsidRPr="00C35647">
        <w:t>provides technical and safety training as part of its strategy to develop both management and union employees.  Courses are delivered by a professional staff of instructors in a classroom setting and on-the-job.  A sampling of subjects include: electrical and mechanical maintenance, line and substation maintenance, heavy equipment operation, computer software applications</w:t>
      </w:r>
      <w:r w:rsidR="00901A54">
        <w:t>,</w:t>
      </w:r>
      <w:r w:rsidRPr="00C35647">
        <w:t xml:space="preserve"> and all applicable OSHA safety practices.</w:t>
      </w:r>
    </w:p>
    <w:p w:rsidR="0079227C" w:rsidRDefault="00BB352D" w:rsidP="0079227C">
      <w:r>
        <w:t xml:space="preserve">The PPL EU leadership team also strives to understand and enhance the level of employee engagement in the organization.  </w:t>
      </w:r>
      <w:r w:rsidR="008E72E5">
        <w:t>Employee engagement is a measurement of an employee’s willingness to expend maximum effort on behalf of an organization.  Employee engagement has been linked to superior financial performance and is therefore of significance to PPL EU.</w:t>
      </w:r>
      <w:r w:rsidR="00901A54">
        <w:t xml:space="preserve"> </w:t>
      </w:r>
      <w:r w:rsidR="008E72E5">
        <w:t xml:space="preserve"> There is clear recognition of the importance of workforce engagement and the impact it has on organizational performance.  </w:t>
      </w:r>
      <w:r w:rsidR="00BC2FE5">
        <w:t>PPL EU leadership</w:t>
      </w:r>
      <w:r w:rsidR="0079227C" w:rsidRPr="0079227C">
        <w:t xml:space="preserve"> </w:t>
      </w:r>
      <w:r w:rsidR="0079227C">
        <w:t>has</w:t>
      </w:r>
      <w:r w:rsidR="008E72E5">
        <w:t xml:space="preserve"> measured the organization’s engagement and</w:t>
      </w:r>
      <w:r w:rsidR="0079227C">
        <w:t xml:space="preserve"> developed </w:t>
      </w:r>
      <w:r w:rsidR="0079227C" w:rsidRPr="0079227C">
        <w:t>action plans</w:t>
      </w:r>
      <w:r w:rsidR="0079227C">
        <w:t xml:space="preserve"> to achieve greater</w:t>
      </w:r>
      <w:r w:rsidR="008E72E5">
        <w:t xml:space="preserve"> </w:t>
      </w:r>
      <w:r w:rsidR="0079227C">
        <w:t xml:space="preserve">engagement through enhancement of the </w:t>
      </w:r>
      <w:r w:rsidR="0079227C" w:rsidRPr="0079227C">
        <w:t>four</w:t>
      </w:r>
      <w:r w:rsidR="0079227C">
        <w:t xml:space="preserve"> engagement</w:t>
      </w:r>
      <w:r w:rsidR="0079227C" w:rsidRPr="0079227C">
        <w:t xml:space="preserve"> drivers: retention, effort, advocacy</w:t>
      </w:r>
      <w:r w:rsidR="00901A54">
        <w:t>,</w:t>
      </w:r>
      <w:r w:rsidR="0079227C" w:rsidRPr="0079227C">
        <w:t xml:space="preserve"> and passion</w:t>
      </w:r>
      <w:r w:rsidR="0079227C">
        <w:t>.</w:t>
      </w:r>
      <w:r w:rsidR="008E72E5">
        <w:t xml:space="preserve">  This effort </w:t>
      </w:r>
      <w:r w:rsidR="00F844BB">
        <w:t>is inclusive of all PPL EU organizational elements.</w:t>
      </w:r>
    </w:p>
    <w:p w:rsidR="00901A54" w:rsidRDefault="00F844BB" w:rsidP="0079227C">
      <w:r>
        <w:t xml:space="preserve">PPL </w:t>
      </w:r>
      <w:r w:rsidR="00E40BBB" w:rsidRPr="004B2E83">
        <w:t>E</w:t>
      </w:r>
      <w:r>
        <w:t>U management demonstrates e</w:t>
      </w:r>
      <w:r w:rsidR="00E40BBB" w:rsidRPr="004B2E83">
        <w:t>ffective communications</w:t>
      </w:r>
      <w:r>
        <w:t xml:space="preserve"> i</w:t>
      </w:r>
      <w:r w:rsidR="000476C6">
        <w:t>n numerous</w:t>
      </w:r>
      <w:r>
        <w:t xml:space="preserve"> ways.  For example, </w:t>
      </w:r>
      <w:r w:rsidR="00D07309">
        <w:t>the PPL EU President and his management team recently introduced an improvement initiative referred to as “OneQ” to improve the overall performance of the PPL EU organization.  I</w:t>
      </w:r>
      <w:r w:rsidR="00D07309" w:rsidRPr="006E2C55">
        <w:t>ts objectives</w:t>
      </w:r>
      <w:r w:rsidR="00D07309">
        <w:t xml:space="preserve"> are</w:t>
      </w:r>
      <w:r w:rsidR="00D07309" w:rsidRPr="006E2C55">
        <w:t xml:space="preserve"> to </w:t>
      </w:r>
      <w:r w:rsidR="00D07309">
        <w:t xml:space="preserve">move PPL EU to </w:t>
      </w:r>
      <w:r w:rsidR="00D07309" w:rsidRPr="006E2C55">
        <w:t>be</w:t>
      </w:r>
      <w:r w:rsidR="00D07309">
        <w:t>come</w:t>
      </w:r>
      <w:r w:rsidR="00D07309" w:rsidRPr="006E2C55">
        <w:t xml:space="preserve"> an industry leader (first quartile ranking) in safety, reliability, customer service</w:t>
      </w:r>
      <w:r w:rsidR="00D07309">
        <w:t>,</w:t>
      </w:r>
      <w:r w:rsidR="00D07309" w:rsidRPr="006E2C55">
        <w:t xml:space="preserve"> and cost efficiency</w:t>
      </w:r>
      <w:r w:rsidR="00D07309">
        <w:t>.  These</w:t>
      </w:r>
      <w:r w:rsidR="00D07309">
        <w:rPr>
          <w:rFonts w:cs="Arial"/>
          <w:szCs w:val="24"/>
        </w:rPr>
        <w:t xml:space="preserve"> areas have been a long term focus of the President and the organization.  However, the OneQ is a more intense performance focus than has previously been present.  The President is placing a high level of emphasis on the initiative within the organization.  More culture development is required to make it more visible.  Various posters and other visual signals are evidence of this effort.</w:t>
      </w:r>
      <w:r w:rsidR="00901A54">
        <w:t xml:space="preserve"> </w:t>
      </w:r>
      <w:r>
        <w:t xml:space="preserve"> </w:t>
      </w:r>
    </w:p>
    <w:p w:rsidR="00901A54" w:rsidRDefault="000476C6" w:rsidP="0079227C">
      <w:pPr>
        <w:rPr>
          <w:rFonts w:cs="Arial"/>
          <w:szCs w:val="24"/>
        </w:rPr>
      </w:pPr>
      <w:r>
        <w:rPr>
          <w:rFonts w:cs="Arial"/>
          <w:szCs w:val="24"/>
        </w:rPr>
        <w:t>Another example of effective leadership communications is the PPL EU Business Plan</w:t>
      </w:r>
      <w:r w:rsidR="00901A54">
        <w:rPr>
          <w:rFonts w:cs="Arial"/>
          <w:szCs w:val="24"/>
        </w:rPr>
        <w:t>,</w:t>
      </w:r>
      <w:r>
        <w:rPr>
          <w:rFonts w:cs="Arial"/>
          <w:szCs w:val="24"/>
        </w:rPr>
        <w:t xml:space="preserve"> which provides a roadmap to achieve the leadership’s primary goal of first quartile performance.  The PPL EU Business plan contains a high-level overview of the goals, objectives, strategies</w:t>
      </w:r>
      <w:r w:rsidR="00045D0E">
        <w:rPr>
          <w:rFonts w:cs="Arial"/>
          <w:szCs w:val="24"/>
        </w:rPr>
        <w:t>,</w:t>
      </w:r>
      <w:r>
        <w:rPr>
          <w:rFonts w:cs="Arial"/>
          <w:szCs w:val="24"/>
        </w:rPr>
        <w:t xml:space="preserve"> and resources to achieve management’s vision. </w:t>
      </w:r>
    </w:p>
    <w:p w:rsidR="008E1CB9" w:rsidRDefault="000476C6" w:rsidP="0079227C">
      <w:pPr>
        <w:rPr>
          <w:rFonts w:cs="Arial"/>
          <w:szCs w:val="24"/>
        </w:rPr>
      </w:pPr>
      <w:r>
        <w:rPr>
          <w:rFonts w:cs="Arial"/>
          <w:szCs w:val="24"/>
        </w:rPr>
        <w:t xml:space="preserve">To monitor and communicate the accomplishment of the various facets of the PPL EU Business Plan, management produces the PPL EU Monthly Performance Summary that contains the status of each </w:t>
      </w:r>
      <w:r w:rsidR="008E1CB9">
        <w:rPr>
          <w:rFonts w:cs="Arial"/>
          <w:szCs w:val="24"/>
        </w:rPr>
        <w:t>objective or target by metric, chart</w:t>
      </w:r>
      <w:r w:rsidR="00045D0E">
        <w:rPr>
          <w:rFonts w:cs="Arial"/>
          <w:szCs w:val="24"/>
        </w:rPr>
        <w:t>,</w:t>
      </w:r>
      <w:r w:rsidR="008E1CB9">
        <w:rPr>
          <w:rFonts w:cs="Arial"/>
          <w:szCs w:val="24"/>
        </w:rPr>
        <w:t xml:space="preserve"> or graph for reference by the organization.  </w:t>
      </w:r>
      <w:r w:rsidR="00F844BB">
        <w:t>Another example is the PPL EU President’s</w:t>
      </w:r>
      <w:r w:rsidR="00F844BB">
        <w:rPr>
          <w:rFonts w:cs="Arial"/>
          <w:szCs w:val="24"/>
        </w:rPr>
        <w:t xml:space="preserve"> Quarterly Leadership Meeting </w:t>
      </w:r>
      <w:r w:rsidR="00111B33">
        <w:rPr>
          <w:rFonts w:cs="Arial"/>
          <w:szCs w:val="24"/>
        </w:rPr>
        <w:t xml:space="preserve">that </w:t>
      </w:r>
      <w:r w:rsidR="00F844BB">
        <w:rPr>
          <w:rFonts w:cs="Arial"/>
          <w:szCs w:val="24"/>
        </w:rPr>
        <w:t>is attended by approximately 100 executives, directors</w:t>
      </w:r>
      <w:r w:rsidR="00045D0E">
        <w:rPr>
          <w:rFonts w:cs="Arial"/>
          <w:szCs w:val="24"/>
        </w:rPr>
        <w:t>,</w:t>
      </w:r>
      <w:r w:rsidR="00F844BB">
        <w:rPr>
          <w:rFonts w:cs="Arial"/>
          <w:szCs w:val="24"/>
        </w:rPr>
        <w:t xml:space="preserve"> managers</w:t>
      </w:r>
      <w:r w:rsidR="00C55347">
        <w:rPr>
          <w:rFonts w:cs="Arial"/>
          <w:szCs w:val="24"/>
        </w:rPr>
        <w:t>, and supervisors</w:t>
      </w:r>
      <w:r w:rsidR="007C55D8">
        <w:rPr>
          <w:rFonts w:cs="Arial"/>
          <w:szCs w:val="24"/>
        </w:rPr>
        <w:t xml:space="preserve"> from PPL EU, PPL EUS</w:t>
      </w:r>
      <w:r w:rsidR="00045D0E">
        <w:rPr>
          <w:rFonts w:cs="Arial"/>
          <w:szCs w:val="24"/>
        </w:rPr>
        <w:t>,</w:t>
      </w:r>
      <w:r w:rsidR="007C55D8">
        <w:rPr>
          <w:rFonts w:cs="Arial"/>
          <w:szCs w:val="24"/>
        </w:rPr>
        <w:t xml:space="preserve"> and PPL SC</w:t>
      </w:r>
      <w:r w:rsidR="00111B33">
        <w:rPr>
          <w:rFonts w:cs="Arial"/>
          <w:szCs w:val="24"/>
        </w:rPr>
        <w:t>.  This meeting provides a leadership forum</w:t>
      </w:r>
      <w:r w:rsidR="00F844BB">
        <w:rPr>
          <w:rFonts w:cs="Arial"/>
          <w:szCs w:val="24"/>
        </w:rPr>
        <w:t xml:space="preserve"> during which operating results, goal attainment, financial performance, O&amp;M </w:t>
      </w:r>
      <w:r w:rsidR="00901A54">
        <w:rPr>
          <w:rFonts w:cs="Arial"/>
          <w:szCs w:val="24"/>
        </w:rPr>
        <w:t>expenditures,</w:t>
      </w:r>
      <w:r w:rsidR="00F844BB">
        <w:rPr>
          <w:rFonts w:cs="Arial"/>
          <w:szCs w:val="24"/>
        </w:rPr>
        <w:t xml:space="preserve"> and employee engagement are discussed.</w:t>
      </w:r>
    </w:p>
    <w:p w:rsidR="00E40BBB" w:rsidRPr="004B2E83" w:rsidRDefault="008E1CB9" w:rsidP="0079227C">
      <w:r>
        <w:rPr>
          <w:rFonts w:cs="Arial"/>
          <w:szCs w:val="24"/>
        </w:rPr>
        <w:t>Overall, the influence of PPL EU’s leadership is positive and directs the organization to</w:t>
      </w:r>
      <w:r w:rsidR="00045D0E">
        <w:rPr>
          <w:rFonts w:cs="Arial"/>
          <w:szCs w:val="24"/>
        </w:rPr>
        <w:t>ward</w:t>
      </w:r>
      <w:r>
        <w:rPr>
          <w:rFonts w:cs="Arial"/>
          <w:szCs w:val="24"/>
        </w:rPr>
        <w:t xml:space="preserve"> performance improvement.</w:t>
      </w:r>
      <w:r w:rsidR="00111B33">
        <w:rPr>
          <w:rFonts w:cs="Arial"/>
          <w:szCs w:val="24"/>
        </w:rPr>
        <w:t xml:space="preserve"> </w:t>
      </w:r>
      <w:r w:rsidR="00F844BB">
        <w:rPr>
          <w:rFonts w:cs="Arial"/>
          <w:szCs w:val="24"/>
        </w:rPr>
        <w:t xml:space="preserve"> </w:t>
      </w:r>
      <w:r w:rsidR="00F844BB">
        <w:t xml:space="preserve"> </w:t>
      </w:r>
    </w:p>
    <w:p w:rsidR="0017322A" w:rsidRDefault="0017322A" w:rsidP="000D142C">
      <w:pPr>
        <w:pStyle w:val="Findings"/>
        <w:keepNext/>
      </w:pPr>
      <w:r>
        <w:lastRenderedPageBreak/>
        <w:t>PPL EU has a well-developed corporate performance management program.</w:t>
      </w:r>
    </w:p>
    <w:p w:rsidR="0017322A" w:rsidRDefault="0017322A" w:rsidP="0017322A">
      <w:r w:rsidRPr="00DB0F22">
        <w:t>PPL EU management is highly focused on key aspects of utility management, specifically safety, reliability, customer service, and cost control.</w:t>
      </w:r>
      <w:r>
        <w:t xml:space="preserve">  </w:t>
      </w:r>
    </w:p>
    <w:p w:rsidR="0017322A" w:rsidRDefault="0017322A" w:rsidP="0017322A">
      <w:r>
        <w:t xml:space="preserve">For performance management purposes, PPL EU operates under the </w:t>
      </w:r>
      <w:r w:rsidRPr="00D00406">
        <w:t>Corporate Goal Development and Reporting Process for PPL Corporation.</w:t>
      </w:r>
      <w:r>
        <w:t xml:space="preserve">  The structure for goal development is referred to as the Corporate Goal Framework.  Annually, </w:t>
      </w:r>
      <w:r w:rsidRPr="00D00406">
        <w:t>in the October/November timeframe</w:t>
      </w:r>
      <w:r>
        <w:t>, s</w:t>
      </w:r>
      <w:r w:rsidRPr="00D00406">
        <w:t>trategic goals and objectives</w:t>
      </w:r>
      <w:r w:rsidRPr="000E4DD6">
        <w:t xml:space="preserve"> </w:t>
      </w:r>
      <w:r>
        <w:t>for the ensuing year</w:t>
      </w:r>
      <w:r w:rsidRPr="00D00406">
        <w:t xml:space="preserve"> are developed by the </w:t>
      </w:r>
      <w:r>
        <w:t>PPL EU</w:t>
      </w:r>
      <w:r w:rsidRPr="00D00406">
        <w:t xml:space="preserve"> President</w:t>
      </w:r>
      <w:r>
        <w:t xml:space="preserve"> for PPL EU</w:t>
      </w:r>
      <w:r w:rsidRPr="00D00406">
        <w:t xml:space="preserve"> and reviewed by the </w:t>
      </w:r>
      <w:r>
        <w:t xml:space="preserve">PPL Corporation </w:t>
      </w:r>
      <w:r w:rsidR="00ED1B7E">
        <w:t xml:space="preserve">Extended </w:t>
      </w:r>
      <w:r w:rsidRPr="00D00406">
        <w:t>Corporate Leadership Council (</w:t>
      </w:r>
      <w:r>
        <w:t>ECLC)</w:t>
      </w:r>
      <w:r w:rsidRPr="00D00406">
        <w:t xml:space="preserve">. </w:t>
      </w:r>
      <w:r w:rsidR="00045D0E">
        <w:t xml:space="preserve"> </w:t>
      </w:r>
      <w:r>
        <w:t>Goals are focused on safety,</w:t>
      </w:r>
      <w:r w:rsidRPr="00EF0BFA">
        <w:t xml:space="preserve"> reliability</w:t>
      </w:r>
      <w:r>
        <w:t xml:space="preserve">, </w:t>
      </w:r>
      <w:r w:rsidRPr="00EF0BFA">
        <w:t>customer service</w:t>
      </w:r>
      <w:r>
        <w:t>,</w:t>
      </w:r>
      <w:r w:rsidRPr="00EF0BFA">
        <w:t xml:space="preserve"> and </w:t>
      </w:r>
      <w:r>
        <w:t xml:space="preserve">cost containment performance.  </w:t>
      </w:r>
    </w:p>
    <w:p w:rsidR="0017322A" w:rsidRDefault="0017322A" w:rsidP="0017322A">
      <w:r>
        <w:t>PPL EU financial goals are also developed by the President and reviewed by the ECLC as part of this process.</w:t>
      </w:r>
      <w:r w:rsidR="00045D0E">
        <w:t xml:space="preserve"> </w:t>
      </w:r>
      <w:r>
        <w:t xml:space="preserve"> The financial goals include earnings per share contribution targets as well as other financial targets such as earnings </w:t>
      </w:r>
      <w:r w:rsidR="00ED1B7E">
        <w:t xml:space="preserve">from ongoing operations </w:t>
      </w:r>
      <w:r>
        <w:t xml:space="preserve">before interest, </w:t>
      </w:r>
      <w:r w:rsidR="00ED1B7E">
        <w:t xml:space="preserve">and </w:t>
      </w:r>
      <w:r>
        <w:t>taxes (</w:t>
      </w:r>
      <w:r w:rsidR="00ED1B7E">
        <w:t xml:space="preserve">adjusted </w:t>
      </w:r>
      <w:r>
        <w:t xml:space="preserve">EBIT), net income, and other financial targets.  Following review by the ECLC, the goals are submitted to the </w:t>
      </w:r>
      <w:r w:rsidR="00ED1B7E">
        <w:t>Compensation,</w:t>
      </w:r>
      <w:r w:rsidR="00ED1B7E" w:rsidRPr="00080A87">
        <w:t xml:space="preserve"> </w:t>
      </w:r>
      <w:r w:rsidRPr="00080A87">
        <w:t xml:space="preserve">Governance and Nominating Committee (CGNC) of the </w:t>
      </w:r>
      <w:r w:rsidR="00BA4324">
        <w:t xml:space="preserve">PPL Corporation </w:t>
      </w:r>
      <w:r w:rsidRPr="00080A87">
        <w:t>Board of Directors for approval</w:t>
      </w:r>
      <w:r w:rsidR="00ED1B7E">
        <w:t xml:space="preserve"> during the first quarter</w:t>
      </w:r>
      <w:r w:rsidRPr="00080A87">
        <w:t>.</w:t>
      </w:r>
    </w:p>
    <w:p w:rsidR="0017322A" w:rsidRDefault="0017322A" w:rsidP="0017322A">
      <w:r>
        <w:t>Once approved by the CGNC, the</w:t>
      </w:r>
      <w:r w:rsidRPr="00D00406">
        <w:t xml:space="preserve"> goals</w:t>
      </w:r>
      <w:r>
        <w:t xml:space="preserve"> and objectives contained in the Corporate Goal Framework are</w:t>
      </w:r>
      <w:r w:rsidRPr="00080A87">
        <w:t xml:space="preserve"> cascaded through</w:t>
      </w:r>
      <w:r>
        <w:t xml:space="preserve"> successive levels of</w:t>
      </w:r>
      <w:r w:rsidRPr="00080A87">
        <w:t xml:space="preserve"> the organization </w:t>
      </w:r>
      <w:r>
        <w:t xml:space="preserve">down through the business lines (including PPL EU), business units, work groups and ultimately to individual employees </w:t>
      </w:r>
      <w:r w:rsidRPr="00080A87">
        <w:t xml:space="preserve">using the performance management system.  </w:t>
      </w:r>
      <w:r>
        <w:t>Goals and objectives for the business lines, business units</w:t>
      </w:r>
      <w:r w:rsidR="00045D0E">
        <w:t>,</w:t>
      </w:r>
      <w:r>
        <w:t xml:space="preserve"> and individuals are developed based on the corporate goals and objectives.  The system assures that </w:t>
      </w:r>
      <w:r w:rsidRPr="00080A87">
        <w:t xml:space="preserve">direct </w:t>
      </w:r>
      <w:r>
        <w:t xml:space="preserve">goal </w:t>
      </w:r>
      <w:r w:rsidRPr="00080A87">
        <w:t xml:space="preserve">alignment </w:t>
      </w:r>
      <w:r>
        <w:t>exists from the corporation to the business line to the business unit to the individual employee.  This alignment facilitates the measurement of</w:t>
      </w:r>
      <w:r w:rsidRPr="00080A87">
        <w:t xml:space="preserve"> employee performance </w:t>
      </w:r>
      <w:r>
        <w:t>i</w:t>
      </w:r>
      <w:r w:rsidRPr="00080A87">
        <w:t>n relation to the goals and values of the organization.</w:t>
      </w:r>
      <w:r>
        <w:t xml:space="preserve"> </w:t>
      </w:r>
    </w:p>
    <w:p w:rsidR="0017322A" w:rsidRDefault="0017322A" w:rsidP="0017322A">
      <w:r w:rsidRPr="000565F1">
        <w:t>To incent</w:t>
      </w:r>
      <w:r w:rsidR="00EC2736">
        <w:t>ivize</w:t>
      </w:r>
      <w:r w:rsidRPr="000565F1">
        <w:t xml:space="preserve"> goal attainment, the cash incentive portion of management employee compensation is directly linked to goal results.</w:t>
      </w:r>
      <w:r>
        <w:t xml:space="preserve">  Progress toward goal attainment is reported quarterly with the final fourth</w:t>
      </w:r>
      <w:r w:rsidRPr="000565F1">
        <w:t xml:space="preserve"> </w:t>
      </w:r>
      <w:r>
        <w:t>q</w:t>
      </w:r>
      <w:r w:rsidRPr="000565F1">
        <w:t xml:space="preserve">uarter </w:t>
      </w:r>
      <w:r>
        <w:t>goals r</w:t>
      </w:r>
      <w:r w:rsidRPr="000565F1">
        <w:t>eport</w:t>
      </w:r>
      <w:r>
        <w:t>,</w:t>
      </w:r>
      <w:r w:rsidRPr="000565F1">
        <w:t xml:space="preserve"> </w:t>
      </w:r>
      <w:r>
        <w:t>including</w:t>
      </w:r>
      <w:r w:rsidRPr="000565F1">
        <w:t xml:space="preserve"> year-end result</w:t>
      </w:r>
      <w:r>
        <w:t>s</w:t>
      </w:r>
      <w:r w:rsidR="00D63B2E">
        <w:t>,</w:t>
      </w:r>
      <w:r w:rsidRPr="000565F1">
        <w:t xml:space="preserve"> issued </w:t>
      </w:r>
      <w:r>
        <w:t>to the ECLC in January</w:t>
      </w:r>
      <w:r w:rsidRPr="000565F1">
        <w:t>.</w:t>
      </w:r>
    </w:p>
    <w:p w:rsidR="0017322A" w:rsidRDefault="0017322A" w:rsidP="0017322A">
      <w:r>
        <w:t>To drive PPL EU business results and operating performance, the PPL EU President developed a comprehensive business plan</w:t>
      </w:r>
      <w:r w:rsidR="001677AD">
        <w:t xml:space="preserve"> roadmap</w:t>
      </w:r>
      <w:r>
        <w:t xml:space="preserve"> for 2015.  This document provided guidance and direction to the PPL EU organization regarding goals, objectives, plans, and priorities for the organization.  The Plan contains statements of Mission, Purpose, Culture, Core Beliefs, and Values of the organization.  It incorporates the goals and objectives of</w:t>
      </w:r>
      <w:r w:rsidR="00D63B2E">
        <w:t xml:space="preserve"> the</w:t>
      </w:r>
      <w:r>
        <w:t xml:space="preserve"> 2015 Goal Framework for PPL EU and contains strategies for goal and objective accomplishment for the Transmission and Substation, Distribution Operations, Customer Service, and PPL EUS </w:t>
      </w:r>
      <w:r w:rsidR="007C55D8">
        <w:t>service groups</w:t>
      </w:r>
      <w:r>
        <w:t>.  The Plan also contains strategies for regulatory affairs (both PUC and FERC), capital investment plans, strategic initiatives, and the workforce.</w:t>
      </w:r>
    </w:p>
    <w:p w:rsidR="0017322A" w:rsidRDefault="0017322A" w:rsidP="0017322A">
      <w:pPr>
        <w:rPr>
          <w:rFonts w:cs="Arial"/>
          <w:szCs w:val="24"/>
        </w:rPr>
      </w:pPr>
      <w:r>
        <w:rPr>
          <w:rFonts w:cs="Arial"/>
          <w:szCs w:val="24"/>
        </w:rPr>
        <w:t>To regularly monitor the PPL EU organizational progress toward goal and objective attainment, as well as to oversee the activities of the utility, a monthly</w:t>
      </w:r>
      <w:r w:rsidR="001677AD">
        <w:rPr>
          <w:rFonts w:cs="Arial"/>
          <w:szCs w:val="24"/>
        </w:rPr>
        <w:t xml:space="preserve"> performance </w:t>
      </w:r>
      <w:r w:rsidR="001677AD">
        <w:rPr>
          <w:rFonts w:cs="Arial"/>
          <w:szCs w:val="24"/>
        </w:rPr>
        <w:lastRenderedPageBreak/>
        <w:t>summary</w:t>
      </w:r>
      <w:r>
        <w:rPr>
          <w:rFonts w:cs="Arial"/>
          <w:szCs w:val="24"/>
        </w:rPr>
        <w:t xml:space="preserve"> report</w:t>
      </w:r>
      <w:r w:rsidR="001677AD">
        <w:rPr>
          <w:rFonts w:cs="Arial"/>
          <w:szCs w:val="24"/>
        </w:rPr>
        <w:t xml:space="preserve"> </w:t>
      </w:r>
      <w:r>
        <w:rPr>
          <w:rFonts w:cs="Arial"/>
          <w:szCs w:val="24"/>
        </w:rPr>
        <w:t xml:space="preserve">is generated.  This document consists of over 120 pages of performance metrics, supporting charts, and graphs to ascertain the status of each goal or objective.  A summary section of goals and objectives </w:t>
      </w:r>
      <w:r w:rsidR="00D63B2E">
        <w:rPr>
          <w:rFonts w:cs="Arial"/>
          <w:szCs w:val="24"/>
        </w:rPr>
        <w:t xml:space="preserve">for </w:t>
      </w:r>
      <w:r>
        <w:rPr>
          <w:rFonts w:cs="Arial"/>
          <w:szCs w:val="24"/>
        </w:rPr>
        <w:t>main goal categories provides rapid reference to status with red/green indications along with the employee responsible for goal achievement.  The remainder of the report contains the various sections, each with elaborate charts and graphs</w:t>
      </w:r>
      <w:r w:rsidR="00D63B2E">
        <w:rPr>
          <w:rFonts w:cs="Arial"/>
          <w:szCs w:val="24"/>
        </w:rPr>
        <w:t>,</w:t>
      </w:r>
      <w:r>
        <w:rPr>
          <w:rFonts w:cs="Arial"/>
          <w:szCs w:val="24"/>
        </w:rPr>
        <w:t xml:space="preserve"> depicting targets, status, trends</w:t>
      </w:r>
      <w:r w:rsidR="00D63B2E">
        <w:rPr>
          <w:rFonts w:cs="Arial"/>
          <w:szCs w:val="24"/>
        </w:rPr>
        <w:t>,</w:t>
      </w:r>
      <w:r>
        <w:rPr>
          <w:rFonts w:cs="Arial"/>
          <w:szCs w:val="24"/>
        </w:rPr>
        <w:t xml:space="preserve"> and analyses.  These sections include:</w:t>
      </w:r>
    </w:p>
    <w:p w:rsidR="0017322A" w:rsidRDefault="0017322A" w:rsidP="0017322A">
      <w:pPr>
        <w:pStyle w:val="Bullet"/>
      </w:pPr>
      <w:r>
        <w:t>Safety and Human Performance</w:t>
      </w:r>
    </w:p>
    <w:p w:rsidR="0017322A" w:rsidRDefault="0017322A" w:rsidP="0017322A">
      <w:pPr>
        <w:pStyle w:val="Bullet"/>
      </w:pPr>
      <w:r>
        <w:t>Compliance</w:t>
      </w:r>
    </w:p>
    <w:p w:rsidR="0017322A" w:rsidRDefault="0017322A" w:rsidP="0017322A">
      <w:pPr>
        <w:pStyle w:val="Bullet"/>
      </w:pPr>
      <w:r>
        <w:t xml:space="preserve">Customer Satisfaction </w:t>
      </w:r>
      <w:r w:rsidR="00D63B2E">
        <w:t xml:space="preserve">and </w:t>
      </w:r>
      <w:r>
        <w:t>Reliability</w:t>
      </w:r>
    </w:p>
    <w:p w:rsidR="0017322A" w:rsidRDefault="0017322A" w:rsidP="0017322A">
      <w:pPr>
        <w:pStyle w:val="Bullet"/>
      </w:pPr>
      <w:r>
        <w:t>Financial Management</w:t>
      </w:r>
    </w:p>
    <w:p w:rsidR="0017322A" w:rsidRDefault="0017322A" w:rsidP="0017322A">
      <w:pPr>
        <w:pStyle w:val="Bullet"/>
      </w:pPr>
      <w:r>
        <w:t>Communications</w:t>
      </w:r>
    </w:p>
    <w:p w:rsidR="0017322A" w:rsidRDefault="0017322A" w:rsidP="0017322A">
      <w:pPr>
        <w:pStyle w:val="Bullet"/>
      </w:pPr>
      <w:r>
        <w:t>Customer Service</w:t>
      </w:r>
    </w:p>
    <w:p w:rsidR="0017322A" w:rsidRDefault="0017322A" w:rsidP="0017322A">
      <w:pPr>
        <w:pStyle w:val="Bullet"/>
      </w:pPr>
      <w:r>
        <w:t>Distribution Operations</w:t>
      </w:r>
    </w:p>
    <w:p w:rsidR="0017322A" w:rsidRDefault="0017322A" w:rsidP="0017322A">
      <w:pPr>
        <w:pStyle w:val="Bullet"/>
      </w:pPr>
      <w:r>
        <w:t>Human Resources</w:t>
      </w:r>
    </w:p>
    <w:p w:rsidR="0017322A" w:rsidRDefault="0017322A" w:rsidP="0017322A">
      <w:pPr>
        <w:pStyle w:val="Bullet"/>
      </w:pPr>
      <w:r>
        <w:t>Information Technology</w:t>
      </w:r>
    </w:p>
    <w:p w:rsidR="0017322A" w:rsidRDefault="0017322A" w:rsidP="0017322A">
      <w:pPr>
        <w:pStyle w:val="Bullet"/>
      </w:pPr>
      <w:r>
        <w:t>Supply Chain</w:t>
      </w:r>
    </w:p>
    <w:p w:rsidR="0017322A" w:rsidRDefault="0017322A" w:rsidP="0017322A">
      <w:pPr>
        <w:pStyle w:val="Bullet"/>
        <w:spacing w:after="120"/>
      </w:pPr>
      <w:r>
        <w:t xml:space="preserve">Transmission </w:t>
      </w:r>
    </w:p>
    <w:p w:rsidR="0017322A" w:rsidRDefault="0017322A" w:rsidP="00B93227">
      <w:pPr>
        <w:pStyle w:val="Normal-aftertable"/>
      </w:pPr>
      <w:r>
        <w:t xml:space="preserve">To further disseminate performance information and status within the utility organization and supporting groups, the PPL EU President convenes a </w:t>
      </w:r>
      <w:r w:rsidRPr="00B03D9B">
        <w:t>Quarterly Leadership Meeting of approximately 100 PPL</w:t>
      </w:r>
      <w:r>
        <w:t xml:space="preserve"> EU and PPL EUS</w:t>
      </w:r>
      <w:r w:rsidRPr="00B03D9B">
        <w:t xml:space="preserve"> executives, directors</w:t>
      </w:r>
      <w:r>
        <w:t>,</w:t>
      </w:r>
      <w:r w:rsidRPr="00B03D9B">
        <w:t xml:space="preserve"> and managers during which operating results, goal attainment, financial performance, O&amp;M </w:t>
      </w:r>
      <w:r>
        <w:t>costs,</w:t>
      </w:r>
      <w:r w:rsidRPr="00B03D9B">
        <w:t xml:space="preserve"> and employee engagement are discussed.</w:t>
      </w:r>
      <w:r>
        <w:t xml:space="preserve"> </w:t>
      </w:r>
    </w:p>
    <w:p w:rsidR="009F1745" w:rsidRDefault="005D2D2D" w:rsidP="0049591B">
      <w:pPr>
        <w:pStyle w:val="Findings"/>
      </w:pPr>
      <w:r>
        <w:t xml:space="preserve">PPL </w:t>
      </w:r>
      <w:r w:rsidR="00AC0FFA">
        <w:t xml:space="preserve">EU’s </w:t>
      </w:r>
      <w:r w:rsidR="00E40BBB">
        <w:t>operating costs</w:t>
      </w:r>
      <w:r w:rsidR="00CF7706">
        <w:t xml:space="preserve"> (less purchased power)</w:t>
      </w:r>
      <w:r w:rsidR="00443962">
        <w:t xml:space="preserve"> </w:t>
      </w:r>
      <w:r w:rsidR="00AC0FFA">
        <w:t xml:space="preserve">have escalated at a high rate </w:t>
      </w:r>
      <w:r w:rsidR="00443962">
        <w:t>over the past five years</w:t>
      </w:r>
      <w:r w:rsidR="00AC0FFA">
        <w:t xml:space="preserve"> and are substantially higher in many cost categories than its </w:t>
      </w:r>
      <w:r w:rsidR="0047627B">
        <w:t xml:space="preserve">Pennsylvania </w:t>
      </w:r>
      <w:r w:rsidR="00AC0FFA">
        <w:t>peers</w:t>
      </w:r>
      <w:r w:rsidR="00E40BBB">
        <w:t>.</w:t>
      </w:r>
    </w:p>
    <w:p w:rsidR="009D5746" w:rsidRDefault="009D5746" w:rsidP="009D5746">
      <w:r>
        <w:t>The following table shows the trends in operating expenses and megawatt hours sold over the period from 2011 through 2015.</w:t>
      </w:r>
    </w:p>
    <w:p w:rsidR="000D142C" w:rsidRDefault="000D142C">
      <w:pPr>
        <w:spacing w:after="0"/>
        <w:jc w:val="left"/>
        <w:rPr>
          <w:b/>
          <w:bCs/>
          <w:szCs w:val="18"/>
        </w:rPr>
      </w:pPr>
      <w:r>
        <w:br w:type="page"/>
      </w:r>
    </w:p>
    <w:p w:rsidR="00307461" w:rsidRPr="00B93227" w:rsidRDefault="00356110" w:rsidP="00356110">
      <w:pPr>
        <w:pStyle w:val="Caption"/>
      </w:pPr>
      <w:bookmarkStart w:id="32" w:name="_Toc464552939"/>
      <w:r>
        <w:lastRenderedPageBreak/>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13</w:t>
      </w:r>
      <w:r w:rsidR="00CB2B2A">
        <w:rPr>
          <w:noProof/>
        </w:rPr>
        <w:fldChar w:fldCharType="end"/>
      </w:r>
      <w:r w:rsidR="00F03CD4">
        <w:br/>
      </w:r>
      <w:r w:rsidR="00307461" w:rsidRPr="00B93227">
        <w:t xml:space="preserve">PPL </w:t>
      </w:r>
      <w:r w:rsidR="006B4DBA">
        <w:t>EU Operating Expenses (2011</w:t>
      </w:r>
      <w:r w:rsidR="00FB46BF">
        <w:t>–</w:t>
      </w:r>
      <w:r w:rsidR="006B4DBA">
        <w:t>2015</w:t>
      </w:r>
      <w:r w:rsidR="00307461" w:rsidRPr="00B93227">
        <w:t>)</w:t>
      </w:r>
      <w:bookmarkEnd w:id="32"/>
    </w:p>
    <w:tbl>
      <w:tblPr>
        <w:tblW w:w="0" w:type="auto"/>
        <w:jc w:val="center"/>
        <w:tblCellMar>
          <w:top w:w="29" w:type="dxa"/>
          <w:left w:w="115" w:type="dxa"/>
          <w:bottom w:w="29" w:type="dxa"/>
          <w:right w:w="115" w:type="dxa"/>
        </w:tblCellMar>
        <w:tblLook w:val="04A0"/>
      </w:tblPr>
      <w:tblGrid>
        <w:gridCol w:w="2881"/>
        <w:gridCol w:w="935"/>
        <w:gridCol w:w="1076"/>
        <w:gridCol w:w="1076"/>
        <w:gridCol w:w="1076"/>
        <w:gridCol w:w="1076"/>
        <w:gridCol w:w="1470"/>
      </w:tblGrid>
      <w:tr w:rsidR="0064398C" w:rsidRPr="009B7DB0" w:rsidTr="00933480">
        <w:trPr>
          <w:cantSplit/>
          <w:trHeight w:val="570"/>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2"/>
              </w:rPr>
            </w:pPr>
            <w:r w:rsidRPr="009B7DB0">
              <w:rPr>
                <w:rFonts w:cs="Arial"/>
                <w:b/>
                <w:bCs/>
                <w:color w:val="000000"/>
                <w:sz w:val="22"/>
              </w:rPr>
              <w:t>Metric</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2011</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2012</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2013</w:t>
            </w:r>
          </w:p>
        </w:tc>
        <w:tc>
          <w:tcPr>
            <w:tcW w:w="0" w:type="auto"/>
            <w:tcBorders>
              <w:top w:val="single" w:sz="4" w:space="0" w:color="000000"/>
              <w:left w:val="nil"/>
              <w:bottom w:val="single" w:sz="4" w:space="0" w:color="000000"/>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2014</w:t>
            </w:r>
          </w:p>
        </w:tc>
        <w:tc>
          <w:tcPr>
            <w:tcW w:w="0" w:type="auto"/>
            <w:tcBorders>
              <w:top w:val="single" w:sz="4" w:space="0" w:color="000000"/>
              <w:left w:val="nil"/>
              <w:bottom w:val="nil"/>
              <w:right w:val="single" w:sz="4" w:space="0" w:color="000000"/>
            </w:tcBorders>
            <w:shd w:val="clear" w:color="A5CD7E" w:fill="A5CD7E"/>
            <w:noWrap/>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2015</w:t>
            </w:r>
          </w:p>
        </w:tc>
        <w:tc>
          <w:tcPr>
            <w:tcW w:w="0" w:type="auto"/>
            <w:tcBorders>
              <w:top w:val="single" w:sz="4" w:space="0" w:color="000000"/>
              <w:left w:val="nil"/>
              <w:bottom w:val="nil"/>
              <w:right w:val="single" w:sz="4" w:space="0" w:color="000000"/>
            </w:tcBorders>
            <w:shd w:val="clear" w:color="A5CD7E" w:fill="A5CD7E"/>
            <w:vAlign w:val="center"/>
            <w:hideMark/>
          </w:tcPr>
          <w:p w:rsidR="00F3046B" w:rsidRPr="009B7DB0" w:rsidRDefault="00F3046B" w:rsidP="00933480">
            <w:pPr>
              <w:spacing w:before="80" w:after="80"/>
              <w:jc w:val="center"/>
              <w:rPr>
                <w:rFonts w:cs="Arial"/>
                <w:b/>
                <w:bCs/>
                <w:color w:val="000000"/>
                <w:sz w:val="20"/>
                <w:szCs w:val="20"/>
              </w:rPr>
            </w:pPr>
            <w:r w:rsidRPr="009B7DB0">
              <w:rPr>
                <w:rFonts w:cs="Arial"/>
                <w:b/>
                <w:bCs/>
                <w:color w:val="000000"/>
                <w:sz w:val="20"/>
                <w:szCs w:val="20"/>
              </w:rPr>
              <w:t>Compound</w:t>
            </w:r>
            <w:r w:rsidRPr="009B7DB0">
              <w:rPr>
                <w:rFonts w:cs="Arial"/>
                <w:b/>
                <w:bCs/>
                <w:color w:val="000000"/>
                <w:sz w:val="20"/>
                <w:szCs w:val="20"/>
              </w:rPr>
              <w:br/>
              <w:t>Growth Rate</w:t>
            </w:r>
          </w:p>
        </w:tc>
      </w:tr>
      <w:tr w:rsidR="0064398C" w:rsidRPr="009B7DB0" w:rsidTr="00933480">
        <w:trPr>
          <w:trHeight w:val="276"/>
          <w:jc w:val="center"/>
        </w:trPr>
        <w:tc>
          <w:tcPr>
            <w:tcW w:w="0" w:type="auto"/>
            <w:tcBorders>
              <w:top w:val="nil"/>
              <w:left w:val="single" w:sz="4" w:space="0" w:color="000000"/>
              <w:bottom w:val="single" w:sz="4" w:space="0" w:color="000000"/>
              <w:right w:val="single" w:sz="4" w:space="0" w:color="000000"/>
            </w:tcBorders>
            <w:shd w:val="clear" w:color="auto" w:fill="auto"/>
            <w:vAlign w:val="center"/>
            <w:hideMark/>
          </w:tcPr>
          <w:p w:rsidR="007B65E8" w:rsidRPr="009B7DB0" w:rsidRDefault="007B65E8" w:rsidP="00F96688">
            <w:pPr>
              <w:spacing w:after="0"/>
              <w:jc w:val="center"/>
              <w:rPr>
                <w:rFonts w:cs="Arial"/>
                <w:color w:val="000000"/>
                <w:sz w:val="20"/>
                <w:szCs w:val="20"/>
              </w:rPr>
            </w:pPr>
            <w:r w:rsidRPr="009B7DB0">
              <w:rPr>
                <w:rFonts w:cs="Arial"/>
                <w:color w:val="000000"/>
                <w:sz w:val="20"/>
                <w:szCs w:val="20"/>
              </w:rPr>
              <w:t xml:space="preserve">Total </w:t>
            </w:r>
            <w:r w:rsidR="00F96688">
              <w:rPr>
                <w:rFonts w:cs="Arial"/>
                <w:color w:val="000000"/>
                <w:sz w:val="20"/>
                <w:szCs w:val="20"/>
              </w:rPr>
              <w:t>Gi</w:t>
            </w:r>
            <w:r w:rsidR="00F96688" w:rsidRPr="009B7DB0">
              <w:rPr>
                <w:rFonts w:cs="Arial"/>
                <w:color w:val="000000"/>
                <w:sz w:val="20"/>
                <w:szCs w:val="20"/>
              </w:rPr>
              <w:t xml:space="preserve">gawatt </w:t>
            </w:r>
            <w:r w:rsidRPr="009B7DB0">
              <w:rPr>
                <w:rFonts w:cs="Arial"/>
                <w:color w:val="000000"/>
                <w:sz w:val="20"/>
                <w:szCs w:val="20"/>
              </w:rPr>
              <w:t>Hours Sold</w:t>
            </w:r>
            <w:r w:rsidR="00BE1CC2">
              <w:rPr>
                <w:rFonts w:cs="Arial"/>
                <w:color w:val="000000"/>
                <w:sz w:val="20"/>
                <w:szCs w:val="20"/>
              </w:rPr>
              <w:t xml:space="preserve"> </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7B65E8" w:rsidRPr="009B7DB0" w:rsidRDefault="007B65E8" w:rsidP="00AC0FFA">
            <w:pPr>
              <w:spacing w:after="0"/>
              <w:jc w:val="center"/>
              <w:rPr>
                <w:rFonts w:cs="Arial"/>
                <w:color w:val="000000"/>
                <w:sz w:val="20"/>
                <w:szCs w:val="20"/>
              </w:rPr>
            </w:pPr>
            <w:r w:rsidRPr="009B7DB0">
              <w:rPr>
                <w:rFonts w:cs="Arial"/>
                <w:color w:val="000000"/>
                <w:sz w:val="20"/>
                <w:szCs w:val="20"/>
              </w:rPr>
              <w:t>37,896</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7B65E8" w:rsidRPr="009B7DB0" w:rsidRDefault="007B65E8" w:rsidP="00AC0FFA">
            <w:pPr>
              <w:spacing w:after="0"/>
              <w:jc w:val="center"/>
              <w:rPr>
                <w:rFonts w:cs="Arial"/>
                <w:color w:val="000000"/>
                <w:sz w:val="20"/>
                <w:szCs w:val="20"/>
              </w:rPr>
            </w:pPr>
            <w:r w:rsidRPr="009B7DB0">
              <w:rPr>
                <w:rFonts w:cs="Arial"/>
                <w:color w:val="000000"/>
                <w:sz w:val="20"/>
                <w:szCs w:val="20"/>
              </w:rPr>
              <w:t>36,94</w:t>
            </w:r>
            <w:r w:rsidR="00F96688">
              <w:rPr>
                <w:rFonts w:cs="Arial"/>
                <w:color w:val="000000"/>
                <w:sz w:val="20"/>
                <w:szCs w:val="20"/>
              </w:rPr>
              <w:t>8</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7B65E8" w:rsidRPr="009B7DB0" w:rsidRDefault="007B65E8" w:rsidP="00AC0FFA">
            <w:pPr>
              <w:spacing w:after="0"/>
              <w:jc w:val="center"/>
              <w:rPr>
                <w:rFonts w:cs="Arial"/>
                <w:color w:val="000000"/>
                <w:sz w:val="20"/>
                <w:szCs w:val="20"/>
              </w:rPr>
            </w:pPr>
            <w:r w:rsidRPr="009B7DB0">
              <w:rPr>
                <w:rFonts w:cs="Arial"/>
                <w:color w:val="000000"/>
                <w:sz w:val="20"/>
                <w:szCs w:val="20"/>
              </w:rPr>
              <w:t>37,71</w:t>
            </w:r>
            <w:r w:rsidR="00F96688">
              <w:rPr>
                <w:rFonts w:cs="Arial"/>
                <w:color w:val="000000"/>
                <w:sz w:val="20"/>
                <w:szCs w:val="20"/>
              </w:rPr>
              <w:t>3</w:t>
            </w:r>
          </w:p>
        </w:tc>
        <w:tc>
          <w:tcPr>
            <w:tcW w:w="0" w:type="auto"/>
            <w:tcBorders>
              <w:top w:val="single" w:sz="4" w:space="0" w:color="000000"/>
              <w:left w:val="nil"/>
              <w:bottom w:val="single" w:sz="4" w:space="0" w:color="auto"/>
              <w:right w:val="single" w:sz="4" w:space="0" w:color="000000"/>
            </w:tcBorders>
            <w:shd w:val="clear" w:color="auto" w:fill="auto"/>
            <w:noWrap/>
            <w:vAlign w:val="center"/>
            <w:hideMark/>
          </w:tcPr>
          <w:p w:rsidR="007B65E8" w:rsidRPr="009B7DB0" w:rsidRDefault="007B65E8" w:rsidP="00AC0FFA">
            <w:pPr>
              <w:spacing w:after="0"/>
              <w:jc w:val="center"/>
              <w:rPr>
                <w:rFonts w:cs="Arial"/>
                <w:color w:val="000000"/>
                <w:sz w:val="20"/>
                <w:szCs w:val="20"/>
              </w:rPr>
            </w:pPr>
            <w:r w:rsidRPr="009B7DB0">
              <w:rPr>
                <w:rFonts w:cs="Arial"/>
                <w:color w:val="000000"/>
                <w:sz w:val="20"/>
                <w:szCs w:val="20"/>
              </w:rPr>
              <w:t>38,00</w:t>
            </w:r>
            <w:r w:rsidR="00F96688">
              <w:rPr>
                <w:rFonts w:cs="Arial"/>
                <w:color w:val="000000"/>
                <w:sz w:val="20"/>
                <w:szCs w:val="20"/>
              </w:rPr>
              <w:t>6</w:t>
            </w:r>
          </w:p>
        </w:tc>
        <w:tc>
          <w:tcPr>
            <w:tcW w:w="0" w:type="auto"/>
            <w:tcBorders>
              <w:top w:val="single" w:sz="4" w:space="0" w:color="000000"/>
              <w:left w:val="nil"/>
              <w:bottom w:val="nil"/>
              <w:right w:val="single" w:sz="4" w:space="0" w:color="000000"/>
            </w:tcBorders>
            <w:shd w:val="clear" w:color="auto" w:fill="auto"/>
            <w:noWrap/>
            <w:vAlign w:val="center"/>
            <w:hideMark/>
          </w:tcPr>
          <w:p w:rsidR="007B65E8" w:rsidRPr="009B7DB0" w:rsidRDefault="007B65E8" w:rsidP="00AC0FFA">
            <w:pPr>
              <w:spacing w:after="0"/>
              <w:jc w:val="center"/>
              <w:rPr>
                <w:rFonts w:cs="Arial"/>
                <w:color w:val="000000"/>
                <w:sz w:val="20"/>
                <w:szCs w:val="20"/>
              </w:rPr>
            </w:pPr>
            <w:r>
              <w:rPr>
                <w:rFonts w:cs="Arial"/>
                <w:color w:val="000000"/>
                <w:sz w:val="20"/>
                <w:szCs w:val="20"/>
              </w:rPr>
              <w:t>37,96</w:t>
            </w:r>
            <w:r w:rsidR="00F96688">
              <w:rPr>
                <w:rFonts w:cs="Arial"/>
                <w:color w:val="000000"/>
                <w:sz w:val="20"/>
                <w:szCs w:val="20"/>
              </w:rPr>
              <w:t>8</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7B65E8" w:rsidP="00AC0FFA">
            <w:pPr>
              <w:spacing w:after="0"/>
              <w:jc w:val="center"/>
              <w:rPr>
                <w:rFonts w:cs="Arial"/>
                <w:b/>
                <w:bCs/>
                <w:color w:val="000000"/>
                <w:sz w:val="20"/>
                <w:szCs w:val="20"/>
              </w:rPr>
            </w:pPr>
            <w:r w:rsidRPr="009B7DB0">
              <w:rPr>
                <w:rFonts w:cs="Arial"/>
                <w:b/>
                <w:bCs/>
                <w:color w:val="000000"/>
                <w:sz w:val="20"/>
                <w:szCs w:val="20"/>
              </w:rPr>
              <w:t>0.0</w:t>
            </w:r>
            <w:r>
              <w:rPr>
                <w:rFonts w:cs="Arial"/>
                <w:b/>
                <w:bCs/>
                <w:color w:val="000000"/>
                <w:sz w:val="20"/>
                <w:szCs w:val="20"/>
              </w:rPr>
              <w:t>5</w:t>
            </w:r>
            <w:r w:rsidRPr="009B7DB0">
              <w:rPr>
                <w:rFonts w:cs="Arial"/>
                <w:b/>
                <w:bCs/>
                <w:color w:val="000000"/>
                <w:sz w:val="20"/>
                <w:szCs w:val="20"/>
              </w:rPr>
              <w:t>%</w:t>
            </w:r>
          </w:p>
        </w:tc>
      </w:tr>
      <w:tr w:rsidR="0064398C" w:rsidRPr="009B7DB0" w:rsidTr="00933480">
        <w:trPr>
          <w:trHeight w:val="339"/>
          <w:jc w:val="center"/>
        </w:trPr>
        <w:tc>
          <w:tcPr>
            <w:tcW w:w="0" w:type="auto"/>
            <w:tcBorders>
              <w:top w:val="nil"/>
              <w:left w:val="single" w:sz="4" w:space="0" w:color="000000"/>
              <w:bottom w:val="single" w:sz="4" w:space="0" w:color="000000"/>
              <w:right w:val="single" w:sz="4" w:space="0" w:color="000000"/>
            </w:tcBorders>
            <w:shd w:val="clear" w:color="auto" w:fill="auto"/>
            <w:vAlign w:val="center"/>
            <w:hideMark/>
          </w:tcPr>
          <w:p w:rsidR="00F3046B" w:rsidRPr="009B7DB0" w:rsidRDefault="00F3046B" w:rsidP="00D1332C">
            <w:pPr>
              <w:spacing w:after="0"/>
              <w:jc w:val="center"/>
              <w:rPr>
                <w:rFonts w:cs="Arial"/>
                <w:color w:val="000000"/>
                <w:sz w:val="20"/>
                <w:szCs w:val="20"/>
              </w:rPr>
            </w:pPr>
            <w:r w:rsidRPr="009B7DB0">
              <w:rPr>
                <w:rFonts w:cs="Arial"/>
                <w:color w:val="000000"/>
                <w:sz w:val="20"/>
                <w:szCs w:val="20"/>
              </w:rPr>
              <w:t>Total Utility Operating Expenses</w:t>
            </w:r>
            <w:r w:rsidR="00541D50">
              <w:rPr>
                <w:rFonts w:cs="Arial"/>
                <w:color w:val="000000"/>
                <w:sz w:val="20"/>
                <w:szCs w:val="20"/>
              </w:rPr>
              <w:t xml:space="preserve"> (millions)</w:t>
            </w:r>
          </w:p>
        </w:tc>
        <w:tc>
          <w:tcPr>
            <w:tcW w:w="0" w:type="auto"/>
            <w:tcBorders>
              <w:top w:val="single" w:sz="4" w:space="0" w:color="auto"/>
              <w:left w:val="nil"/>
              <w:bottom w:val="nil"/>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1,680</w:t>
            </w:r>
          </w:p>
        </w:tc>
        <w:tc>
          <w:tcPr>
            <w:tcW w:w="0" w:type="auto"/>
            <w:tcBorders>
              <w:top w:val="single" w:sz="4" w:space="0" w:color="auto"/>
              <w:left w:val="nil"/>
              <w:bottom w:val="nil"/>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1,609</w:t>
            </w:r>
          </w:p>
        </w:tc>
        <w:tc>
          <w:tcPr>
            <w:tcW w:w="0" w:type="auto"/>
            <w:tcBorders>
              <w:top w:val="single" w:sz="4" w:space="0" w:color="auto"/>
              <w:left w:val="nil"/>
              <w:bottom w:val="nil"/>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1,646</w:t>
            </w:r>
          </w:p>
        </w:tc>
        <w:tc>
          <w:tcPr>
            <w:tcW w:w="0" w:type="auto"/>
            <w:tcBorders>
              <w:top w:val="single" w:sz="4" w:space="0" w:color="auto"/>
              <w:left w:val="nil"/>
              <w:bottom w:val="nil"/>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1,751</w:t>
            </w:r>
          </w:p>
        </w:tc>
        <w:tc>
          <w:tcPr>
            <w:tcW w:w="0" w:type="auto"/>
            <w:tcBorders>
              <w:top w:val="single" w:sz="4" w:space="0" w:color="000000"/>
              <w:left w:val="nil"/>
              <w:bottom w:val="nil"/>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1,843</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F3046B" w:rsidP="009B7DB0">
            <w:pPr>
              <w:spacing w:after="0"/>
              <w:jc w:val="center"/>
              <w:rPr>
                <w:rFonts w:cs="Arial"/>
                <w:b/>
                <w:bCs/>
                <w:color w:val="000000"/>
                <w:sz w:val="20"/>
                <w:szCs w:val="20"/>
              </w:rPr>
            </w:pPr>
            <w:r>
              <w:rPr>
                <w:rFonts w:cs="Arial"/>
                <w:b/>
                <w:bCs/>
                <w:color w:val="000000"/>
                <w:sz w:val="20"/>
                <w:szCs w:val="20"/>
              </w:rPr>
              <w:t>2.34</w:t>
            </w:r>
            <w:r w:rsidRPr="009B7DB0">
              <w:rPr>
                <w:rFonts w:cs="Arial"/>
                <w:b/>
                <w:bCs/>
                <w:color w:val="000000"/>
                <w:sz w:val="20"/>
                <w:szCs w:val="20"/>
              </w:rPr>
              <w:t>%</w:t>
            </w:r>
          </w:p>
        </w:tc>
      </w:tr>
      <w:tr w:rsidR="0064398C" w:rsidRPr="009B7DB0" w:rsidTr="00933480">
        <w:trPr>
          <w:trHeight w:val="159"/>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3046B" w:rsidRPr="009B7DB0" w:rsidRDefault="007B65E8" w:rsidP="00D1332C">
            <w:pPr>
              <w:spacing w:after="0"/>
              <w:jc w:val="center"/>
              <w:rPr>
                <w:rFonts w:cs="Arial"/>
                <w:color w:val="000000"/>
                <w:sz w:val="20"/>
                <w:szCs w:val="20"/>
              </w:rPr>
            </w:pPr>
            <w:r>
              <w:rPr>
                <w:rFonts w:cs="Arial"/>
                <w:color w:val="000000"/>
                <w:sz w:val="20"/>
                <w:szCs w:val="20"/>
              </w:rPr>
              <w:t>Less Purchased Power</w:t>
            </w:r>
            <w:r w:rsidR="00541D50">
              <w:rPr>
                <w:rFonts w:cs="Arial"/>
                <w:color w:val="000000"/>
                <w:sz w:val="20"/>
                <w:szCs w:val="20"/>
              </w:rPr>
              <w:t xml:space="preserve"> (millions)</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759</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620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630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661</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656</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F3046B" w:rsidRPr="009B7DB0" w:rsidRDefault="005933E9" w:rsidP="00F3046B">
            <w:pPr>
              <w:spacing w:after="0"/>
              <w:jc w:val="center"/>
              <w:rPr>
                <w:rFonts w:cs="Arial"/>
                <w:b/>
                <w:bCs/>
                <w:color w:val="000000"/>
                <w:sz w:val="20"/>
                <w:szCs w:val="20"/>
              </w:rPr>
            </w:pPr>
            <w:r>
              <w:rPr>
                <w:rFonts w:cs="Arial"/>
                <w:b/>
                <w:bCs/>
                <w:color w:val="000000"/>
                <w:sz w:val="20"/>
                <w:szCs w:val="20"/>
              </w:rPr>
              <w:t>-3.58%</w:t>
            </w:r>
          </w:p>
        </w:tc>
      </w:tr>
      <w:tr w:rsidR="0064398C" w:rsidRPr="009B7DB0" w:rsidTr="00933480">
        <w:trPr>
          <w:trHeight w:val="61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B65E8" w:rsidRPr="009B7DB0" w:rsidRDefault="007B65E8" w:rsidP="00D1332C">
            <w:pPr>
              <w:spacing w:after="0"/>
              <w:jc w:val="center"/>
              <w:rPr>
                <w:rFonts w:cs="Arial"/>
                <w:color w:val="000000"/>
                <w:sz w:val="20"/>
                <w:szCs w:val="20"/>
              </w:rPr>
            </w:pPr>
            <w:r>
              <w:rPr>
                <w:rFonts w:cs="Arial"/>
                <w:color w:val="000000"/>
                <w:sz w:val="20"/>
                <w:szCs w:val="20"/>
              </w:rPr>
              <w:t>Total Utility Operating Expenses Less Purchased Power</w:t>
            </w:r>
            <w:r w:rsidR="00541D50">
              <w:rPr>
                <w:rFonts w:cs="Arial"/>
                <w:color w:val="000000"/>
                <w:sz w:val="20"/>
                <w:szCs w:val="20"/>
              </w:rPr>
              <w:t xml:space="preserve"> (millions)</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921</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989</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1,016</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1,090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Default="00541D50" w:rsidP="009B7DB0">
            <w:pPr>
              <w:spacing w:after="0"/>
              <w:jc w:val="center"/>
              <w:rPr>
                <w:rFonts w:cs="Arial"/>
                <w:color w:val="000000"/>
                <w:sz w:val="20"/>
                <w:szCs w:val="20"/>
              </w:rPr>
            </w:pPr>
            <w:r>
              <w:rPr>
                <w:rFonts w:cs="Arial"/>
                <w:color w:val="000000"/>
                <w:sz w:val="20"/>
                <w:szCs w:val="20"/>
              </w:rPr>
              <w:t>$</w:t>
            </w:r>
            <w:r w:rsidR="009D5746">
              <w:rPr>
                <w:rFonts w:cs="Arial"/>
                <w:color w:val="000000"/>
                <w:sz w:val="20"/>
                <w:szCs w:val="20"/>
              </w:rPr>
              <w:t>1,187</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7B65E8" w:rsidRPr="009B7DB0" w:rsidRDefault="005933E9" w:rsidP="00F3046B">
            <w:pPr>
              <w:spacing w:after="0"/>
              <w:jc w:val="center"/>
              <w:rPr>
                <w:rFonts w:cs="Arial"/>
                <w:b/>
                <w:bCs/>
                <w:color w:val="000000"/>
                <w:sz w:val="20"/>
                <w:szCs w:val="20"/>
              </w:rPr>
            </w:pPr>
            <w:r>
              <w:rPr>
                <w:rFonts w:cs="Arial"/>
                <w:b/>
                <w:bCs/>
                <w:color w:val="000000"/>
                <w:sz w:val="20"/>
                <w:szCs w:val="20"/>
              </w:rPr>
              <w:t>6.55%</w:t>
            </w:r>
          </w:p>
        </w:tc>
      </w:tr>
      <w:tr w:rsidR="0064398C" w:rsidRPr="009B7DB0" w:rsidTr="00933480">
        <w:trPr>
          <w:trHeight w:val="39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3E9" w:rsidRDefault="005933E9" w:rsidP="00D1332C">
            <w:pPr>
              <w:spacing w:after="0"/>
              <w:jc w:val="center"/>
              <w:rPr>
                <w:rFonts w:cs="Arial"/>
                <w:color w:val="000000"/>
                <w:sz w:val="20"/>
                <w:szCs w:val="20"/>
              </w:rPr>
            </w:pPr>
            <w:r>
              <w:rPr>
                <w:rFonts w:cs="Arial"/>
                <w:color w:val="000000"/>
                <w:sz w:val="20"/>
                <w:szCs w:val="20"/>
              </w:rPr>
              <w:t xml:space="preserve">Year Over Year </w:t>
            </w:r>
            <w:r w:rsidR="00F437A1">
              <w:rPr>
                <w:rFonts w:cs="Arial"/>
                <w:color w:val="000000"/>
                <w:sz w:val="20"/>
                <w:szCs w:val="20"/>
              </w:rPr>
              <w:t xml:space="preserve">% </w:t>
            </w:r>
            <w:r>
              <w:rPr>
                <w:rFonts w:cs="Arial"/>
                <w:color w:val="000000"/>
                <w:sz w:val="20"/>
                <w:szCs w:val="20"/>
              </w:rPr>
              <w:t>Increase (+)/ Decrease (-)</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5933E9" w:rsidP="009B7DB0">
            <w:pPr>
              <w:spacing w:after="0"/>
              <w:jc w:val="center"/>
              <w:rPr>
                <w:rFonts w:cs="Arial"/>
                <w:color w:val="000000"/>
                <w:sz w:val="20"/>
                <w:szCs w:val="20"/>
              </w:rPr>
            </w:pP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F437A1" w:rsidP="009B7DB0">
            <w:pPr>
              <w:spacing w:after="0"/>
              <w:jc w:val="center"/>
              <w:rPr>
                <w:rFonts w:cs="Arial"/>
                <w:color w:val="000000"/>
                <w:sz w:val="20"/>
                <w:szCs w:val="20"/>
              </w:rPr>
            </w:pPr>
            <w:r>
              <w:rPr>
                <w:rFonts w:cs="Arial"/>
                <w:color w:val="000000"/>
                <w:sz w:val="20"/>
                <w:szCs w:val="20"/>
              </w:rPr>
              <w:t>+ 7.34%</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F437A1" w:rsidP="009B7DB0">
            <w:pPr>
              <w:spacing w:after="0"/>
              <w:jc w:val="center"/>
              <w:rPr>
                <w:rFonts w:cs="Arial"/>
                <w:color w:val="000000"/>
                <w:sz w:val="20"/>
                <w:szCs w:val="20"/>
              </w:rPr>
            </w:pPr>
            <w:r>
              <w:rPr>
                <w:rFonts w:cs="Arial"/>
                <w:color w:val="000000"/>
                <w:sz w:val="20"/>
                <w:szCs w:val="20"/>
              </w:rPr>
              <w:t>+ 2.78%</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F437A1" w:rsidP="009B7DB0">
            <w:pPr>
              <w:spacing w:after="0"/>
              <w:jc w:val="center"/>
              <w:rPr>
                <w:rFonts w:cs="Arial"/>
                <w:color w:val="000000"/>
                <w:sz w:val="20"/>
                <w:szCs w:val="20"/>
              </w:rPr>
            </w:pPr>
            <w:r>
              <w:rPr>
                <w:rFonts w:cs="Arial"/>
                <w:color w:val="000000"/>
                <w:sz w:val="20"/>
                <w:szCs w:val="20"/>
              </w:rPr>
              <w:t>+ 7.31%</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F437A1" w:rsidP="009B7DB0">
            <w:pPr>
              <w:spacing w:after="0"/>
              <w:jc w:val="center"/>
              <w:rPr>
                <w:rFonts w:cs="Arial"/>
                <w:color w:val="000000"/>
                <w:sz w:val="20"/>
                <w:szCs w:val="20"/>
              </w:rPr>
            </w:pPr>
            <w:r>
              <w:rPr>
                <w:rFonts w:cs="Arial"/>
                <w:color w:val="000000"/>
                <w:sz w:val="20"/>
                <w:szCs w:val="20"/>
              </w:rPr>
              <w:t>+ 8.85%</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rsidR="005933E9" w:rsidRDefault="005933E9" w:rsidP="00F3046B">
            <w:pPr>
              <w:spacing w:after="0"/>
              <w:jc w:val="center"/>
              <w:rPr>
                <w:rFonts w:cs="Arial"/>
                <w:b/>
                <w:bCs/>
                <w:color w:val="000000"/>
                <w:sz w:val="20"/>
                <w:szCs w:val="20"/>
              </w:rPr>
            </w:pPr>
          </w:p>
        </w:tc>
      </w:tr>
      <w:tr w:rsidR="00B32E69" w:rsidRPr="009B7DB0" w:rsidTr="00933480">
        <w:trPr>
          <w:trHeight w:val="591"/>
          <w:jc w:val="center"/>
        </w:trPr>
        <w:tc>
          <w:tcPr>
            <w:tcW w:w="0" w:type="auto"/>
            <w:gridSpan w:val="7"/>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32E69" w:rsidRDefault="00B32E69" w:rsidP="00B32E69">
            <w:pPr>
              <w:spacing w:after="0"/>
              <w:jc w:val="left"/>
              <w:rPr>
                <w:rFonts w:cs="Arial"/>
                <w:b/>
                <w:bCs/>
                <w:color w:val="000000"/>
                <w:sz w:val="20"/>
                <w:szCs w:val="20"/>
              </w:rPr>
            </w:pPr>
            <w:r w:rsidRPr="007B65E8">
              <w:rPr>
                <w:rFonts w:cs="Arial"/>
                <w:sz w:val="20"/>
                <w:szCs w:val="20"/>
              </w:rPr>
              <w:t>Source</w:t>
            </w:r>
            <w:r>
              <w:rPr>
                <w:rFonts w:cs="Arial"/>
                <w:sz w:val="20"/>
                <w:szCs w:val="20"/>
              </w:rPr>
              <w:t>s</w:t>
            </w:r>
            <w:r w:rsidRPr="007B65E8">
              <w:rPr>
                <w:rFonts w:cs="Arial"/>
                <w:sz w:val="20"/>
                <w:szCs w:val="20"/>
              </w:rPr>
              <w:t xml:space="preserve">:  </w:t>
            </w:r>
            <w:r w:rsidRPr="00F437A1">
              <w:rPr>
                <w:rFonts w:cs="Arial"/>
                <w:sz w:val="20"/>
                <w:szCs w:val="20"/>
              </w:rPr>
              <w:t>PPL Electric Utilities Company Operating Revenues</w:t>
            </w:r>
            <w:r>
              <w:rPr>
                <w:rFonts w:cs="Arial"/>
                <w:sz w:val="20"/>
                <w:szCs w:val="20"/>
              </w:rPr>
              <w:t xml:space="preserve"> a</w:t>
            </w:r>
            <w:r w:rsidRPr="00F437A1">
              <w:rPr>
                <w:rFonts w:cs="Arial"/>
                <w:sz w:val="20"/>
                <w:szCs w:val="20"/>
              </w:rPr>
              <w:t>nd Expenses</w:t>
            </w:r>
            <w:r>
              <w:rPr>
                <w:rFonts w:cs="Arial"/>
                <w:sz w:val="20"/>
                <w:szCs w:val="20"/>
              </w:rPr>
              <w:t xml:space="preserve">, PPL Electric Utilities Electric Annual Report for 2015, </w:t>
            </w:r>
            <w:r w:rsidR="00D46D8B" w:rsidRPr="00B9624F">
              <w:rPr>
                <w:rFonts w:cs="Arial"/>
                <w:sz w:val="20"/>
                <w:szCs w:val="20"/>
              </w:rPr>
              <w:t>Additional information provided by B. Johnson, PPL</w:t>
            </w:r>
            <w:r w:rsidR="00F96688">
              <w:rPr>
                <w:rFonts w:cs="Arial"/>
                <w:sz w:val="20"/>
                <w:szCs w:val="20"/>
              </w:rPr>
              <w:t xml:space="preserve"> EUS</w:t>
            </w:r>
            <w:r w:rsidR="00D46D8B" w:rsidRPr="00B9624F">
              <w:rPr>
                <w:rFonts w:cs="Arial"/>
                <w:sz w:val="20"/>
                <w:szCs w:val="20"/>
              </w:rPr>
              <w:t xml:space="preserve"> on June 15, 2016</w:t>
            </w:r>
          </w:p>
        </w:tc>
      </w:tr>
    </w:tbl>
    <w:p w:rsidR="009D5746" w:rsidRDefault="009D5746" w:rsidP="000052DB">
      <w:pPr>
        <w:pStyle w:val="Normal-aftertable"/>
      </w:pPr>
      <w:r>
        <w:t xml:space="preserve">While megawatt hours sold stayed essentially flat, </w:t>
      </w:r>
      <w:r w:rsidR="00542094">
        <w:t>PPL EU’s operating expenses less purchased power</w:t>
      </w:r>
      <w:r>
        <w:t xml:space="preserve"> have increased at a rate of 6.55% per year during the 2011 to 2015 timeframe or a total of 28.8% since 2011.  And, although it’s purchased power costs have decreased at a rate of 3.58% per year for a total decrease of 13.6% since 2011, its total utility operating expenses have still increased at an annualized rate of 2.34% per year during the same period and 9.69% total during that timeframe. As a point of reference, the average annual Consumer Price Index for this period increased by 1.7% per year.  The generalized decrease and leveling of purchased power costs since 2010 have served to partially ameliorate the impacts of the non-purchased power expenses on the total utility operating expenses.</w:t>
      </w:r>
    </w:p>
    <w:p w:rsidR="007522DC" w:rsidRDefault="007522DC" w:rsidP="000052DB">
      <w:pPr>
        <w:pStyle w:val="Normal-aftertable"/>
      </w:pPr>
      <w:r>
        <w:t>As part of this audit, an analysis of PPL EU’s performance in n</w:t>
      </w:r>
      <w:r w:rsidR="00AC0FFA">
        <w:t>umerous cost categories</w:t>
      </w:r>
      <w:r>
        <w:t xml:space="preserve"> versus the performance of five other Pennsylvania panel utilities was performed for the 2010 to 2014 timef</w:t>
      </w:r>
      <w:r w:rsidR="00AC0FFA">
        <w:t xml:space="preserve">rame.  PPL EU’s </w:t>
      </w:r>
      <w:r w:rsidR="001F510C">
        <w:t xml:space="preserve">operations and maintenance </w:t>
      </w:r>
      <w:r w:rsidR="00AC0FFA">
        <w:t>costs</w:t>
      </w:r>
      <w:r w:rsidR="001F510C">
        <w:t xml:space="preserve"> per customer</w:t>
      </w:r>
      <w:r w:rsidR="00AC0FFA">
        <w:t xml:space="preserve"> substantially exceeded </w:t>
      </w:r>
      <w:r>
        <w:t>its Pennsylvania peers</w:t>
      </w:r>
      <w:r w:rsidR="00FF6367">
        <w:t xml:space="preserve"> in </w:t>
      </w:r>
      <w:r w:rsidR="00542094">
        <w:t>several categories</w:t>
      </w:r>
      <w:r>
        <w:t>, in particular</w:t>
      </w:r>
      <w:r w:rsidR="000779ED">
        <w:t>,</w:t>
      </w:r>
      <w:r>
        <w:t xml:space="preserve"> in Transmission, Distribution, and Customer Service</w:t>
      </w:r>
      <w:r w:rsidR="00542094">
        <w:t>s</w:t>
      </w:r>
      <w:r>
        <w:t>.</w:t>
      </w:r>
      <w:r w:rsidR="00371FC0">
        <w:t xml:space="preserve"> Additionally, a benchmarking </w:t>
      </w:r>
      <w:r w:rsidR="003057E4">
        <w:t>analysis complete</w:t>
      </w:r>
      <w:r w:rsidR="00371FC0">
        <w:t>d by an international consulting firm</w:t>
      </w:r>
      <w:r w:rsidR="003057E4">
        <w:t xml:space="preserve"> in March 2015</w:t>
      </w:r>
      <w:r w:rsidR="00371FC0">
        <w:t xml:space="preserve"> indicated PPL EU’s cost management performance was below average</w:t>
      </w:r>
      <w:r w:rsidR="003057E4">
        <w:t xml:space="preserve"> compared to the study peer group</w:t>
      </w:r>
      <w:r w:rsidR="00371FC0">
        <w:t xml:space="preserve"> </w:t>
      </w:r>
      <w:r w:rsidR="003057E4">
        <w:t xml:space="preserve">and </w:t>
      </w:r>
      <w:r w:rsidR="00494D51">
        <w:t xml:space="preserve">had been </w:t>
      </w:r>
      <w:r w:rsidR="003057E4">
        <w:t xml:space="preserve">deteriorating </w:t>
      </w:r>
      <w:r w:rsidR="00371FC0">
        <w:t xml:space="preserve">in several </w:t>
      </w:r>
      <w:r w:rsidR="003057E4">
        <w:t xml:space="preserve">cost </w:t>
      </w:r>
      <w:r w:rsidR="00371FC0">
        <w:t xml:space="preserve">categories. </w:t>
      </w:r>
      <w:r>
        <w:t xml:space="preserve">  </w:t>
      </w:r>
    </w:p>
    <w:p w:rsidR="00B1770C" w:rsidRPr="00B1770C" w:rsidRDefault="00B1770C" w:rsidP="00B1770C">
      <w:pPr>
        <w:pStyle w:val="Normal-aftertable"/>
      </w:pPr>
      <w:r w:rsidRPr="00B1770C">
        <w:t xml:space="preserve">PPL EU is attempting to reduce its operating expenses by flattening the organization and focusing on core competencies to reduce any unnecessary costs.  It has significantly reduced the number of employees.  </w:t>
      </w:r>
      <w:proofErr w:type="gramStart"/>
      <w:r w:rsidRPr="00B1770C">
        <w:t>For example, in Distribution Operations, staffing was reduced by 100 positions in 2014 through attrition another 125 positions in 2015.</w:t>
      </w:r>
      <w:proofErr w:type="gramEnd"/>
      <w:r w:rsidRPr="00B1770C">
        <w:t xml:space="preserve">  Overall, PPL EU staffing decreased from a high of 2,311 in 2012 to 1,935 in 2015, a reduction of 376 positions.  However, 67 of those positions were transferred to PPL EUS and were not eliminated.  Net of the PPL EUS transfers, total positions eliminated were 309, or 13%. </w:t>
      </w:r>
    </w:p>
    <w:p w:rsidR="00144C8A" w:rsidRDefault="008E1CB9" w:rsidP="000052DB">
      <w:pPr>
        <w:pStyle w:val="Normal-aftertable"/>
      </w:pPr>
      <w:r>
        <w:lastRenderedPageBreak/>
        <w:t>Management</w:t>
      </w:r>
      <w:r w:rsidR="000052DB">
        <w:t xml:space="preserve"> also</w:t>
      </w:r>
      <w:r>
        <w:t xml:space="preserve"> intends</w:t>
      </w:r>
      <w:r w:rsidR="00BC2FE5" w:rsidRPr="00BC2FE5">
        <w:t xml:space="preserve"> to automate functions wher</w:t>
      </w:r>
      <w:r>
        <w:t>ever possible</w:t>
      </w:r>
      <w:r w:rsidR="000052DB">
        <w:t xml:space="preserve"> to reduce labor costs</w:t>
      </w:r>
      <w:r w:rsidR="00BC2FE5" w:rsidRPr="00BC2FE5">
        <w:t>.</w:t>
      </w:r>
      <w:r>
        <w:t xml:space="preserve">  This includes</w:t>
      </w:r>
      <w:r w:rsidR="00BC2FE5" w:rsidRPr="00BC2FE5">
        <w:t xml:space="preserve"> improving pole attachment efficiency, facility records</w:t>
      </w:r>
      <w:r w:rsidR="00B54375">
        <w:t>,</w:t>
      </w:r>
      <w:r w:rsidR="00BC2FE5" w:rsidRPr="00BC2FE5">
        <w:t xml:space="preserve"> and changing work practices to permit employees to perform a wider range of work.  </w:t>
      </w:r>
      <w:r w:rsidR="000052DB">
        <w:t>In that vein</w:t>
      </w:r>
      <w:r w:rsidR="00BC2FE5" w:rsidRPr="00BC2FE5">
        <w:t>, mechanics are now doing civil</w:t>
      </w:r>
      <w:r w:rsidR="00234825">
        <w:t xml:space="preserve"> construction</w:t>
      </w:r>
      <w:r w:rsidR="00BC2FE5" w:rsidRPr="00BC2FE5">
        <w:t xml:space="preserve"> work </w:t>
      </w:r>
      <w:r w:rsidR="00B54375">
        <w:t>that</w:t>
      </w:r>
      <w:r w:rsidR="00BC2FE5" w:rsidRPr="00BC2FE5">
        <w:t xml:space="preserve"> they </w:t>
      </w:r>
      <w:r w:rsidR="00B54375">
        <w:t>did not do</w:t>
      </w:r>
      <w:r w:rsidR="00BC2FE5" w:rsidRPr="00BC2FE5">
        <w:t xml:space="preserve"> in the past.</w:t>
      </w:r>
      <w:r w:rsidR="00AC0FFA" w:rsidRPr="00AC0FFA">
        <w:t xml:space="preserve"> </w:t>
      </w:r>
      <w:r w:rsidR="00AC0FFA">
        <w:t>PPL EU management’s</w:t>
      </w:r>
      <w:r w:rsidR="00AC0FFA" w:rsidRPr="00BC2FE5">
        <w:t xml:space="preserve"> intention is to streamline and flatten the organization further.</w:t>
      </w:r>
      <w:r w:rsidR="00BC2FE5" w:rsidRPr="00BC2FE5">
        <w:t xml:space="preserve">  </w:t>
      </w:r>
    </w:p>
    <w:p w:rsidR="00565959" w:rsidRPr="00F77FEC" w:rsidRDefault="00BC2FE5" w:rsidP="00C65C28">
      <w:r w:rsidRPr="00BC2FE5">
        <w:t>Overall, the greatest emphasis is on productivity and work management.  This includes job analysis and work unit costing to drive productivity</w:t>
      </w:r>
      <w:r w:rsidR="00B54375">
        <w:t xml:space="preserve"> improvements</w:t>
      </w:r>
      <w:r w:rsidRPr="00BC2FE5">
        <w:t>.</w:t>
      </w:r>
      <w:r w:rsidR="00DA0E9D">
        <w:t xml:space="preserve">  Whether management’s</w:t>
      </w:r>
      <w:r w:rsidR="000052DB">
        <w:t xml:space="preserve"> efforts will </w:t>
      </w:r>
      <w:r w:rsidR="00DA0E9D">
        <w:t xml:space="preserve">succeed remains to be seen; based on 2011 to 2015 data, PPL EU operating cost containment efforts have not been particularly effective. </w:t>
      </w:r>
    </w:p>
    <w:p w:rsidR="00652B0E" w:rsidRDefault="00CA136A" w:rsidP="0049591B">
      <w:pPr>
        <w:pStyle w:val="Findings"/>
      </w:pPr>
      <w:r>
        <w:t>Neither</w:t>
      </w:r>
      <w:r w:rsidR="005D2D2D">
        <w:t xml:space="preserve"> </w:t>
      </w:r>
      <w:r w:rsidR="00606EBA">
        <w:t xml:space="preserve">PPL Corporation </w:t>
      </w:r>
      <w:r>
        <w:t>n</w:t>
      </w:r>
      <w:r w:rsidR="00606EBA">
        <w:t xml:space="preserve">or </w:t>
      </w:r>
      <w:r w:rsidR="000A6BF3">
        <w:t>PPL EU</w:t>
      </w:r>
      <w:r w:rsidR="00BD6153">
        <w:t xml:space="preserve"> </w:t>
      </w:r>
      <w:r>
        <w:t xml:space="preserve">employ a </w:t>
      </w:r>
      <w:r w:rsidR="00BD6153">
        <w:t xml:space="preserve">strategic planning process </w:t>
      </w:r>
      <w:r w:rsidR="005F1E8C">
        <w:t xml:space="preserve">or </w:t>
      </w:r>
      <w:r>
        <w:t xml:space="preserve">develop a strategic </w:t>
      </w:r>
      <w:r w:rsidR="005F1E8C">
        <w:t>plan.</w:t>
      </w:r>
    </w:p>
    <w:p w:rsidR="00CE38BA" w:rsidRDefault="00CA136A" w:rsidP="00CE38BA">
      <w:r>
        <w:t xml:space="preserve">PPL Corporation and </w:t>
      </w:r>
      <w:r w:rsidR="00CE38BA">
        <w:t>PPL EU develop</w:t>
      </w:r>
      <w:r>
        <w:t xml:space="preserve"> and employ</w:t>
      </w:r>
      <w:r w:rsidR="00CE38BA">
        <w:t xml:space="preserve"> annual business plan</w:t>
      </w:r>
      <w:r w:rsidR="008B72E1">
        <w:t>ning</w:t>
      </w:r>
      <w:r>
        <w:t xml:space="preserve"> techniques to manage and monitor their</w:t>
      </w:r>
      <w:r w:rsidR="007547BF">
        <w:t xml:space="preserve"> activities</w:t>
      </w:r>
      <w:r w:rsidR="0047627B">
        <w:t xml:space="preserve"> and develop</w:t>
      </w:r>
      <w:r w:rsidR="008B72E1">
        <w:t xml:space="preserve"> five year operating</w:t>
      </w:r>
      <w:r w:rsidR="00D3601D">
        <w:t xml:space="preserve"> expense</w:t>
      </w:r>
      <w:r w:rsidR="008B72E1">
        <w:t xml:space="preserve"> and capital </w:t>
      </w:r>
      <w:r w:rsidR="00D3601D">
        <w:t>budgets</w:t>
      </w:r>
      <w:r w:rsidR="00F03CD4">
        <w:t xml:space="preserve">. </w:t>
      </w:r>
      <w:r w:rsidR="00183BC3">
        <w:t xml:space="preserve"> </w:t>
      </w:r>
      <w:r w:rsidR="0047627B">
        <w:t>However, a</w:t>
      </w:r>
      <w:r w:rsidR="00CE38BA">
        <w:t xml:space="preserve"> strategic plan is not developed and a strategic planning process is not utilized</w:t>
      </w:r>
      <w:r w:rsidR="00D3601D">
        <w:t xml:space="preserve"> by either entity</w:t>
      </w:r>
      <w:r w:rsidR="00CE38BA">
        <w:t>.</w:t>
      </w:r>
      <w:r w:rsidR="008B72E1">
        <w:t xml:space="preserve">  </w:t>
      </w:r>
    </w:p>
    <w:p w:rsidR="007E1B3F" w:rsidRPr="00A4650E" w:rsidRDefault="00DA0E9D" w:rsidP="0049591B">
      <w:pPr>
        <w:pStyle w:val="Findings"/>
      </w:pPr>
      <w:r>
        <w:t xml:space="preserve">Although </w:t>
      </w:r>
      <w:r w:rsidR="007E1B3F" w:rsidRPr="00A4650E">
        <w:t>PPL EU</w:t>
      </w:r>
      <w:r w:rsidR="001F0CE2">
        <w:t xml:space="preserve"> management</w:t>
      </w:r>
      <w:r w:rsidR="007E1B3F" w:rsidRPr="00A4650E">
        <w:t xml:space="preserve"> has</w:t>
      </w:r>
      <w:r w:rsidR="001F0CE2">
        <w:t xml:space="preserve"> taken aggressive measures to improve employee safety performance</w:t>
      </w:r>
      <w:r w:rsidR="00797E86">
        <w:t>,</w:t>
      </w:r>
      <w:r w:rsidR="001F0CE2">
        <w:t xml:space="preserve"> </w:t>
      </w:r>
      <w:r w:rsidR="00586629">
        <w:t xml:space="preserve">2015 </w:t>
      </w:r>
      <w:r w:rsidR="006A7D44">
        <w:t xml:space="preserve">safety </w:t>
      </w:r>
      <w:r w:rsidR="00586629">
        <w:t>performance</w:t>
      </w:r>
      <w:r w:rsidR="00D1332C">
        <w:t xml:space="preserve"> </w:t>
      </w:r>
      <w:r w:rsidR="006A7D44">
        <w:t>declined from</w:t>
      </w:r>
      <w:r w:rsidR="00D1332C">
        <w:t xml:space="preserve"> 2014 results </w:t>
      </w:r>
      <w:r w:rsidR="006A7D44">
        <w:t xml:space="preserve">and none of the </w:t>
      </w:r>
      <w:r w:rsidR="00586629">
        <w:t xml:space="preserve"> </w:t>
      </w:r>
      <w:r w:rsidR="00DA1CE8">
        <w:t xml:space="preserve">2015 </w:t>
      </w:r>
      <w:r w:rsidR="0085688A">
        <w:t xml:space="preserve">PPL EU </w:t>
      </w:r>
      <w:r w:rsidR="00586629">
        <w:t>safety performance targets</w:t>
      </w:r>
      <w:r w:rsidR="006A7D44">
        <w:t xml:space="preserve"> were met except</w:t>
      </w:r>
      <w:r w:rsidR="00586629">
        <w:t xml:space="preserve"> one</w:t>
      </w:r>
      <w:r w:rsidR="000933C6" w:rsidRPr="00A4650E">
        <w:t>.</w:t>
      </w:r>
      <w:r w:rsidR="007E1B3F" w:rsidRPr="00A4650E">
        <w:t xml:space="preserve"> </w:t>
      </w:r>
    </w:p>
    <w:p w:rsidR="00933480" w:rsidRPr="000D142C" w:rsidRDefault="006A7D44" w:rsidP="000D142C">
      <w:r>
        <w:t>The table b</w:t>
      </w:r>
      <w:r w:rsidR="002D4CB9">
        <w:t xml:space="preserve">elow </w:t>
      </w:r>
      <w:r>
        <w:t>shows</w:t>
      </w:r>
      <w:r w:rsidR="002D4CB9">
        <w:t xml:space="preserve"> the past five</w:t>
      </w:r>
      <w:r w:rsidR="00E124D7">
        <w:t xml:space="preserve"> years of </w:t>
      </w:r>
      <w:r w:rsidR="00151AC2">
        <w:t xml:space="preserve">PPL EU </w:t>
      </w:r>
      <w:r w:rsidR="00E124D7">
        <w:t>OSHA-related accident trend data</w:t>
      </w:r>
      <w:r w:rsidR="00D73F07">
        <w:t xml:space="preserve"> with E</w:t>
      </w:r>
      <w:r w:rsidR="00760B6E">
        <w:t xml:space="preserve">dison </w:t>
      </w:r>
      <w:r w:rsidR="00D73F07">
        <w:t>E</w:t>
      </w:r>
      <w:r w:rsidR="00760B6E">
        <w:t xml:space="preserve">lectric </w:t>
      </w:r>
      <w:r w:rsidR="00D73F07">
        <w:t>I</w:t>
      </w:r>
      <w:r w:rsidR="00760B6E">
        <w:t>nstitute (EEI)</w:t>
      </w:r>
      <w:r w:rsidR="00D73F07">
        <w:t xml:space="preserve"> quartile ranking</w:t>
      </w:r>
      <w:r w:rsidR="00583C1E">
        <w:t>s</w:t>
      </w:r>
      <w:r w:rsidR="003B2E80">
        <w:t xml:space="preserve"> (e.g., “Q3”</w:t>
      </w:r>
      <w:r w:rsidR="00542094">
        <w:t xml:space="preserve"> for third quartile</w:t>
      </w:r>
      <w:r w:rsidR="00D1332C">
        <w:t>)</w:t>
      </w:r>
      <w:r w:rsidR="00D73F07">
        <w:t xml:space="preserve"> </w:t>
      </w:r>
      <w:r w:rsidR="00760B6E">
        <w:t xml:space="preserve">in </w:t>
      </w:r>
      <w:r w:rsidR="00D73F07">
        <w:t xml:space="preserve">each category </w:t>
      </w:r>
      <w:r w:rsidR="00760B6E">
        <w:t>for</w:t>
      </w:r>
      <w:r w:rsidR="00583C1E">
        <w:t xml:space="preserve"> </w:t>
      </w:r>
      <w:r w:rsidR="00D73F07">
        <w:t>each year shown in pare</w:t>
      </w:r>
      <w:r w:rsidR="002D4CB9">
        <w:t>n</w:t>
      </w:r>
      <w:r w:rsidR="00D73F07">
        <w:t>theses</w:t>
      </w:r>
      <w:r w:rsidR="00E124D7">
        <w:t>.</w:t>
      </w:r>
    </w:p>
    <w:p w:rsidR="00E124D7" w:rsidRPr="00B033A3" w:rsidRDefault="00356110" w:rsidP="00356110">
      <w:pPr>
        <w:pStyle w:val="Caption"/>
      </w:pPr>
      <w:bookmarkStart w:id="33" w:name="_Toc464552940"/>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14</w:t>
      </w:r>
      <w:r w:rsidR="00CB2B2A">
        <w:rPr>
          <w:noProof/>
        </w:rPr>
        <w:fldChar w:fldCharType="end"/>
      </w:r>
      <w:r w:rsidR="00241C4F">
        <w:br/>
      </w:r>
      <w:r w:rsidR="00E124D7">
        <w:t>OSHA Related Accident Trends 2011–2014</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4694"/>
        <w:gridCol w:w="1033"/>
        <w:gridCol w:w="1033"/>
        <w:gridCol w:w="1033"/>
        <w:gridCol w:w="764"/>
        <w:gridCol w:w="1033"/>
      </w:tblGrid>
      <w:tr w:rsidR="0032290C" w:rsidRPr="00E41F64" w:rsidTr="00933480">
        <w:trPr>
          <w:trHeight w:val="557"/>
          <w:tblHeader/>
          <w:jc w:val="center"/>
        </w:trPr>
        <w:tc>
          <w:tcPr>
            <w:tcW w:w="4695" w:type="dxa"/>
            <w:shd w:val="clear" w:color="auto" w:fill="A5CD7E"/>
            <w:vAlign w:val="center"/>
          </w:tcPr>
          <w:p w:rsidR="0032290C" w:rsidRPr="00E41F64" w:rsidRDefault="00D73F07" w:rsidP="00933480">
            <w:pPr>
              <w:spacing w:before="120"/>
              <w:jc w:val="center"/>
              <w:rPr>
                <w:rFonts w:cs="Arial"/>
                <w:b/>
                <w:szCs w:val="24"/>
              </w:rPr>
            </w:pPr>
            <w:r>
              <w:rPr>
                <w:rFonts w:cs="Arial"/>
                <w:b/>
                <w:szCs w:val="24"/>
              </w:rPr>
              <w:t>OSHA Category</w:t>
            </w:r>
            <w:r w:rsidR="0032290C" w:rsidRPr="00E41F64">
              <w:rPr>
                <w:rFonts w:cs="Arial"/>
                <w:b/>
                <w:szCs w:val="24"/>
              </w:rPr>
              <w:br/>
              <w:t>Per 200,000 Work Hours</w:t>
            </w:r>
          </w:p>
        </w:tc>
        <w:tc>
          <w:tcPr>
            <w:tcW w:w="0" w:type="auto"/>
            <w:shd w:val="clear" w:color="auto" w:fill="A5CD7E"/>
            <w:vAlign w:val="center"/>
          </w:tcPr>
          <w:p w:rsidR="0032290C" w:rsidRPr="00E41F64" w:rsidRDefault="0032290C" w:rsidP="00933480">
            <w:pPr>
              <w:spacing w:before="120"/>
              <w:jc w:val="center"/>
              <w:rPr>
                <w:rFonts w:cs="Arial"/>
                <w:b/>
                <w:szCs w:val="24"/>
              </w:rPr>
            </w:pPr>
            <w:r w:rsidRPr="00E41F64">
              <w:rPr>
                <w:rFonts w:cs="Arial"/>
                <w:b/>
                <w:szCs w:val="24"/>
              </w:rPr>
              <w:t>2011</w:t>
            </w:r>
          </w:p>
        </w:tc>
        <w:tc>
          <w:tcPr>
            <w:tcW w:w="0" w:type="auto"/>
            <w:shd w:val="clear" w:color="auto" w:fill="A5CD7E"/>
            <w:vAlign w:val="center"/>
          </w:tcPr>
          <w:p w:rsidR="0032290C" w:rsidRPr="00E41F64" w:rsidRDefault="0032290C" w:rsidP="00933480">
            <w:pPr>
              <w:spacing w:before="120"/>
              <w:jc w:val="center"/>
              <w:rPr>
                <w:rFonts w:cs="Arial"/>
                <w:b/>
                <w:szCs w:val="24"/>
              </w:rPr>
            </w:pPr>
            <w:r w:rsidRPr="00E41F64">
              <w:rPr>
                <w:rFonts w:cs="Arial"/>
                <w:b/>
                <w:szCs w:val="24"/>
              </w:rPr>
              <w:t>2012</w:t>
            </w:r>
          </w:p>
        </w:tc>
        <w:tc>
          <w:tcPr>
            <w:tcW w:w="0" w:type="auto"/>
            <w:shd w:val="clear" w:color="auto" w:fill="A5CD7E"/>
            <w:vAlign w:val="center"/>
          </w:tcPr>
          <w:p w:rsidR="0032290C" w:rsidRPr="00E41F64" w:rsidRDefault="0032290C" w:rsidP="00933480">
            <w:pPr>
              <w:spacing w:before="120"/>
              <w:jc w:val="center"/>
              <w:rPr>
                <w:rFonts w:cs="Arial"/>
                <w:b/>
                <w:szCs w:val="24"/>
              </w:rPr>
            </w:pPr>
            <w:r w:rsidRPr="00E41F64">
              <w:rPr>
                <w:rFonts w:cs="Arial"/>
                <w:b/>
                <w:szCs w:val="24"/>
              </w:rPr>
              <w:t>2013</w:t>
            </w:r>
          </w:p>
        </w:tc>
        <w:tc>
          <w:tcPr>
            <w:tcW w:w="0" w:type="auto"/>
            <w:shd w:val="clear" w:color="auto" w:fill="A5CD7E"/>
            <w:vAlign w:val="center"/>
          </w:tcPr>
          <w:p w:rsidR="0032290C" w:rsidRPr="00E41F64" w:rsidRDefault="0032290C" w:rsidP="00933480">
            <w:pPr>
              <w:spacing w:before="120"/>
              <w:jc w:val="center"/>
              <w:rPr>
                <w:rFonts w:cs="Arial"/>
                <w:b/>
                <w:szCs w:val="24"/>
              </w:rPr>
            </w:pPr>
            <w:r w:rsidRPr="00E41F64">
              <w:rPr>
                <w:rFonts w:cs="Arial"/>
                <w:b/>
                <w:szCs w:val="24"/>
              </w:rPr>
              <w:t>2014</w:t>
            </w:r>
          </w:p>
        </w:tc>
        <w:tc>
          <w:tcPr>
            <w:tcW w:w="0" w:type="auto"/>
            <w:shd w:val="clear" w:color="auto" w:fill="A5CD7E"/>
            <w:vAlign w:val="center"/>
          </w:tcPr>
          <w:p w:rsidR="0032290C" w:rsidRPr="00E41F64" w:rsidRDefault="0032290C" w:rsidP="00933480">
            <w:pPr>
              <w:spacing w:before="120"/>
              <w:jc w:val="center"/>
              <w:rPr>
                <w:rFonts w:cs="Arial"/>
                <w:b/>
                <w:szCs w:val="24"/>
              </w:rPr>
            </w:pPr>
            <w:r w:rsidRPr="00E41F64">
              <w:rPr>
                <w:rFonts w:cs="Arial"/>
                <w:b/>
                <w:szCs w:val="24"/>
              </w:rPr>
              <w:t>2015</w:t>
            </w:r>
          </w:p>
        </w:tc>
      </w:tr>
      <w:tr w:rsidR="0032290C" w:rsidRPr="00E41F64" w:rsidTr="00933480">
        <w:trPr>
          <w:jc w:val="center"/>
        </w:trPr>
        <w:tc>
          <w:tcPr>
            <w:tcW w:w="4695" w:type="dxa"/>
            <w:vAlign w:val="center"/>
          </w:tcPr>
          <w:p w:rsidR="0032290C" w:rsidRPr="00E41F64" w:rsidRDefault="0032290C" w:rsidP="006A7D44">
            <w:pPr>
              <w:spacing w:after="0"/>
              <w:jc w:val="center"/>
              <w:rPr>
                <w:rFonts w:cs="Arial"/>
                <w:szCs w:val="24"/>
              </w:rPr>
            </w:pPr>
            <w:r w:rsidRPr="00E41F64">
              <w:rPr>
                <w:rFonts w:cs="Arial"/>
                <w:szCs w:val="24"/>
              </w:rPr>
              <w:t>Occupational injuries and illnesses incidence rates</w:t>
            </w:r>
          </w:p>
        </w:tc>
        <w:tc>
          <w:tcPr>
            <w:tcW w:w="0" w:type="auto"/>
            <w:vAlign w:val="center"/>
          </w:tcPr>
          <w:p w:rsidR="0032290C" w:rsidRPr="00E41F64" w:rsidRDefault="0032290C" w:rsidP="00412E87">
            <w:pPr>
              <w:spacing w:after="0"/>
              <w:jc w:val="center"/>
              <w:rPr>
                <w:rFonts w:cs="Arial"/>
                <w:szCs w:val="24"/>
              </w:rPr>
            </w:pPr>
            <w:r w:rsidRPr="00E41F64">
              <w:rPr>
                <w:rFonts w:cs="Arial"/>
                <w:szCs w:val="24"/>
              </w:rPr>
              <w:t>2.5 (Q3)</w:t>
            </w:r>
          </w:p>
        </w:tc>
        <w:tc>
          <w:tcPr>
            <w:tcW w:w="0" w:type="auto"/>
            <w:vAlign w:val="center"/>
          </w:tcPr>
          <w:p w:rsidR="0032290C" w:rsidRPr="00E41F64" w:rsidRDefault="0032290C" w:rsidP="00412E87">
            <w:pPr>
              <w:spacing w:after="0"/>
              <w:jc w:val="center"/>
              <w:rPr>
                <w:rFonts w:cs="Arial"/>
                <w:szCs w:val="24"/>
              </w:rPr>
            </w:pPr>
            <w:r w:rsidRPr="00E41F64">
              <w:rPr>
                <w:rFonts w:cs="Arial"/>
                <w:szCs w:val="24"/>
              </w:rPr>
              <w:t>2.0 (Q2)</w:t>
            </w:r>
          </w:p>
        </w:tc>
        <w:tc>
          <w:tcPr>
            <w:tcW w:w="0" w:type="auto"/>
            <w:vAlign w:val="center"/>
          </w:tcPr>
          <w:p w:rsidR="0032290C" w:rsidRPr="00E41F64" w:rsidRDefault="0032290C" w:rsidP="00412E87">
            <w:pPr>
              <w:spacing w:after="0"/>
              <w:jc w:val="center"/>
              <w:rPr>
                <w:rFonts w:cs="Arial"/>
                <w:szCs w:val="24"/>
              </w:rPr>
            </w:pPr>
            <w:r w:rsidRPr="00E41F64">
              <w:rPr>
                <w:rFonts w:cs="Arial"/>
                <w:szCs w:val="24"/>
              </w:rPr>
              <w:t>2.5 (Q3)</w:t>
            </w:r>
          </w:p>
        </w:tc>
        <w:tc>
          <w:tcPr>
            <w:tcW w:w="0" w:type="auto"/>
            <w:vAlign w:val="center"/>
          </w:tcPr>
          <w:p w:rsidR="002313A0" w:rsidRDefault="0032290C" w:rsidP="00412E87">
            <w:pPr>
              <w:spacing w:after="0"/>
              <w:jc w:val="center"/>
              <w:rPr>
                <w:rFonts w:cs="Arial"/>
                <w:szCs w:val="24"/>
              </w:rPr>
            </w:pPr>
            <w:r w:rsidRPr="00E41F64">
              <w:rPr>
                <w:rFonts w:cs="Arial"/>
                <w:szCs w:val="24"/>
              </w:rPr>
              <w:t>2.0</w:t>
            </w:r>
          </w:p>
          <w:p w:rsidR="0032290C" w:rsidRPr="00E41F64" w:rsidRDefault="00D801C7" w:rsidP="00412E87">
            <w:pPr>
              <w:spacing w:after="0"/>
              <w:jc w:val="center"/>
              <w:rPr>
                <w:rFonts w:cs="Arial"/>
                <w:szCs w:val="24"/>
              </w:rPr>
            </w:pPr>
            <w:r>
              <w:rPr>
                <w:rFonts w:cs="Arial"/>
                <w:szCs w:val="24"/>
              </w:rPr>
              <w:t>(Q3)</w:t>
            </w:r>
          </w:p>
        </w:tc>
        <w:tc>
          <w:tcPr>
            <w:tcW w:w="0" w:type="auto"/>
          </w:tcPr>
          <w:p w:rsidR="0032290C" w:rsidRPr="00E41F64" w:rsidRDefault="00D801C7" w:rsidP="00801C5D">
            <w:pPr>
              <w:spacing w:after="0"/>
              <w:jc w:val="center"/>
              <w:rPr>
                <w:rFonts w:cs="Arial"/>
                <w:szCs w:val="24"/>
              </w:rPr>
            </w:pPr>
            <w:r>
              <w:rPr>
                <w:rFonts w:cs="Arial"/>
                <w:szCs w:val="24"/>
              </w:rPr>
              <w:t>1.7 (Q3)</w:t>
            </w:r>
          </w:p>
        </w:tc>
      </w:tr>
      <w:tr w:rsidR="0032290C" w:rsidRPr="00E41F64" w:rsidTr="00933480">
        <w:trPr>
          <w:jc w:val="center"/>
        </w:trPr>
        <w:tc>
          <w:tcPr>
            <w:tcW w:w="4695" w:type="dxa"/>
            <w:vAlign w:val="center"/>
          </w:tcPr>
          <w:p w:rsidR="0032290C" w:rsidRPr="00E41F64" w:rsidRDefault="0032290C" w:rsidP="006A7D44">
            <w:pPr>
              <w:spacing w:after="0"/>
              <w:jc w:val="center"/>
              <w:rPr>
                <w:rFonts w:cs="Arial"/>
                <w:szCs w:val="24"/>
              </w:rPr>
            </w:pPr>
            <w:r w:rsidRPr="00E41F64">
              <w:rPr>
                <w:rFonts w:cs="Arial"/>
                <w:szCs w:val="24"/>
              </w:rPr>
              <w:t>Days away, restricted, and transfer (DART) incidence rates</w:t>
            </w:r>
          </w:p>
        </w:tc>
        <w:tc>
          <w:tcPr>
            <w:tcW w:w="0" w:type="auto"/>
            <w:vAlign w:val="center"/>
          </w:tcPr>
          <w:p w:rsidR="0032290C" w:rsidRPr="00E41F64" w:rsidRDefault="0032290C" w:rsidP="00412E87">
            <w:pPr>
              <w:spacing w:after="0"/>
              <w:jc w:val="center"/>
              <w:rPr>
                <w:rFonts w:cs="Arial"/>
                <w:szCs w:val="24"/>
              </w:rPr>
            </w:pPr>
            <w:r w:rsidRPr="00E41F64">
              <w:rPr>
                <w:rFonts w:cs="Arial"/>
                <w:szCs w:val="24"/>
              </w:rPr>
              <w:t>1.5 (Q3)</w:t>
            </w:r>
          </w:p>
        </w:tc>
        <w:tc>
          <w:tcPr>
            <w:tcW w:w="0" w:type="auto"/>
            <w:vAlign w:val="center"/>
          </w:tcPr>
          <w:p w:rsidR="0032290C" w:rsidRPr="00E41F64" w:rsidRDefault="0032290C" w:rsidP="00A02E40">
            <w:pPr>
              <w:spacing w:after="0"/>
              <w:jc w:val="center"/>
              <w:rPr>
                <w:rFonts w:cs="Arial"/>
                <w:szCs w:val="24"/>
              </w:rPr>
            </w:pPr>
            <w:r w:rsidRPr="00E41F64">
              <w:rPr>
                <w:rFonts w:cs="Arial"/>
                <w:szCs w:val="24"/>
              </w:rPr>
              <w:t>1.0 (Q2)</w:t>
            </w:r>
          </w:p>
        </w:tc>
        <w:tc>
          <w:tcPr>
            <w:tcW w:w="0" w:type="auto"/>
            <w:vAlign w:val="center"/>
          </w:tcPr>
          <w:p w:rsidR="0032290C" w:rsidRPr="00E41F64" w:rsidRDefault="0032290C" w:rsidP="00412E87">
            <w:pPr>
              <w:spacing w:after="0"/>
              <w:jc w:val="center"/>
              <w:rPr>
                <w:rFonts w:cs="Arial"/>
                <w:szCs w:val="24"/>
              </w:rPr>
            </w:pPr>
            <w:r w:rsidRPr="00E41F64">
              <w:rPr>
                <w:rFonts w:cs="Arial"/>
                <w:szCs w:val="24"/>
              </w:rPr>
              <w:t>1.4 (Q3)</w:t>
            </w:r>
          </w:p>
        </w:tc>
        <w:tc>
          <w:tcPr>
            <w:tcW w:w="0" w:type="auto"/>
            <w:vAlign w:val="center"/>
          </w:tcPr>
          <w:p w:rsidR="002313A0" w:rsidRDefault="0032290C" w:rsidP="00412E87">
            <w:pPr>
              <w:spacing w:after="0"/>
              <w:jc w:val="center"/>
              <w:rPr>
                <w:rFonts w:cs="Arial"/>
                <w:szCs w:val="24"/>
              </w:rPr>
            </w:pPr>
            <w:r w:rsidRPr="00E41F64">
              <w:rPr>
                <w:rFonts w:cs="Arial"/>
                <w:szCs w:val="24"/>
              </w:rPr>
              <w:t>1.1</w:t>
            </w:r>
          </w:p>
          <w:p w:rsidR="0032290C" w:rsidRPr="00E41F64" w:rsidRDefault="00D801C7" w:rsidP="00412E87">
            <w:pPr>
              <w:spacing w:after="0"/>
              <w:jc w:val="center"/>
              <w:rPr>
                <w:rFonts w:cs="Arial"/>
                <w:szCs w:val="24"/>
              </w:rPr>
            </w:pPr>
            <w:r>
              <w:rPr>
                <w:rFonts w:cs="Arial"/>
                <w:szCs w:val="24"/>
              </w:rPr>
              <w:t>(Q3)</w:t>
            </w:r>
          </w:p>
        </w:tc>
        <w:tc>
          <w:tcPr>
            <w:tcW w:w="0" w:type="auto"/>
          </w:tcPr>
          <w:p w:rsidR="002313A0" w:rsidRDefault="00D801C7" w:rsidP="00801C5D">
            <w:pPr>
              <w:spacing w:after="0"/>
              <w:jc w:val="center"/>
              <w:rPr>
                <w:rFonts w:cs="Arial"/>
                <w:szCs w:val="24"/>
              </w:rPr>
            </w:pPr>
            <w:r>
              <w:rPr>
                <w:rFonts w:cs="Arial"/>
                <w:szCs w:val="24"/>
              </w:rPr>
              <w:t>1.2</w:t>
            </w:r>
          </w:p>
          <w:p w:rsidR="0032290C" w:rsidRPr="00E41F64" w:rsidRDefault="00D801C7" w:rsidP="00801C5D">
            <w:pPr>
              <w:spacing w:after="0"/>
              <w:jc w:val="center"/>
              <w:rPr>
                <w:rFonts w:cs="Arial"/>
                <w:szCs w:val="24"/>
              </w:rPr>
            </w:pPr>
            <w:r>
              <w:rPr>
                <w:rFonts w:cs="Arial"/>
                <w:szCs w:val="24"/>
              </w:rPr>
              <w:t>(Q3)</w:t>
            </w:r>
          </w:p>
        </w:tc>
      </w:tr>
      <w:tr w:rsidR="0032290C" w:rsidRPr="00E41F64" w:rsidTr="00933480">
        <w:trPr>
          <w:jc w:val="center"/>
        </w:trPr>
        <w:tc>
          <w:tcPr>
            <w:tcW w:w="4695" w:type="dxa"/>
            <w:vAlign w:val="center"/>
          </w:tcPr>
          <w:p w:rsidR="0032290C" w:rsidRPr="00E41F64" w:rsidRDefault="0032290C" w:rsidP="006A7D44">
            <w:pPr>
              <w:spacing w:after="0"/>
              <w:jc w:val="center"/>
              <w:rPr>
                <w:rFonts w:cs="Arial"/>
                <w:szCs w:val="24"/>
              </w:rPr>
            </w:pPr>
            <w:r w:rsidRPr="00E41F64">
              <w:rPr>
                <w:rFonts w:cs="Arial"/>
                <w:szCs w:val="24"/>
              </w:rPr>
              <w:t>Lost work day case rates</w:t>
            </w:r>
          </w:p>
        </w:tc>
        <w:tc>
          <w:tcPr>
            <w:tcW w:w="0" w:type="auto"/>
            <w:vAlign w:val="center"/>
          </w:tcPr>
          <w:p w:rsidR="0032290C" w:rsidRPr="00E41F64" w:rsidRDefault="0032290C" w:rsidP="00FC3F2B">
            <w:pPr>
              <w:spacing w:after="0"/>
              <w:jc w:val="center"/>
              <w:rPr>
                <w:rFonts w:cs="Arial"/>
                <w:szCs w:val="24"/>
              </w:rPr>
            </w:pPr>
            <w:r w:rsidRPr="00E41F64">
              <w:rPr>
                <w:rFonts w:cs="Arial"/>
                <w:szCs w:val="24"/>
              </w:rPr>
              <w:t>0.4 (Q2)</w:t>
            </w:r>
          </w:p>
        </w:tc>
        <w:tc>
          <w:tcPr>
            <w:tcW w:w="0" w:type="auto"/>
            <w:vAlign w:val="center"/>
          </w:tcPr>
          <w:p w:rsidR="0032290C" w:rsidRPr="00E41F64" w:rsidRDefault="0032290C" w:rsidP="00FC3F2B">
            <w:pPr>
              <w:spacing w:after="0"/>
              <w:jc w:val="center"/>
              <w:rPr>
                <w:rFonts w:cs="Arial"/>
                <w:szCs w:val="24"/>
              </w:rPr>
            </w:pPr>
            <w:r w:rsidRPr="00E41F64">
              <w:rPr>
                <w:rFonts w:cs="Arial"/>
                <w:szCs w:val="24"/>
              </w:rPr>
              <w:t>0.5 (Q2)</w:t>
            </w:r>
          </w:p>
        </w:tc>
        <w:tc>
          <w:tcPr>
            <w:tcW w:w="0" w:type="auto"/>
            <w:vAlign w:val="center"/>
          </w:tcPr>
          <w:p w:rsidR="0032290C" w:rsidRPr="00E41F64" w:rsidRDefault="0032290C" w:rsidP="00FC3F2B">
            <w:pPr>
              <w:spacing w:after="0"/>
              <w:jc w:val="center"/>
              <w:rPr>
                <w:rFonts w:cs="Arial"/>
                <w:szCs w:val="24"/>
              </w:rPr>
            </w:pPr>
            <w:r w:rsidRPr="00E41F64">
              <w:rPr>
                <w:rFonts w:cs="Arial"/>
                <w:szCs w:val="24"/>
              </w:rPr>
              <w:t>0.9 (Q4)</w:t>
            </w:r>
          </w:p>
        </w:tc>
        <w:tc>
          <w:tcPr>
            <w:tcW w:w="0" w:type="auto"/>
            <w:vAlign w:val="center"/>
          </w:tcPr>
          <w:p w:rsidR="002313A0" w:rsidRDefault="0032290C" w:rsidP="00FC3F2B">
            <w:pPr>
              <w:spacing w:after="0"/>
              <w:jc w:val="center"/>
              <w:rPr>
                <w:rFonts w:cs="Arial"/>
                <w:szCs w:val="24"/>
              </w:rPr>
            </w:pPr>
            <w:r w:rsidRPr="00E41F64">
              <w:rPr>
                <w:rFonts w:cs="Arial"/>
                <w:szCs w:val="24"/>
              </w:rPr>
              <w:t>0.3</w:t>
            </w:r>
          </w:p>
          <w:p w:rsidR="0032290C" w:rsidRPr="00E41F64" w:rsidRDefault="00D801C7" w:rsidP="00FC3F2B">
            <w:pPr>
              <w:spacing w:after="0"/>
              <w:jc w:val="center"/>
              <w:rPr>
                <w:rFonts w:cs="Arial"/>
                <w:szCs w:val="24"/>
              </w:rPr>
            </w:pPr>
            <w:r>
              <w:rPr>
                <w:rFonts w:cs="Arial"/>
                <w:szCs w:val="24"/>
              </w:rPr>
              <w:t>(Q4)</w:t>
            </w:r>
          </w:p>
        </w:tc>
        <w:tc>
          <w:tcPr>
            <w:tcW w:w="0" w:type="auto"/>
          </w:tcPr>
          <w:p w:rsidR="002313A0" w:rsidRDefault="00D801C7" w:rsidP="00801C5D">
            <w:pPr>
              <w:spacing w:after="0"/>
              <w:jc w:val="center"/>
              <w:rPr>
                <w:rFonts w:cs="Arial"/>
                <w:szCs w:val="24"/>
              </w:rPr>
            </w:pPr>
            <w:r>
              <w:rPr>
                <w:rFonts w:cs="Arial"/>
                <w:szCs w:val="24"/>
              </w:rPr>
              <w:t>0.5</w:t>
            </w:r>
          </w:p>
          <w:p w:rsidR="0032290C" w:rsidRPr="00E41F64" w:rsidRDefault="00D801C7" w:rsidP="00801C5D">
            <w:pPr>
              <w:spacing w:after="0"/>
              <w:jc w:val="center"/>
              <w:rPr>
                <w:rFonts w:cs="Arial"/>
                <w:szCs w:val="24"/>
              </w:rPr>
            </w:pPr>
            <w:r>
              <w:rPr>
                <w:rFonts w:cs="Arial"/>
                <w:szCs w:val="24"/>
              </w:rPr>
              <w:t>(Q3)</w:t>
            </w:r>
          </w:p>
        </w:tc>
      </w:tr>
      <w:tr w:rsidR="0032290C" w:rsidRPr="00E41F64" w:rsidTr="00933480">
        <w:trPr>
          <w:jc w:val="center"/>
        </w:trPr>
        <w:tc>
          <w:tcPr>
            <w:tcW w:w="4695" w:type="dxa"/>
            <w:vAlign w:val="center"/>
          </w:tcPr>
          <w:p w:rsidR="0032290C" w:rsidRPr="00E41F64" w:rsidRDefault="0032290C" w:rsidP="006A7D44">
            <w:pPr>
              <w:spacing w:after="0"/>
              <w:jc w:val="center"/>
              <w:rPr>
                <w:rFonts w:cs="Arial"/>
                <w:szCs w:val="24"/>
              </w:rPr>
            </w:pPr>
            <w:r w:rsidRPr="00E41F64">
              <w:rPr>
                <w:rFonts w:cs="Arial"/>
                <w:szCs w:val="24"/>
              </w:rPr>
              <w:t>Severity rates (Days)</w:t>
            </w:r>
          </w:p>
        </w:tc>
        <w:tc>
          <w:tcPr>
            <w:tcW w:w="0" w:type="auto"/>
            <w:vAlign w:val="center"/>
          </w:tcPr>
          <w:p w:rsidR="0032290C" w:rsidRPr="00E41F64" w:rsidRDefault="0032290C" w:rsidP="00FC3F2B">
            <w:pPr>
              <w:spacing w:after="0"/>
              <w:jc w:val="center"/>
              <w:rPr>
                <w:rFonts w:cs="Arial"/>
                <w:szCs w:val="24"/>
              </w:rPr>
            </w:pPr>
            <w:r w:rsidRPr="00E41F64">
              <w:rPr>
                <w:rFonts w:cs="Arial"/>
                <w:szCs w:val="24"/>
              </w:rPr>
              <w:t>45 (Q4)</w:t>
            </w:r>
          </w:p>
        </w:tc>
        <w:tc>
          <w:tcPr>
            <w:tcW w:w="0" w:type="auto"/>
            <w:vAlign w:val="center"/>
          </w:tcPr>
          <w:p w:rsidR="0032290C" w:rsidRPr="00E41F64" w:rsidRDefault="0032290C" w:rsidP="00FC3F2B">
            <w:pPr>
              <w:spacing w:after="0"/>
              <w:jc w:val="center"/>
              <w:rPr>
                <w:rFonts w:cs="Arial"/>
                <w:szCs w:val="24"/>
              </w:rPr>
            </w:pPr>
            <w:r w:rsidRPr="00E41F64">
              <w:rPr>
                <w:rFonts w:cs="Arial"/>
                <w:szCs w:val="24"/>
              </w:rPr>
              <w:t>56 (Q4)</w:t>
            </w:r>
          </w:p>
        </w:tc>
        <w:tc>
          <w:tcPr>
            <w:tcW w:w="0" w:type="auto"/>
            <w:vAlign w:val="center"/>
          </w:tcPr>
          <w:p w:rsidR="0032290C" w:rsidRPr="00E41F64" w:rsidRDefault="0032290C" w:rsidP="00A02E40">
            <w:pPr>
              <w:spacing w:after="0"/>
              <w:jc w:val="center"/>
              <w:rPr>
                <w:rFonts w:cs="Arial"/>
                <w:szCs w:val="24"/>
              </w:rPr>
            </w:pPr>
            <w:r w:rsidRPr="00E41F64">
              <w:rPr>
                <w:rFonts w:cs="Arial"/>
                <w:szCs w:val="24"/>
              </w:rPr>
              <w:t>58 (Q4)</w:t>
            </w:r>
          </w:p>
        </w:tc>
        <w:tc>
          <w:tcPr>
            <w:tcW w:w="0" w:type="auto"/>
            <w:vAlign w:val="center"/>
          </w:tcPr>
          <w:p w:rsidR="002313A0" w:rsidRDefault="0032290C" w:rsidP="00A02E40">
            <w:pPr>
              <w:spacing w:after="0"/>
              <w:jc w:val="center"/>
              <w:rPr>
                <w:rFonts w:cs="Arial"/>
                <w:szCs w:val="24"/>
              </w:rPr>
            </w:pPr>
            <w:r w:rsidRPr="00E41F64">
              <w:rPr>
                <w:rFonts w:cs="Arial"/>
                <w:szCs w:val="24"/>
              </w:rPr>
              <w:t>6.2</w:t>
            </w:r>
          </w:p>
          <w:p w:rsidR="0032290C" w:rsidRPr="00E41F64" w:rsidRDefault="00D801C7" w:rsidP="00A02E40">
            <w:pPr>
              <w:spacing w:after="0"/>
              <w:jc w:val="center"/>
              <w:rPr>
                <w:rFonts w:cs="Arial"/>
                <w:szCs w:val="24"/>
              </w:rPr>
            </w:pPr>
            <w:r>
              <w:rPr>
                <w:rFonts w:cs="Arial"/>
                <w:szCs w:val="24"/>
              </w:rPr>
              <w:t>(Q1)</w:t>
            </w:r>
          </w:p>
        </w:tc>
        <w:tc>
          <w:tcPr>
            <w:tcW w:w="0" w:type="auto"/>
          </w:tcPr>
          <w:p w:rsidR="002313A0" w:rsidRDefault="00D801C7" w:rsidP="00801C5D">
            <w:pPr>
              <w:spacing w:after="0"/>
              <w:jc w:val="center"/>
              <w:rPr>
                <w:rFonts w:cs="Arial"/>
                <w:szCs w:val="24"/>
              </w:rPr>
            </w:pPr>
            <w:r>
              <w:rPr>
                <w:rFonts w:cs="Arial"/>
                <w:szCs w:val="24"/>
              </w:rPr>
              <w:t>21.8</w:t>
            </w:r>
          </w:p>
          <w:p w:rsidR="0032290C" w:rsidRPr="00E41F64" w:rsidRDefault="00D801C7" w:rsidP="00801C5D">
            <w:pPr>
              <w:spacing w:after="0"/>
              <w:jc w:val="center"/>
              <w:rPr>
                <w:rFonts w:cs="Arial"/>
                <w:szCs w:val="24"/>
              </w:rPr>
            </w:pPr>
            <w:r>
              <w:rPr>
                <w:rFonts w:cs="Arial"/>
                <w:szCs w:val="24"/>
              </w:rPr>
              <w:t>(Q3)</w:t>
            </w:r>
          </w:p>
        </w:tc>
      </w:tr>
      <w:tr w:rsidR="0032290C" w:rsidRPr="00E41F64" w:rsidTr="00933480">
        <w:trPr>
          <w:jc w:val="center"/>
        </w:trPr>
        <w:tc>
          <w:tcPr>
            <w:tcW w:w="9378" w:type="dxa"/>
            <w:gridSpan w:val="6"/>
            <w:vAlign w:val="center"/>
          </w:tcPr>
          <w:p w:rsidR="0032290C" w:rsidRPr="00E41F64" w:rsidRDefault="0032290C" w:rsidP="0032290C">
            <w:pPr>
              <w:spacing w:after="0"/>
              <w:jc w:val="left"/>
              <w:rPr>
                <w:rFonts w:cs="Arial"/>
                <w:szCs w:val="24"/>
              </w:rPr>
            </w:pPr>
            <w:r w:rsidRPr="00E41F64">
              <w:rPr>
                <w:rFonts w:cs="Arial"/>
                <w:szCs w:val="24"/>
              </w:rPr>
              <w:t>Note:  Quartile performance</w:t>
            </w:r>
            <w:r w:rsidR="00583C1E">
              <w:rPr>
                <w:rFonts w:cs="Arial"/>
                <w:szCs w:val="24"/>
              </w:rPr>
              <w:t xml:space="preserve"> against EEI shown in parenthesi</w:t>
            </w:r>
            <w:r w:rsidRPr="00E41F64">
              <w:rPr>
                <w:rFonts w:cs="Arial"/>
                <w:szCs w:val="24"/>
              </w:rPr>
              <w:t>s</w:t>
            </w:r>
          </w:p>
        </w:tc>
      </w:tr>
      <w:tr w:rsidR="0032290C" w:rsidRPr="00E41F64" w:rsidTr="00933480">
        <w:trPr>
          <w:jc w:val="center"/>
        </w:trPr>
        <w:tc>
          <w:tcPr>
            <w:tcW w:w="9378" w:type="dxa"/>
            <w:gridSpan w:val="6"/>
            <w:vAlign w:val="center"/>
          </w:tcPr>
          <w:p w:rsidR="0032290C" w:rsidRPr="00E41F64" w:rsidRDefault="0032290C" w:rsidP="0032290C">
            <w:pPr>
              <w:spacing w:after="0"/>
              <w:jc w:val="left"/>
              <w:rPr>
                <w:rFonts w:cs="Arial"/>
                <w:szCs w:val="24"/>
              </w:rPr>
            </w:pPr>
            <w:r w:rsidRPr="00E41F64">
              <w:rPr>
                <w:rFonts w:cs="Arial"/>
                <w:szCs w:val="24"/>
              </w:rPr>
              <w:t>Source: DN 01-030</w:t>
            </w:r>
            <w:r w:rsidR="00D73F07">
              <w:rPr>
                <w:rFonts w:cs="Arial"/>
                <w:szCs w:val="24"/>
              </w:rPr>
              <w:t xml:space="preserve">; </w:t>
            </w:r>
            <w:r w:rsidR="00D73F07" w:rsidRPr="00E509E4">
              <w:t>Additional information provided by B. Johnson, PPL</w:t>
            </w:r>
            <w:r w:rsidR="00F96688">
              <w:t xml:space="preserve"> EUS</w:t>
            </w:r>
            <w:r w:rsidR="00D73F07" w:rsidRPr="00E509E4">
              <w:t xml:space="preserve"> on June 15, 2016</w:t>
            </w:r>
          </w:p>
        </w:tc>
      </w:tr>
    </w:tbl>
    <w:p w:rsidR="006A7D44" w:rsidRDefault="006A7D44" w:rsidP="006A7D44">
      <w:pPr>
        <w:pStyle w:val="Normal-aftertable"/>
      </w:pPr>
      <w:r>
        <w:t>Considerable management and organizational attention has been directed to employee safety.</w:t>
      </w:r>
      <w:r w:rsidR="00542094">
        <w:t xml:space="preserve">  S</w:t>
      </w:r>
      <w:r>
        <w:t xml:space="preserve">afety performance through 2014 showed modest improvement or at least comparable performance over the previous three years in each of the OSHA categories tracked.  However, 2015 performance fell short of 2014’s performance, declining in </w:t>
      </w:r>
      <w:r>
        <w:lastRenderedPageBreak/>
        <w:t>three of the four OSHA categories being tracked.  PPL EU reports that, although the number of accidents is higher than average, the severity of the resulting injuries was not.  Many of these accidents were slips and falls or ergonomic injuries where the weight lifted involved less than 10 pounds.</w:t>
      </w:r>
    </w:p>
    <w:p w:rsidR="00E124D7" w:rsidRDefault="00E124D7" w:rsidP="00E124D7">
      <w:pPr>
        <w:pStyle w:val="Normal-aftertable"/>
      </w:pPr>
      <w:r>
        <w:t xml:space="preserve">PPL EU is </w:t>
      </w:r>
      <w:r w:rsidR="00C615F8">
        <w:t xml:space="preserve">generally </w:t>
      </w:r>
      <w:r>
        <w:t xml:space="preserve">performing in the third quartile when measured against peers </w:t>
      </w:r>
      <w:r w:rsidR="00760B6E">
        <w:t>in the EEI</w:t>
      </w:r>
      <w:r>
        <w:t xml:space="preserve"> for all Transmission and Distribution companies (with more than 1,000 employees) in the United States</w:t>
      </w:r>
      <w:r w:rsidR="00C34091">
        <w:t>.</w:t>
      </w:r>
      <w:r w:rsidR="00542094">
        <w:t xml:space="preserve"> </w:t>
      </w:r>
      <w:r w:rsidR="001F0CE2">
        <w:t xml:space="preserve"> </w:t>
      </w:r>
      <w:r w:rsidR="00C34091">
        <w:t xml:space="preserve">Although the number of accidents has exceeded targets, the </w:t>
      </w:r>
      <w:r w:rsidR="00F20F25">
        <w:t xml:space="preserve">accident </w:t>
      </w:r>
      <w:r w:rsidR="00D801C7">
        <w:t>severity rate</w:t>
      </w:r>
      <w:r w:rsidR="00343F56">
        <w:t xml:space="preserve"> has</w:t>
      </w:r>
      <w:r w:rsidR="001F0CE2">
        <w:t xml:space="preserve"> improved</w:t>
      </w:r>
      <w:r w:rsidR="00343F56">
        <w:t>.</w:t>
      </w:r>
      <w:r>
        <w:t xml:space="preserve">  </w:t>
      </w:r>
      <w:r w:rsidR="00F20F25">
        <w:t>Overall</w:t>
      </w:r>
      <w:r w:rsidR="00FB2238">
        <w:t>, w</w:t>
      </w:r>
      <w:r w:rsidR="00BF0196" w:rsidRPr="00BF0196">
        <w:t xml:space="preserve">e believe that </w:t>
      </w:r>
      <w:r w:rsidR="00617612">
        <w:t xml:space="preserve">even </w:t>
      </w:r>
      <w:r w:rsidR="006A7D44">
        <w:t>stronger</w:t>
      </w:r>
      <w:r w:rsidR="00F20F25">
        <w:t xml:space="preserve"> </w:t>
      </w:r>
      <w:r w:rsidR="00BF0196" w:rsidRPr="00BF0196">
        <w:t>emphasis by PPL EU management on worker safety</w:t>
      </w:r>
      <w:r w:rsidR="006A7D44">
        <w:t xml:space="preserve"> and better programs</w:t>
      </w:r>
      <w:r w:rsidR="00BF0196" w:rsidRPr="00BF0196">
        <w:t xml:space="preserve"> </w:t>
      </w:r>
      <w:r w:rsidR="006A7D44">
        <w:t>are</w:t>
      </w:r>
      <w:r w:rsidR="00D73F07">
        <w:t xml:space="preserve"> needed</w:t>
      </w:r>
      <w:r w:rsidR="001F0CE2">
        <w:t xml:space="preserve"> to</w:t>
      </w:r>
      <w:r w:rsidR="00BF0196" w:rsidRPr="00BF0196">
        <w:t xml:space="preserve"> improve </w:t>
      </w:r>
      <w:r w:rsidR="00A31D2E">
        <w:t>safety</w:t>
      </w:r>
      <w:r w:rsidR="00494D51">
        <w:t xml:space="preserve"> performance</w:t>
      </w:r>
      <w:r w:rsidR="00BF0196">
        <w:t>.</w:t>
      </w:r>
    </w:p>
    <w:p w:rsidR="008B4FC6" w:rsidRPr="000D142C" w:rsidRDefault="00E124D7" w:rsidP="000D142C">
      <w:r>
        <w:t>PPL EU has established specific incident rate</w:t>
      </w:r>
      <w:r w:rsidR="002967C8">
        <w:t xml:space="preserve"> targets</w:t>
      </w:r>
      <w:r>
        <w:t xml:space="preserve"> for several ca</w:t>
      </w:r>
      <w:r w:rsidR="008C050A">
        <w:t>tegories of accidents for 2015 and</w:t>
      </w:r>
      <w:r>
        <w:t xml:space="preserve"> 2016 as shown below.</w:t>
      </w:r>
      <w:r w:rsidR="008C050A">
        <w:t xml:space="preserve"> </w:t>
      </w:r>
    </w:p>
    <w:p w:rsidR="00E124D7" w:rsidRPr="00B033A3" w:rsidRDefault="00356110" w:rsidP="00356110">
      <w:pPr>
        <w:pStyle w:val="Caption"/>
      </w:pPr>
      <w:bookmarkStart w:id="34" w:name="_Toc464552941"/>
      <w:r>
        <w:t xml:space="preserve">Exhibit </w:t>
      </w:r>
      <w:r w:rsidR="00CB2B2A">
        <w:fldChar w:fldCharType="begin"/>
      </w:r>
      <w:r w:rsidR="00EC053E">
        <w:instrText xml:space="preserve"> STYLEREF 1 \s </w:instrText>
      </w:r>
      <w:r w:rsidR="00CB2B2A">
        <w:fldChar w:fldCharType="separate"/>
      </w:r>
      <w:r w:rsidR="00CA3BDB">
        <w:rPr>
          <w:noProof/>
        </w:rPr>
        <w:t>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15</w:t>
      </w:r>
      <w:r w:rsidR="00CB2B2A">
        <w:rPr>
          <w:noProof/>
        </w:rPr>
        <w:fldChar w:fldCharType="end"/>
      </w:r>
      <w:r w:rsidR="00241C4F">
        <w:br/>
      </w:r>
      <w:r w:rsidR="00E124D7">
        <w:t xml:space="preserve">DART Safety </w:t>
      </w:r>
      <w:r w:rsidR="00F97D25">
        <w:t xml:space="preserve">Targets and </w:t>
      </w:r>
      <w:r w:rsidR="00E124D7">
        <w:t xml:space="preserve">Performance </w:t>
      </w:r>
      <w:r w:rsidR="002967C8">
        <w:t xml:space="preserve">for </w:t>
      </w:r>
      <w:r w:rsidR="00E124D7">
        <w:t>2015</w:t>
      </w:r>
      <w:r w:rsidR="002967C8">
        <w:t xml:space="preserve"> and</w:t>
      </w:r>
      <w:r w:rsidR="00F97D25">
        <w:t xml:space="preserve"> </w:t>
      </w:r>
      <w:r w:rsidR="00E124D7">
        <w:t>2016</w:t>
      </w:r>
      <w:bookmarkEnd w:id="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956"/>
        <w:gridCol w:w="1189"/>
        <w:gridCol w:w="1001"/>
        <w:gridCol w:w="755"/>
        <w:gridCol w:w="864"/>
        <w:gridCol w:w="813"/>
        <w:gridCol w:w="1072"/>
        <w:gridCol w:w="708"/>
        <w:gridCol w:w="1363"/>
        <w:gridCol w:w="869"/>
      </w:tblGrid>
      <w:tr w:rsidR="00E124D7" w:rsidTr="00933480">
        <w:trPr>
          <w:cantSplit/>
          <w:tblHeader/>
          <w:jc w:val="center"/>
        </w:trPr>
        <w:tc>
          <w:tcPr>
            <w:tcW w:w="956" w:type="dxa"/>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Year</w:t>
            </w:r>
          </w:p>
        </w:tc>
        <w:tc>
          <w:tcPr>
            <w:tcW w:w="0" w:type="auto"/>
            <w:shd w:val="clear" w:color="auto" w:fill="A5CD7E"/>
            <w:vAlign w:val="center"/>
          </w:tcPr>
          <w:p w:rsidR="00E124D7" w:rsidRPr="00E329D9" w:rsidRDefault="00E124D7" w:rsidP="00933480">
            <w:pPr>
              <w:spacing w:before="80" w:after="80"/>
              <w:ind w:left="-57" w:right="-101"/>
              <w:contextualSpacing/>
              <w:jc w:val="center"/>
              <w:rPr>
                <w:b/>
                <w:sz w:val="20"/>
                <w:szCs w:val="24"/>
              </w:rPr>
            </w:pPr>
            <w:r w:rsidRPr="00E329D9">
              <w:rPr>
                <w:b/>
                <w:sz w:val="20"/>
                <w:szCs w:val="24"/>
              </w:rPr>
              <w:t>Body Mechanics</w:t>
            </w:r>
          </w:p>
        </w:tc>
        <w:tc>
          <w:tcPr>
            <w:tcW w:w="0" w:type="auto"/>
            <w:shd w:val="clear" w:color="auto" w:fill="A5CD7E"/>
            <w:vAlign w:val="center"/>
          </w:tcPr>
          <w:p w:rsidR="00E124D7" w:rsidRPr="00E329D9" w:rsidRDefault="00E124D7" w:rsidP="00933480">
            <w:pPr>
              <w:spacing w:before="80" w:after="80"/>
              <w:ind w:left="-115"/>
              <w:contextualSpacing/>
              <w:jc w:val="center"/>
              <w:rPr>
                <w:b/>
                <w:sz w:val="20"/>
                <w:szCs w:val="24"/>
              </w:rPr>
            </w:pPr>
            <w:r>
              <w:rPr>
                <w:b/>
                <w:sz w:val="20"/>
                <w:szCs w:val="24"/>
              </w:rPr>
              <w:t>Contac</w:t>
            </w:r>
            <w:r w:rsidRPr="00E329D9">
              <w:rPr>
                <w:b/>
                <w:sz w:val="20"/>
                <w:szCs w:val="24"/>
              </w:rPr>
              <w:t>t or Flash</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Line of Fire</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Nature</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Slip, Trip, Fall</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Unsafe simple act</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Total</w:t>
            </w:r>
          </w:p>
        </w:tc>
        <w:tc>
          <w:tcPr>
            <w:tcW w:w="0" w:type="auto"/>
            <w:shd w:val="clear" w:color="auto" w:fill="A5CD7E"/>
            <w:vAlign w:val="center"/>
          </w:tcPr>
          <w:p w:rsidR="00E124D7" w:rsidRPr="00E329D9" w:rsidRDefault="00E124D7" w:rsidP="00933480">
            <w:pPr>
              <w:spacing w:before="80" w:after="80"/>
              <w:ind w:left="-100" w:right="-58"/>
              <w:contextualSpacing/>
              <w:jc w:val="center"/>
              <w:rPr>
                <w:b/>
                <w:sz w:val="20"/>
                <w:szCs w:val="24"/>
              </w:rPr>
            </w:pPr>
            <w:r w:rsidRPr="00E329D9">
              <w:rPr>
                <w:b/>
                <w:sz w:val="18"/>
                <w:szCs w:val="18"/>
              </w:rPr>
              <w:t xml:space="preserve">Estimated </w:t>
            </w:r>
            <w:r w:rsidRPr="00E329D9">
              <w:rPr>
                <w:b/>
                <w:sz w:val="20"/>
                <w:szCs w:val="24"/>
              </w:rPr>
              <w:t>Work Hours</w:t>
            </w:r>
          </w:p>
        </w:tc>
        <w:tc>
          <w:tcPr>
            <w:tcW w:w="0" w:type="auto"/>
            <w:shd w:val="clear" w:color="auto" w:fill="A5CD7E"/>
            <w:vAlign w:val="center"/>
          </w:tcPr>
          <w:p w:rsidR="00E124D7" w:rsidRPr="00E329D9" w:rsidRDefault="00E124D7" w:rsidP="00933480">
            <w:pPr>
              <w:spacing w:before="80" w:after="80"/>
              <w:contextualSpacing/>
              <w:jc w:val="center"/>
              <w:rPr>
                <w:b/>
                <w:sz w:val="20"/>
                <w:szCs w:val="24"/>
              </w:rPr>
            </w:pPr>
            <w:r w:rsidRPr="00E329D9">
              <w:rPr>
                <w:b/>
                <w:sz w:val="20"/>
                <w:szCs w:val="24"/>
              </w:rPr>
              <w:t>DART</w:t>
            </w:r>
            <w:r>
              <w:rPr>
                <w:b/>
                <w:sz w:val="20"/>
                <w:szCs w:val="24"/>
              </w:rPr>
              <w:t xml:space="preserve"> Rate</w:t>
            </w:r>
          </w:p>
        </w:tc>
      </w:tr>
      <w:tr w:rsidR="00E124D7" w:rsidTr="00933480">
        <w:trPr>
          <w:jc w:val="center"/>
        </w:trPr>
        <w:tc>
          <w:tcPr>
            <w:tcW w:w="956" w:type="dxa"/>
            <w:shd w:val="clear" w:color="auto" w:fill="auto"/>
            <w:vAlign w:val="center"/>
          </w:tcPr>
          <w:p w:rsidR="00E124D7" w:rsidRPr="00F97D25" w:rsidRDefault="00E124D7" w:rsidP="00FC3F2B">
            <w:pPr>
              <w:spacing w:after="0"/>
              <w:jc w:val="center"/>
              <w:rPr>
                <w:sz w:val="22"/>
              </w:rPr>
            </w:pPr>
            <w:r w:rsidRPr="00F97D25">
              <w:rPr>
                <w:sz w:val="22"/>
              </w:rPr>
              <w:t>2015</w:t>
            </w:r>
            <w:r w:rsidR="002967C8" w:rsidRPr="00F97D25">
              <w:rPr>
                <w:sz w:val="22"/>
              </w:rPr>
              <w:t xml:space="preserve"> Target</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10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1</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3</w:t>
            </w:r>
          </w:p>
        </w:tc>
        <w:tc>
          <w:tcPr>
            <w:tcW w:w="0" w:type="auto"/>
            <w:vAlign w:val="center"/>
          </w:tcPr>
          <w:p w:rsidR="00E124D7" w:rsidRPr="00F97D25" w:rsidRDefault="00E124D7" w:rsidP="00FC3F2B">
            <w:pPr>
              <w:spacing w:after="0"/>
              <w:jc w:val="center"/>
              <w:rPr>
                <w:sz w:val="22"/>
              </w:rPr>
            </w:pPr>
            <w:r w:rsidRPr="00F97D25">
              <w:rPr>
                <w:sz w:val="22"/>
              </w:rPr>
              <w:t>2</w:t>
            </w:r>
          </w:p>
        </w:tc>
        <w:tc>
          <w:tcPr>
            <w:tcW w:w="0" w:type="auto"/>
            <w:vAlign w:val="center"/>
          </w:tcPr>
          <w:p w:rsidR="00E124D7" w:rsidRPr="00F97D25" w:rsidRDefault="00E124D7" w:rsidP="00FC3F2B">
            <w:pPr>
              <w:spacing w:after="0"/>
              <w:jc w:val="center"/>
              <w:rPr>
                <w:sz w:val="22"/>
              </w:rPr>
            </w:pPr>
            <w:r w:rsidRPr="00F97D25">
              <w:rPr>
                <w:sz w:val="22"/>
              </w:rPr>
              <w:t>16</w:t>
            </w:r>
          </w:p>
        </w:tc>
        <w:tc>
          <w:tcPr>
            <w:tcW w:w="0" w:type="auto"/>
            <w:vAlign w:val="center"/>
          </w:tcPr>
          <w:p w:rsidR="00E124D7" w:rsidRPr="00F97D25" w:rsidRDefault="00E124D7" w:rsidP="00FC3F2B">
            <w:pPr>
              <w:spacing w:after="0"/>
              <w:jc w:val="center"/>
              <w:rPr>
                <w:sz w:val="22"/>
              </w:rPr>
            </w:pPr>
            <w:r w:rsidRPr="00F97D25">
              <w:rPr>
                <w:sz w:val="22"/>
              </w:rPr>
              <w:t>5,183,900</w:t>
            </w:r>
          </w:p>
        </w:tc>
        <w:tc>
          <w:tcPr>
            <w:tcW w:w="0" w:type="auto"/>
            <w:vAlign w:val="center"/>
          </w:tcPr>
          <w:p w:rsidR="00E124D7" w:rsidRPr="00F97D25" w:rsidRDefault="00E124D7" w:rsidP="00FC3F2B">
            <w:pPr>
              <w:spacing w:after="0"/>
              <w:jc w:val="center"/>
              <w:rPr>
                <w:sz w:val="22"/>
              </w:rPr>
            </w:pPr>
            <w:r w:rsidRPr="00F97D25">
              <w:rPr>
                <w:sz w:val="22"/>
              </w:rPr>
              <w:t>0.62</w:t>
            </w:r>
          </w:p>
        </w:tc>
      </w:tr>
      <w:tr w:rsidR="002967C8" w:rsidTr="00933480">
        <w:trPr>
          <w:jc w:val="center"/>
        </w:trPr>
        <w:tc>
          <w:tcPr>
            <w:tcW w:w="956" w:type="dxa"/>
            <w:shd w:val="clear" w:color="auto" w:fill="auto"/>
            <w:vAlign w:val="center"/>
          </w:tcPr>
          <w:p w:rsidR="002967C8" w:rsidRPr="00F97D25" w:rsidRDefault="002967C8" w:rsidP="00FC3F2B">
            <w:pPr>
              <w:spacing w:after="0"/>
              <w:jc w:val="center"/>
              <w:rPr>
                <w:sz w:val="22"/>
              </w:rPr>
            </w:pPr>
            <w:r w:rsidRPr="00F97D25">
              <w:rPr>
                <w:sz w:val="22"/>
              </w:rPr>
              <w:t>2015 Actual</w:t>
            </w:r>
          </w:p>
        </w:tc>
        <w:tc>
          <w:tcPr>
            <w:tcW w:w="0" w:type="auto"/>
            <w:shd w:val="clear" w:color="auto" w:fill="auto"/>
            <w:vAlign w:val="center"/>
          </w:tcPr>
          <w:p w:rsidR="002967C8" w:rsidRPr="00F97D25" w:rsidRDefault="004644E3" w:rsidP="00FC3F2B">
            <w:pPr>
              <w:spacing w:after="0"/>
              <w:jc w:val="center"/>
              <w:rPr>
                <w:sz w:val="22"/>
              </w:rPr>
            </w:pPr>
            <w:r>
              <w:rPr>
                <w:sz w:val="22"/>
              </w:rPr>
              <w:t>13</w:t>
            </w:r>
          </w:p>
        </w:tc>
        <w:tc>
          <w:tcPr>
            <w:tcW w:w="0" w:type="auto"/>
            <w:shd w:val="clear" w:color="auto" w:fill="auto"/>
            <w:vAlign w:val="center"/>
          </w:tcPr>
          <w:p w:rsidR="002967C8" w:rsidRPr="00F97D25" w:rsidRDefault="004644E3" w:rsidP="00FC3F2B">
            <w:pPr>
              <w:spacing w:after="0"/>
              <w:jc w:val="center"/>
              <w:rPr>
                <w:sz w:val="22"/>
              </w:rPr>
            </w:pPr>
            <w:r>
              <w:rPr>
                <w:sz w:val="22"/>
              </w:rPr>
              <w:t>0</w:t>
            </w:r>
          </w:p>
        </w:tc>
        <w:tc>
          <w:tcPr>
            <w:tcW w:w="0" w:type="auto"/>
            <w:shd w:val="clear" w:color="auto" w:fill="auto"/>
            <w:vAlign w:val="center"/>
          </w:tcPr>
          <w:p w:rsidR="002967C8" w:rsidRPr="00F97D25" w:rsidRDefault="004644E3" w:rsidP="00FC3F2B">
            <w:pPr>
              <w:spacing w:after="0"/>
              <w:jc w:val="center"/>
              <w:rPr>
                <w:sz w:val="22"/>
              </w:rPr>
            </w:pPr>
            <w:r>
              <w:rPr>
                <w:sz w:val="22"/>
              </w:rPr>
              <w:t>2</w:t>
            </w:r>
          </w:p>
        </w:tc>
        <w:tc>
          <w:tcPr>
            <w:tcW w:w="0" w:type="auto"/>
            <w:shd w:val="clear" w:color="auto" w:fill="auto"/>
            <w:vAlign w:val="center"/>
          </w:tcPr>
          <w:p w:rsidR="002967C8" w:rsidRPr="00F97D25" w:rsidRDefault="004644E3" w:rsidP="00FC3F2B">
            <w:pPr>
              <w:spacing w:after="0"/>
              <w:jc w:val="center"/>
              <w:rPr>
                <w:sz w:val="22"/>
              </w:rPr>
            </w:pPr>
            <w:r>
              <w:rPr>
                <w:sz w:val="22"/>
              </w:rPr>
              <w:t>1</w:t>
            </w:r>
          </w:p>
        </w:tc>
        <w:tc>
          <w:tcPr>
            <w:tcW w:w="0" w:type="auto"/>
            <w:shd w:val="clear" w:color="auto" w:fill="auto"/>
            <w:vAlign w:val="center"/>
          </w:tcPr>
          <w:p w:rsidR="002967C8" w:rsidRPr="00F97D25" w:rsidRDefault="004644E3" w:rsidP="00FC3F2B">
            <w:pPr>
              <w:spacing w:after="0"/>
              <w:jc w:val="center"/>
              <w:rPr>
                <w:sz w:val="22"/>
              </w:rPr>
            </w:pPr>
            <w:r>
              <w:rPr>
                <w:sz w:val="22"/>
              </w:rPr>
              <w:t>8</w:t>
            </w:r>
          </w:p>
        </w:tc>
        <w:tc>
          <w:tcPr>
            <w:tcW w:w="0" w:type="auto"/>
            <w:vAlign w:val="center"/>
          </w:tcPr>
          <w:p w:rsidR="002967C8" w:rsidRPr="00F97D25" w:rsidRDefault="004644E3" w:rsidP="00FC3F2B">
            <w:pPr>
              <w:spacing w:after="0"/>
              <w:jc w:val="center"/>
              <w:rPr>
                <w:sz w:val="22"/>
              </w:rPr>
            </w:pPr>
            <w:r>
              <w:rPr>
                <w:sz w:val="22"/>
              </w:rPr>
              <w:t>3</w:t>
            </w:r>
          </w:p>
        </w:tc>
        <w:tc>
          <w:tcPr>
            <w:tcW w:w="0" w:type="auto"/>
            <w:vAlign w:val="center"/>
          </w:tcPr>
          <w:p w:rsidR="002967C8" w:rsidRPr="00F97D25" w:rsidRDefault="004644E3" w:rsidP="00FC3F2B">
            <w:pPr>
              <w:spacing w:after="0"/>
              <w:jc w:val="center"/>
              <w:rPr>
                <w:sz w:val="22"/>
              </w:rPr>
            </w:pPr>
            <w:r>
              <w:rPr>
                <w:sz w:val="22"/>
              </w:rPr>
              <w:t>27</w:t>
            </w:r>
          </w:p>
        </w:tc>
        <w:tc>
          <w:tcPr>
            <w:tcW w:w="0" w:type="auto"/>
            <w:vAlign w:val="center"/>
          </w:tcPr>
          <w:p w:rsidR="002967C8" w:rsidRPr="00F97D25" w:rsidRDefault="004644E3" w:rsidP="00FC3F2B">
            <w:pPr>
              <w:spacing w:after="0"/>
              <w:jc w:val="center"/>
              <w:rPr>
                <w:sz w:val="22"/>
              </w:rPr>
            </w:pPr>
            <w:r>
              <w:rPr>
                <w:sz w:val="22"/>
              </w:rPr>
              <w:t>4,597,792</w:t>
            </w:r>
          </w:p>
        </w:tc>
        <w:tc>
          <w:tcPr>
            <w:tcW w:w="0" w:type="auto"/>
            <w:vAlign w:val="center"/>
          </w:tcPr>
          <w:p w:rsidR="002967C8" w:rsidRPr="00F97D25" w:rsidRDefault="004644E3" w:rsidP="00FC3F2B">
            <w:pPr>
              <w:spacing w:after="0"/>
              <w:jc w:val="center"/>
              <w:rPr>
                <w:sz w:val="22"/>
              </w:rPr>
            </w:pPr>
            <w:r>
              <w:rPr>
                <w:sz w:val="22"/>
              </w:rPr>
              <w:t>1.17</w:t>
            </w:r>
          </w:p>
        </w:tc>
      </w:tr>
      <w:tr w:rsidR="00E124D7" w:rsidTr="00933480">
        <w:trPr>
          <w:jc w:val="center"/>
        </w:trPr>
        <w:tc>
          <w:tcPr>
            <w:tcW w:w="956" w:type="dxa"/>
            <w:shd w:val="clear" w:color="auto" w:fill="auto"/>
            <w:vAlign w:val="center"/>
          </w:tcPr>
          <w:p w:rsidR="00E124D7" w:rsidRPr="00F97D25" w:rsidRDefault="00F97D25" w:rsidP="00FC3F2B">
            <w:pPr>
              <w:spacing w:after="0"/>
              <w:jc w:val="center"/>
              <w:rPr>
                <w:sz w:val="22"/>
              </w:rPr>
            </w:pPr>
            <w:r>
              <w:rPr>
                <w:sz w:val="22"/>
              </w:rPr>
              <w:t>2016 Target</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7</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0</w:t>
            </w:r>
          </w:p>
        </w:tc>
        <w:tc>
          <w:tcPr>
            <w:tcW w:w="0" w:type="auto"/>
            <w:shd w:val="clear" w:color="auto" w:fill="auto"/>
            <w:vAlign w:val="center"/>
          </w:tcPr>
          <w:p w:rsidR="00E124D7" w:rsidRPr="00F97D25" w:rsidRDefault="00E124D7" w:rsidP="00FC3F2B">
            <w:pPr>
              <w:spacing w:after="0"/>
              <w:jc w:val="center"/>
              <w:rPr>
                <w:sz w:val="22"/>
              </w:rPr>
            </w:pPr>
            <w:r w:rsidRPr="00F97D25">
              <w:rPr>
                <w:sz w:val="22"/>
              </w:rPr>
              <w:t>3</w:t>
            </w:r>
          </w:p>
        </w:tc>
        <w:tc>
          <w:tcPr>
            <w:tcW w:w="0" w:type="auto"/>
            <w:vAlign w:val="center"/>
          </w:tcPr>
          <w:p w:rsidR="00E124D7" w:rsidRPr="00F97D25" w:rsidRDefault="00E124D7" w:rsidP="00FC3F2B">
            <w:pPr>
              <w:spacing w:after="0"/>
              <w:jc w:val="center"/>
              <w:rPr>
                <w:sz w:val="22"/>
              </w:rPr>
            </w:pPr>
            <w:r w:rsidRPr="00F97D25">
              <w:rPr>
                <w:sz w:val="22"/>
              </w:rPr>
              <w:t>1</w:t>
            </w:r>
          </w:p>
        </w:tc>
        <w:tc>
          <w:tcPr>
            <w:tcW w:w="0" w:type="auto"/>
            <w:vAlign w:val="center"/>
          </w:tcPr>
          <w:p w:rsidR="00E124D7" w:rsidRPr="00F97D25" w:rsidRDefault="00E124D7" w:rsidP="00FC3F2B">
            <w:pPr>
              <w:spacing w:after="0"/>
              <w:jc w:val="center"/>
              <w:rPr>
                <w:sz w:val="22"/>
              </w:rPr>
            </w:pPr>
            <w:r w:rsidRPr="00F97D25">
              <w:rPr>
                <w:sz w:val="22"/>
              </w:rPr>
              <w:t>11</w:t>
            </w:r>
          </w:p>
        </w:tc>
        <w:tc>
          <w:tcPr>
            <w:tcW w:w="0" w:type="auto"/>
            <w:vAlign w:val="center"/>
          </w:tcPr>
          <w:p w:rsidR="00E124D7" w:rsidRPr="00F97D25" w:rsidRDefault="00E124D7" w:rsidP="00FC3F2B">
            <w:pPr>
              <w:spacing w:after="0"/>
              <w:jc w:val="center"/>
              <w:rPr>
                <w:sz w:val="22"/>
              </w:rPr>
            </w:pPr>
            <w:r w:rsidRPr="00F97D25">
              <w:rPr>
                <w:sz w:val="22"/>
              </w:rPr>
              <w:t>5,183,900</w:t>
            </w:r>
          </w:p>
        </w:tc>
        <w:tc>
          <w:tcPr>
            <w:tcW w:w="0" w:type="auto"/>
            <w:vAlign w:val="center"/>
          </w:tcPr>
          <w:p w:rsidR="00E124D7" w:rsidRPr="00F97D25" w:rsidRDefault="00E124D7" w:rsidP="00FC3F2B">
            <w:pPr>
              <w:spacing w:after="0"/>
              <w:jc w:val="center"/>
              <w:rPr>
                <w:sz w:val="22"/>
              </w:rPr>
            </w:pPr>
            <w:r w:rsidRPr="00F97D25">
              <w:rPr>
                <w:sz w:val="22"/>
              </w:rPr>
              <w:t>0.44</w:t>
            </w:r>
          </w:p>
        </w:tc>
      </w:tr>
      <w:tr w:rsidR="00F97D25" w:rsidTr="00933480">
        <w:trPr>
          <w:jc w:val="center"/>
        </w:trPr>
        <w:tc>
          <w:tcPr>
            <w:tcW w:w="956" w:type="dxa"/>
            <w:shd w:val="clear" w:color="auto" w:fill="auto"/>
            <w:vAlign w:val="center"/>
          </w:tcPr>
          <w:p w:rsidR="00F97D25" w:rsidRDefault="00F97D25" w:rsidP="00FC3F2B">
            <w:pPr>
              <w:spacing w:after="0"/>
              <w:jc w:val="center"/>
              <w:rPr>
                <w:sz w:val="22"/>
              </w:rPr>
            </w:pPr>
            <w:r>
              <w:rPr>
                <w:sz w:val="22"/>
              </w:rPr>
              <w:t>2016 YTD</w:t>
            </w:r>
          </w:p>
        </w:tc>
        <w:tc>
          <w:tcPr>
            <w:tcW w:w="0" w:type="auto"/>
            <w:shd w:val="clear" w:color="auto" w:fill="auto"/>
            <w:vAlign w:val="center"/>
          </w:tcPr>
          <w:p w:rsidR="00F97D25" w:rsidRPr="00F97D25" w:rsidRDefault="004644E3" w:rsidP="00FC3F2B">
            <w:pPr>
              <w:spacing w:after="0"/>
              <w:jc w:val="center"/>
              <w:rPr>
                <w:sz w:val="22"/>
              </w:rPr>
            </w:pPr>
            <w:r>
              <w:rPr>
                <w:sz w:val="22"/>
              </w:rPr>
              <w:t>5</w:t>
            </w:r>
          </w:p>
        </w:tc>
        <w:tc>
          <w:tcPr>
            <w:tcW w:w="0" w:type="auto"/>
            <w:shd w:val="clear" w:color="auto" w:fill="auto"/>
            <w:vAlign w:val="center"/>
          </w:tcPr>
          <w:p w:rsidR="00F97D25" w:rsidRPr="00F97D25" w:rsidRDefault="004644E3" w:rsidP="00FC3F2B">
            <w:pPr>
              <w:spacing w:after="0"/>
              <w:jc w:val="center"/>
              <w:rPr>
                <w:sz w:val="22"/>
              </w:rPr>
            </w:pPr>
            <w:r>
              <w:rPr>
                <w:sz w:val="22"/>
              </w:rPr>
              <w:t>0</w:t>
            </w:r>
          </w:p>
        </w:tc>
        <w:tc>
          <w:tcPr>
            <w:tcW w:w="0" w:type="auto"/>
            <w:shd w:val="clear" w:color="auto" w:fill="auto"/>
            <w:vAlign w:val="center"/>
          </w:tcPr>
          <w:p w:rsidR="00F97D25" w:rsidRPr="00F97D25" w:rsidRDefault="004644E3" w:rsidP="00FC3F2B">
            <w:pPr>
              <w:spacing w:after="0"/>
              <w:jc w:val="center"/>
              <w:rPr>
                <w:sz w:val="22"/>
              </w:rPr>
            </w:pPr>
            <w:r>
              <w:rPr>
                <w:sz w:val="22"/>
              </w:rPr>
              <w:t>3</w:t>
            </w:r>
          </w:p>
        </w:tc>
        <w:tc>
          <w:tcPr>
            <w:tcW w:w="0" w:type="auto"/>
            <w:shd w:val="clear" w:color="auto" w:fill="auto"/>
            <w:vAlign w:val="center"/>
          </w:tcPr>
          <w:p w:rsidR="00F97D25" w:rsidRPr="00F97D25" w:rsidRDefault="004644E3" w:rsidP="00FC3F2B">
            <w:pPr>
              <w:spacing w:after="0"/>
              <w:jc w:val="center"/>
              <w:rPr>
                <w:sz w:val="22"/>
              </w:rPr>
            </w:pPr>
            <w:r>
              <w:rPr>
                <w:sz w:val="22"/>
              </w:rPr>
              <w:t>3</w:t>
            </w:r>
          </w:p>
        </w:tc>
        <w:tc>
          <w:tcPr>
            <w:tcW w:w="0" w:type="auto"/>
            <w:shd w:val="clear" w:color="auto" w:fill="auto"/>
            <w:vAlign w:val="center"/>
          </w:tcPr>
          <w:p w:rsidR="00F97D25" w:rsidRPr="00F97D25" w:rsidRDefault="004644E3" w:rsidP="00FC3F2B">
            <w:pPr>
              <w:spacing w:after="0"/>
              <w:jc w:val="center"/>
              <w:rPr>
                <w:sz w:val="22"/>
              </w:rPr>
            </w:pPr>
            <w:r>
              <w:rPr>
                <w:sz w:val="22"/>
              </w:rPr>
              <w:t>0</w:t>
            </w:r>
          </w:p>
        </w:tc>
        <w:tc>
          <w:tcPr>
            <w:tcW w:w="0" w:type="auto"/>
            <w:vAlign w:val="center"/>
          </w:tcPr>
          <w:p w:rsidR="00F97D25" w:rsidRPr="00F97D25" w:rsidRDefault="004644E3" w:rsidP="00FC3F2B">
            <w:pPr>
              <w:spacing w:after="0"/>
              <w:jc w:val="center"/>
              <w:rPr>
                <w:sz w:val="22"/>
              </w:rPr>
            </w:pPr>
            <w:r>
              <w:rPr>
                <w:sz w:val="22"/>
              </w:rPr>
              <w:t>0</w:t>
            </w:r>
          </w:p>
        </w:tc>
        <w:tc>
          <w:tcPr>
            <w:tcW w:w="0" w:type="auto"/>
            <w:vAlign w:val="center"/>
          </w:tcPr>
          <w:p w:rsidR="00F97D25" w:rsidRPr="00F97D25" w:rsidRDefault="004644E3" w:rsidP="00FC3F2B">
            <w:pPr>
              <w:spacing w:after="0"/>
              <w:jc w:val="center"/>
              <w:rPr>
                <w:sz w:val="22"/>
              </w:rPr>
            </w:pPr>
            <w:r>
              <w:rPr>
                <w:sz w:val="22"/>
              </w:rPr>
              <w:t>11</w:t>
            </w:r>
          </w:p>
        </w:tc>
        <w:tc>
          <w:tcPr>
            <w:tcW w:w="0" w:type="auto"/>
            <w:vAlign w:val="center"/>
          </w:tcPr>
          <w:p w:rsidR="00F97D25" w:rsidRPr="00F97D25" w:rsidRDefault="004644E3" w:rsidP="00FC3F2B">
            <w:pPr>
              <w:spacing w:after="0"/>
              <w:jc w:val="center"/>
              <w:rPr>
                <w:sz w:val="22"/>
              </w:rPr>
            </w:pPr>
            <w:r>
              <w:rPr>
                <w:sz w:val="22"/>
              </w:rPr>
              <w:t>1,908,528</w:t>
            </w:r>
          </w:p>
        </w:tc>
        <w:tc>
          <w:tcPr>
            <w:tcW w:w="0" w:type="auto"/>
            <w:vAlign w:val="center"/>
          </w:tcPr>
          <w:p w:rsidR="00F97D25" w:rsidRPr="00D73F07" w:rsidRDefault="004644E3" w:rsidP="00FC3F2B">
            <w:pPr>
              <w:spacing w:after="0"/>
              <w:jc w:val="center"/>
              <w:rPr>
                <w:sz w:val="22"/>
              </w:rPr>
            </w:pPr>
            <w:r w:rsidRPr="00D73F07">
              <w:rPr>
                <w:rStyle w:val="CommentReference"/>
                <w:sz w:val="22"/>
                <w:szCs w:val="22"/>
              </w:rPr>
              <w:t>1.15</w:t>
            </w:r>
          </w:p>
        </w:tc>
      </w:tr>
      <w:tr w:rsidR="00E124D7" w:rsidTr="00933480">
        <w:trPr>
          <w:jc w:val="center"/>
        </w:trPr>
        <w:tc>
          <w:tcPr>
            <w:tcW w:w="9576" w:type="dxa"/>
            <w:gridSpan w:val="10"/>
            <w:shd w:val="clear" w:color="auto" w:fill="auto"/>
            <w:vAlign w:val="center"/>
          </w:tcPr>
          <w:p w:rsidR="00E124D7" w:rsidRPr="00B25372" w:rsidRDefault="00E124D7" w:rsidP="00FC3F2B">
            <w:pPr>
              <w:spacing w:after="0"/>
              <w:jc w:val="left"/>
              <w:rPr>
                <w:sz w:val="22"/>
              </w:rPr>
            </w:pPr>
            <w:r w:rsidRPr="00B25372">
              <w:rPr>
                <w:sz w:val="22"/>
              </w:rPr>
              <w:t>Source: DN 01-002</w:t>
            </w:r>
            <w:r w:rsidR="00D73F07">
              <w:rPr>
                <w:sz w:val="22"/>
              </w:rPr>
              <w:t xml:space="preserve">; </w:t>
            </w:r>
            <w:r w:rsidR="00D46D8B" w:rsidRPr="00B9624F">
              <w:rPr>
                <w:sz w:val="22"/>
              </w:rPr>
              <w:t>Additional information provided by B. Johnson, PPL EUS on June 15, 2016</w:t>
            </w:r>
          </w:p>
        </w:tc>
      </w:tr>
    </w:tbl>
    <w:p w:rsidR="00542094" w:rsidRDefault="00542094" w:rsidP="00542094">
      <w:pPr>
        <w:pStyle w:val="Normal-aftertable"/>
      </w:pPr>
      <w:r>
        <w:t>In 2015, seven of the eight safety targets were not met, several by large margins.</w:t>
      </w:r>
    </w:p>
    <w:p w:rsidR="00E124D7" w:rsidRPr="00953F86" w:rsidRDefault="00E919CB" w:rsidP="008C050A">
      <w:pPr>
        <w:spacing w:before="120"/>
      </w:pPr>
      <w:r>
        <w:t>PPL EU</w:t>
      </w:r>
      <w:r w:rsidR="008C050A">
        <w:t xml:space="preserve"> has stated that it</w:t>
      </w:r>
      <w:r>
        <w:t xml:space="preserve"> intends to achieve first quartile </w:t>
      </w:r>
      <w:r w:rsidR="004B1196">
        <w:t>s</w:t>
      </w:r>
      <w:r>
        <w:t xml:space="preserve">afety performance as measured by DART rate in 2018.  </w:t>
      </w:r>
      <w:r w:rsidR="008C050A">
        <w:t>Management</w:t>
      </w:r>
      <w:r w:rsidR="00E124D7">
        <w:t xml:space="preserve"> is focusing on DART performance rather than Incidence Rate performance because DART injuries are generally more serious.</w:t>
      </w:r>
      <w:r w:rsidR="00183BC3">
        <w:t xml:space="preserve"> </w:t>
      </w:r>
      <w:r w:rsidR="00E124D7">
        <w:t xml:space="preserve"> PPL EU is </w:t>
      </w:r>
      <w:r w:rsidR="00D15E9A">
        <w:t xml:space="preserve">also </w:t>
      </w:r>
      <w:r w:rsidR="00E124D7">
        <w:t>actively addressing DART injuries through PPL EU safety committee involvement.</w:t>
      </w:r>
      <w:r w:rsidR="00A31D2E">
        <w:t xml:space="preserve"> </w:t>
      </w:r>
      <w:r w:rsidR="00F20F25">
        <w:t xml:space="preserve"> However, despite the high level of emphasis by management on employee safety, only inconsistent</w:t>
      </w:r>
      <w:r w:rsidR="00D15E9A">
        <w:t xml:space="preserve"> improvement has been registered in PPL EU safety performance during the 2011 to 2015 timeframe.</w:t>
      </w:r>
    </w:p>
    <w:p w:rsidR="00652B0E" w:rsidRDefault="00652B0E" w:rsidP="004F00E5">
      <w:pPr>
        <w:pStyle w:val="Heading2"/>
        <w:numPr>
          <w:ilvl w:val="0"/>
          <w:numId w:val="102"/>
        </w:numPr>
      </w:pPr>
      <w:bookmarkStart w:id="35" w:name="_Toc464551976"/>
      <w:r>
        <w:t>Recommendation</w:t>
      </w:r>
      <w:r w:rsidR="000779ED">
        <w:t>S</w:t>
      </w:r>
      <w:bookmarkEnd w:id="35"/>
    </w:p>
    <w:p w:rsidR="00583C1E" w:rsidRDefault="00D15E9A" w:rsidP="004F00E5">
      <w:pPr>
        <w:pStyle w:val="Findings"/>
        <w:numPr>
          <w:ilvl w:val="0"/>
          <w:numId w:val="63"/>
        </w:numPr>
      </w:pPr>
      <w:r>
        <w:t xml:space="preserve">PPL EU </w:t>
      </w:r>
      <w:r w:rsidR="00583C1E">
        <w:t xml:space="preserve">should </w:t>
      </w:r>
      <w:r>
        <w:t xml:space="preserve">reduce its non-purchased power operating costs to </w:t>
      </w:r>
      <w:r w:rsidR="00C34091">
        <w:t xml:space="preserve">a </w:t>
      </w:r>
      <w:r w:rsidR="00583C1E">
        <w:t>level</w:t>
      </w:r>
      <w:r w:rsidR="00C34091">
        <w:t xml:space="preserve"> that compares more favorably to its Pennsylvania peers</w:t>
      </w:r>
      <w:r w:rsidR="00583C1E">
        <w:t>. (See Finding 3)</w:t>
      </w:r>
    </w:p>
    <w:p w:rsidR="00D15E9A" w:rsidRPr="00057E8B" w:rsidRDefault="00583C1E" w:rsidP="00057E8B">
      <w:r w:rsidRPr="00057E8B">
        <w:t xml:space="preserve">PPL EU should analyze its non-purchased power costs in all categories to thoroughly understand their sources and rationale.  Once these are completely understood, PPL EU should </w:t>
      </w:r>
      <w:r w:rsidR="00D15E9A" w:rsidRPr="00057E8B">
        <w:t>establish a</w:t>
      </w:r>
      <w:r w:rsidR="00D2035E" w:rsidRPr="00057E8B">
        <w:t xml:space="preserve"> multi-year</w:t>
      </w:r>
      <w:r w:rsidR="00FF6367" w:rsidRPr="00057E8B">
        <w:t xml:space="preserve"> plan to</w:t>
      </w:r>
      <w:r w:rsidRPr="00057E8B">
        <w:t xml:space="preserve"> </w:t>
      </w:r>
      <w:r w:rsidR="00D15E9A" w:rsidRPr="00057E8B">
        <w:t>r</w:t>
      </w:r>
      <w:r w:rsidRPr="00057E8B">
        <w:t>educe these costs</w:t>
      </w:r>
      <w:r w:rsidR="00D15E9A" w:rsidRPr="00057E8B">
        <w:t xml:space="preserve"> below present</w:t>
      </w:r>
      <w:r w:rsidRPr="00057E8B">
        <w:t xml:space="preserve"> levels where practical and possible.</w:t>
      </w:r>
      <w:r w:rsidR="00D2035E" w:rsidRPr="00057E8B">
        <w:t xml:space="preserve">  A reasonable cost reduction target for the first year would be to not exceed the previous year’s expense level.  Further reductions from that level should be planned for in succeeding years</w:t>
      </w:r>
      <w:r w:rsidR="000A785E" w:rsidRPr="00057E8B">
        <w:t xml:space="preserve"> to ultimately and consistently achieve cost </w:t>
      </w:r>
      <w:r w:rsidR="000A785E" w:rsidRPr="00057E8B">
        <w:lastRenderedPageBreak/>
        <w:t>performance comparable to an average of</w:t>
      </w:r>
      <w:r w:rsidR="00A90B40" w:rsidRPr="00057E8B">
        <w:t xml:space="preserve"> PPL EU’s</w:t>
      </w:r>
      <w:r w:rsidR="000A785E" w:rsidRPr="00057E8B">
        <w:t xml:space="preserve"> Pennsylvania peers</w:t>
      </w:r>
      <w:r w:rsidR="00D2035E" w:rsidRPr="00057E8B">
        <w:t>.  Quarterly reports of cost reduction efforts and results should be provided to the PPL Corporation CEO.</w:t>
      </w:r>
      <w:r w:rsidRPr="00057E8B">
        <w:t xml:space="preserve">  </w:t>
      </w:r>
      <w:r w:rsidR="00D15E9A" w:rsidRPr="00057E8B">
        <w:t xml:space="preserve"> </w:t>
      </w:r>
    </w:p>
    <w:p w:rsidR="00606EBA" w:rsidRDefault="00606EBA" w:rsidP="0049591B">
      <w:pPr>
        <w:pStyle w:val="Findings"/>
      </w:pPr>
      <w:r>
        <w:t xml:space="preserve">Develop and implement a </w:t>
      </w:r>
      <w:r w:rsidR="00FF01BB">
        <w:t xml:space="preserve">PPL EU </w:t>
      </w:r>
      <w:r>
        <w:t xml:space="preserve">strategic planning process and develop a </w:t>
      </w:r>
      <w:r w:rsidR="00FF01BB">
        <w:t xml:space="preserve">PPL EU </w:t>
      </w:r>
      <w:r>
        <w:t>strategic plan</w:t>
      </w:r>
      <w:r w:rsidR="00BD1B1F">
        <w:t xml:space="preserve">.  </w:t>
      </w:r>
      <w:r w:rsidR="00FF01BB">
        <w:t xml:space="preserve">(See Finding </w:t>
      </w:r>
      <w:r w:rsidR="00481A8F">
        <w:t>4</w:t>
      </w:r>
      <w:r>
        <w:t>)</w:t>
      </w:r>
    </w:p>
    <w:p w:rsidR="000A785E" w:rsidRDefault="00606EBA" w:rsidP="00606EBA">
      <w:r>
        <w:t xml:space="preserve">The </w:t>
      </w:r>
      <w:r w:rsidR="001E52E3">
        <w:t xml:space="preserve">PPL </w:t>
      </w:r>
      <w:r w:rsidR="00735312">
        <w:t>EU</w:t>
      </w:r>
      <w:r>
        <w:t xml:space="preserve"> strategic planning process and plan should be an umbrella for the five year financial plan, the information technology long-term plan, the transmission and distribution system development plans, and future related long-term planning components.  It is likely that there will be other component long-term plans</w:t>
      </w:r>
      <w:r w:rsidR="00427808">
        <w:t xml:space="preserve"> developed over time</w:t>
      </w:r>
      <w:r>
        <w:t xml:space="preserve">, such as for customer care and cyber and physical security.  The strategic plan should guide </w:t>
      </w:r>
      <w:r w:rsidR="004F3A44">
        <w:t xml:space="preserve">and </w:t>
      </w:r>
      <w:r>
        <w:t xml:space="preserve">coordinate all of the </w:t>
      </w:r>
      <w:r w:rsidR="00AF4F5A">
        <w:t>PPL EU</w:t>
      </w:r>
      <w:r>
        <w:t xml:space="preserve"> relevant planning processes and plans.</w:t>
      </w:r>
    </w:p>
    <w:p w:rsidR="00A90B40" w:rsidRDefault="00A90B40" w:rsidP="0049591B">
      <w:pPr>
        <w:pStyle w:val="Findings"/>
      </w:pPr>
      <w:r>
        <w:t xml:space="preserve">Enhance the PPL EU safety program to achieve greater work place safety and employee </w:t>
      </w:r>
      <w:r w:rsidR="00174C86">
        <w:t xml:space="preserve">safety awareness </w:t>
      </w:r>
      <w:r>
        <w:t xml:space="preserve">and </w:t>
      </w:r>
      <w:r w:rsidR="00174C86">
        <w:t>involvement</w:t>
      </w:r>
      <w:r>
        <w:t>.</w:t>
      </w:r>
      <w:r w:rsidR="002F03A0">
        <w:t xml:space="preserve"> (See Finding 5)</w:t>
      </w:r>
    </w:p>
    <w:p w:rsidR="00174C86" w:rsidRDefault="00174C86" w:rsidP="00A90B40">
      <w:r>
        <w:t>PPL EU management and the organization, in general, have focused considerable time and resources on improving safety performance but have achieved only spotty improvement in the last several years.  Some additional measures that should be considered</w:t>
      </w:r>
      <w:r w:rsidR="00B705D7">
        <w:t xml:space="preserve"> to improve safety</w:t>
      </w:r>
      <w:r>
        <w:t xml:space="preserve"> include:</w:t>
      </w:r>
    </w:p>
    <w:p w:rsidR="00174C86" w:rsidRDefault="00174C86" w:rsidP="00174C86">
      <w:pPr>
        <w:pStyle w:val="Bullet"/>
      </w:pPr>
      <w:r>
        <w:t>Identify top performing electric utilities, study their safety programs</w:t>
      </w:r>
      <w:r w:rsidR="00617612">
        <w:t>,</w:t>
      </w:r>
      <w:r>
        <w:t xml:space="preserve"> and emulate their practices.  This should include site visits to top performers by PPL EU managers, supervisors</w:t>
      </w:r>
      <w:r w:rsidR="00542094">
        <w:t>,</w:t>
      </w:r>
      <w:r>
        <w:t xml:space="preserve"> and workers to observe the safety practices of </w:t>
      </w:r>
      <w:r w:rsidR="002F03A0">
        <w:t xml:space="preserve">the </w:t>
      </w:r>
      <w:r>
        <w:t>top performers.</w:t>
      </w:r>
      <w:r w:rsidR="00B705D7">
        <w:t xml:space="preserve">  These practices should be included in PPL EU’s program.</w:t>
      </w:r>
    </w:p>
    <w:p w:rsidR="00EB6264" w:rsidRDefault="00174C86" w:rsidP="00174C86">
      <w:pPr>
        <w:pStyle w:val="Bullet"/>
      </w:pPr>
      <w:r>
        <w:t>Identify</w:t>
      </w:r>
      <w:r w:rsidR="00EB6264">
        <w:t>, analyze</w:t>
      </w:r>
      <w:r w:rsidR="00617612">
        <w:t>,</w:t>
      </w:r>
      <w:r w:rsidR="00EB6264">
        <w:t xml:space="preserve"> and eliminate</w:t>
      </w:r>
      <w:r>
        <w:t xml:space="preserve"> systemic weaknesses in PPL EU </w:t>
      </w:r>
      <w:r w:rsidR="00EB6264">
        <w:t>processes and practices that are producing accidents</w:t>
      </w:r>
      <w:r w:rsidR="00617612">
        <w:t xml:space="preserve"> through root cause analyses</w:t>
      </w:r>
      <w:r w:rsidR="00EB6264">
        <w:t>.  Workers should be involved in the analysis.</w:t>
      </w:r>
    </w:p>
    <w:p w:rsidR="002F03A0" w:rsidRDefault="00B705D7" w:rsidP="00174C86">
      <w:pPr>
        <w:pStyle w:val="Bullet"/>
      </w:pPr>
      <w:r>
        <w:t>PPL EU should identify and resolve any attitudinal impediments to improving work place safety.</w:t>
      </w:r>
      <w:r w:rsidR="00543355">
        <w:t xml:space="preserve"> </w:t>
      </w:r>
      <w:r>
        <w:t xml:space="preserve"> </w:t>
      </w:r>
      <w:r w:rsidR="00EB6264">
        <w:t xml:space="preserve">No rational individual wants to suffer an injury; nor does the foreman, </w:t>
      </w:r>
      <w:r>
        <w:t xml:space="preserve">the </w:t>
      </w:r>
      <w:r w:rsidR="00EB6264">
        <w:t>supervisor</w:t>
      </w:r>
      <w:r>
        <w:t>, the</w:t>
      </w:r>
      <w:r w:rsidR="00EB6264">
        <w:t xml:space="preserve"> manager</w:t>
      </w:r>
      <w:r w:rsidR="00617612">
        <w:t>,</w:t>
      </w:r>
      <w:r>
        <w:t xml:space="preserve"> or the company</w:t>
      </w:r>
      <w:r w:rsidR="00EB6264">
        <w:t xml:space="preserve"> want an injured employee.</w:t>
      </w:r>
      <w:r>
        <w:t xml:space="preserve"> </w:t>
      </w:r>
      <w:r w:rsidR="00617612">
        <w:t xml:space="preserve"> </w:t>
      </w:r>
      <w:r w:rsidR="002F03A0">
        <w:t>That said</w:t>
      </w:r>
      <w:proofErr w:type="gramStart"/>
      <w:r w:rsidR="002F03A0">
        <w:t>,</w:t>
      </w:r>
      <w:proofErr w:type="gramEnd"/>
      <w:r w:rsidR="002F03A0">
        <w:t xml:space="preserve"> injuries have persisted at the same general level year after year.  Underlying organizational resistance to management’s safety efforts, if any, should be identified and eliminated.</w:t>
      </w:r>
    </w:p>
    <w:p w:rsidR="00617612" w:rsidRDefault="002F03A0" w:rsidP="00174C86">
      <w:pPr>
        <w:pStyle w:val="Bullet"/>
      </w:pPr>
      <w:r>
        <w:t>Consider hiring a safety specialist</w:t>
      </w:r>
      <w:r w:rsidR="00BD6C48">
        <w:t xml:space="preserve"> or consulting firm</w:t>
      </w:r>
      <w:r>
        <w:t xml:space="preserve"> who has developed and managed highly successful employee safety programs</w:t>
      </w:r>
      <w:r w:rsidR="00DA1CE8">
        <w:t xml:space="preserve"> in comparable organizations</w:t>
      </w:r>
      <w:r>
        <w:t xml:space="preserve"> to guide PPL EU to improved employee safety.</w:t>
      </w:r>
    </w:p>
    <w:p w:rsidR="00617612" w:rsidRDefault="00617612" w:rsidP="00174C86">
      <w:pPr>
        <w:pStyle w:val="Bullet"/>
      </w:pPr>
      <w:r>
        <w:t xml:space="preserve">Include safety performance as a </w:t>
      </w:r>
      <w:r w:rsidR="00B74B10">
        <w:t>larger</w:t>
      </w:r>
      <w:r>
        <w:t xml:space="preserve"> factor in individual executives’, managers’, and supervisors’ performance evaluations.   </w:t>
      </w:r>
      <w:r w:rsidR="003057E4">
        <w:t>Link</w:t>
      </w:r>
      <w:r>
        <w:t xml:space="preserve"> each individual’s organization’s safety performance to salary and bonus compensation.</w:t>
      </w:r>
    </w:p>
    <w:p w:rsidR="00B523CF" w:rsidRDefault="00B523CF" w:rsidP="00B523CF">
      <w:pPr>
        <w:pStyle w:val="Bullet"/>
        <w:numPr>
          <w:ilvl w:val="0"/>
          <w:numId w:val="0"/>
        </w:numPr>
        <w:ind w:left="360" w:hanging="360"/>
      </w:pPr>
    </w:p>
    <w:p w:rsidR="00B523CF" w:rsidRDefault="00B523CF" w:rsidP="00B523CF">
      <w:pPr>
        <w:pStyle w:val="Bullet"/>
        <w:numPr>
          <w:ilvl w:val="0"/>
          <w:numId w:val="0"/>
        </w:numPr>
        <w:ind w:left="360" w:hanging="360"/>
        <w:sectPr w:rsidR="00B523CF" w:rsidSect="00D44CAA">
          <w:footerReference w:type="default" r:id="rId17"/>
          <w:type w:val="continuous"/>
          <w:pgSz w:w="12240" w:h="15840"/>
          <w:pgMar w:top="1440" w:right="1440" w:bottom="1440" w:left="1440" w:header="720" w:footer="432" w:gutter="0"/>
          <w:cols w:space="720"/>
          <w:docGrid w:linePitch="360"/>
        </w:sectPr>
      </w:pPr>
    </w:p>
    <w:p w:rsidR="00B523CF" w:rsidRDefault="00B523CF" w:rsidP="00B523CF">
      <w:pPr>
        <w:pStyle w:val="Bullet"/>
        <w:numPr>
          <w:ilvl w:val="0"/>
          <w:numId w:val="0"/>
        </w:numPr>
        <w:ind w:left="360" w:hanging="360"/>
      </w:pPr>
    </w:p>
    <w:p w:rsidR="008305C3" w:rsidRDefault="008305C3" w:rsidP="00407E73">
      <w:pPr>
        <w:pStyle w:val="Heading1"/>
      </w:pPr>
      <w:bookmarkStart w:id="36" w:name="_Toc464551977"/>
      <w:r w:rsidRPr="008305C3">
        <w:lastRenderedPageBreak/>
        <w:t>governance</w:t>
      </w:r>
      <w:bookmarkEnd w:id="36"/>
    </w:p>
    <w:p w:rsidR="008305C3" w:rsidRDefault="008305C3" w:rsidP="004F5678">
      <w:pPr>
        <w:pStyle w:val="Heading2"/>
        <w:numPr>
          <w:ilvl w:val="0"/>
          <w:numId w:val="8"/>
        </w:numPr>
      </w:pPr>
      <w:bookmarkStart w:id="37" w:name="_Toc464551978"/>
      <w:r>
        <w:t>background</w:t>
      </w:r>
      <w:bookmarkEnd w:id="37"/>
    </w:p>
    <w:p w:rsidR="008305C3" w:rsidRPr="00570C7F" w:rsidRDefault="008305C3" w:rsidP="003D7970">
      <w:pPr>
        <w:rPr>
          <w:szCs w:val="24"/>
        </w:rPr>
      </w:pPr>
      <w:r>
        <w:rPr>
          <w:szCs w:val="24"/>
        </w:rPr>
        <w:t>This chapter contains an assessment of</w:t>
      </w:r>
      <w:r w:rsidRPr="008535F7">
        <w:rPr>
          <w:szCs w:val="24"/>
        </w:rPr>
        <w:t xml:space="preserve"> </w:t>
      </w:r>
      <w:r>
        <w:rPr>
          <w:szCs w:val="24"/>
        </w:rPr>
        <w:t xml:space="preserve">the PPL Corporation and the </w:t>
      </w:r>
      <w:r w:rsidRPr="008535F7">
        <w:rPr>
          <w:szCs w:val="24"/>
        </w:rPr>
        <w:t>PPL Electric Utilities Corporation (PPL E</w:t>
      </w:r>
      <w:r>
        <w:rPr>
          <w:szCs w:val="24"/>
        </w:rPr>
        <w:t>U</w:t>
      </w:r>
      <w:r w:rsidRPr="008535F7">
        <w:rPr>
          <w:szCs w:val="24"/>
        </w:rPr>
        <w:t>)</w:t>
      </w:r>
      <w:r>
        <w:rPr>
          <w:szCs w:val="24"/>
        </w:rPr>
        <w:t xml:space="preserve"> </w:t>
      </w:r>
      <w:r w:rsidRPr="008535F7">
        <w:rPr>
          <w:szCs w:val="24"/>
        </w:rPr>
        <w:t xml:space="preserve">governance policies, practices, </w:t>
      </w:r>
      <w:r>
        <w:rPr>
          <w:szCs w:val="24"/>
        </w:rPr>
        <w:t xml:space="preserve">and </w:t>
      </w:r>
      <w:r w:rsidRPr="008535F7">
        <w:rPr>
          <w:szCs w:val="24"/>
        </w:rPr>
        <w:t>procedures</w:t>
      </w:r>
      <w:r>
        <w:rPr>
          <w:szCs w:val="24"/>
        </w:rPr>
        <w:t>.  It also</w:t>
      </w:r>
      <w:r w:rsidRPr="008535F7">
        <w:rPr>
          <w:szCs w:val="24"/>
        </w:rPr>
        <w:t xml:space="preserve"> a</w:t>
      </w:r>
      <w:r>
        <w:rPr>
          <w:szCs w:val="24"/>
        </w:rPr>
        <w:t>ddresses the</w:t>
      </w:r>
      <w:r w:rsidRPr="008535F7">
        <w:rPr>
          <w:szCs w:val="24"/>
        </w:rPr>
        <w:t xml:space="preserve"> </w:t>
      </w:r>
      <w:r>
        <w:rPr>
          <w:szCs w:val="24"/>
        </w:rPr>
        <w:t>PPL Corporation</w:t>
      </w:r>
      <w:r w:rsidRPr="008535F7">
        <w:rPr>
          <w:szCs w:val="24"/>
        </w:rPr>
        <w:t xml:space="preserve"> adherence with the Sarbanes-Oxley Act of 2002.  </w:t>
      </w:r>
    </w:p>
    <w:p w:rsidR="008305C3" w:rsidRDefault="008305C3" w:rsidP="003D7970">
      <w:r>
        <w:t>PPL EU was formed in 1920 as a registered</w:t>
      </w:r>
      <w:r w:rsidRPr="005D30D2">
        <w:t xml:space="preserve"> </w:t>
      </w:r>
      <w:r>
        <w:t>corporation of the Commonwealth of Pennsylvania with its registered office at Two North Ninth Street, Allentown, Pennsylvania.  It became a wholly owned subsidiary of PPL Corporation in 1994.  Support services are provided to PPL EU by several subsidiaries of PPL Corporation, including PPL Services Corporation (PPL SC) and PPL EU Services Corporation (PPL EUS).  PPL EU, PPL SC, and PPL EUS are all first tier (owned directly) subsidiaries of PPL Corporation.</w:t>
      </w:r>
    </w:p>
    <w:p w:rsidR="008305C3" w:rsidRDefault="008305C3" w:rsidP="002F48C2">
      <w:pPr>
        <w:pStyle w:val="Heading30"/>
      </w:pPr>
      <w:r>
        <w:t xml:space="preserve">PPL Corporation overview </w:t>
      </w:r>
    </w:p>
    <w:p w:rsidR="008305C3" w:rsidRDefault="008305C3" w:rsidP="00A60C12">
      <w:pPr>
        <w:rPr>
          <w:rFonts w:cs="Arial"/>
          <w:color w:val="000000"/>
          <w:szCs w:val="24"/>
        </w:rPr>
      </w:pPr>
      <w:r w:rsidRPr="005D2F0F">
        <w:rPr>
          <w:rFonts w:cs="Arial"/>
          <w:color w:val="000000"/>
          <w:szCs w:val="24"/>
        </w:rPr>
        <w:t>PPL Corporation,</w:t>
      </w:r>
      <w:r>
        <w:rPr>
          <w:rFonts w:cs="Arial"/>
          <w:color w:val="000000"/>
          <w:szCs w:val="24"/>
        </w:rPr>
        <w:t xml:space="preserve"> also</w:t>
      </w:r>
      <w:r w:rsidRPr="005D2F0F">
        <w:rPr>
          <w:rFonts w:cs="Arial"/>
          <w:color w:val="000000"/>
          <w:szCs w:val="24"/>
        </w:rPr>
        <w:t xml:space="preserve"> headquartered in Allentown, Pennsylvania, is an energy and utility holding company that was incorporated in 1994.  Through its subsidiaries, PPL</w:t>
      </w:r>
      <w:r>
        <w:rPr>
          <w:rFonts w:cs="Arial"/>
          <w:color w:val="000000"/>
          <w:szCs w:val="24"/>
        </w:rPr>
        <w:t xml:space="preserve"> Corporation</w:t>
      </w:r>
      <w:r w:rsidRPr="005D2F0F">
        <w:rPr>
          <w:rFonts w:cs="Arial"/>
          <w:color w:val="000000"/>
          <w:szCs w:val="24"/>
        </w:rPr>
        <w:t xml:space="preserve"> delivers electricity to customers in the U</w:t>
      </w:r>
      <w:r>
        <w:rPr>
          <w:rFonts w:cs="Arial"/>
          <w:color w:val="000000"/>
          <w:szCs w:val="24"/>
        </w:rPr>
        <w:t xml:space="preserve">nited </w:t>
      </w:r>
      <w:r w:rsidRPr="005D2F0F">
        <w:rPr>
          <w:rFonts w:cs="Arial"/>
          <w:color w:val="000000"/>
          <w:szCs w:val="24"/>
        </w:rPr>
        <w:t>K</w:t>
      </w:r>
      <w:r>
        <w:rPr>
          <w:rFonts w:cs="Arial"/>
          <w:color w:val="000000"/>
          <w:szCs w:val="24"/>
        </w:rPr>
        <w:t>ingdom (UK)</w:t>
      </w:r>
      <w:r w:rsidRPr="005D2F0F">
        <w:rPr>
          <w:rFonts w:cs="Arial"/>
          <w:color w:val="000000"/>
          <w:szCs w:val="24"/>
        </w:rPr>
        <w:t>, Pennsylvania, Kentucky, Virginia</w:t>
      </w:r>
      <w:r>
        <w:rPr>
          <w:rFonts w:cs="Arial"/>
          <w:color w:val="000000"/>
          <w:szCs w:val="24"/>
        </w:rPr>
        <w:t>,</w:t>
      </w:r>
      <w:r w:rsidRPr="005D2F0F">
        <w:rPr>
          <w:rFonts w:cs="Arial"/>
          <w:color w:val="000000"/>
          <w:szCs w:val="24"/>
        </w:rPr>
        <w:t xml:space="preserve"> and Tennessee </w:t>
      </w:r>
      <w:r>
        <w:rPr>
          <w:rFonts w:cs="Arial"/>
          <w:color w:val="000000"/>
          <w:szCs w:val="24"/>
        </w:rPr>
        <w:t xml:space="preserve">and </w:t>
      </w:r>
      <w:r w:rsidRPr="005D2F0F">
        <w:rPr>
          <w:rFonts w:cs="Arial"/>
          <w:color w:val="000000"/>
          <w:szCs w:val="24"/>
        </w:rPr>
        <w:t>delivers natural gas to customers in Kentucky</w:t>
      </w:r>
      <w:r>
        <w:rPr>
          <w:rFonts w:cs="Arial"/>
          <w:color w:val="000000"/>
          <w:szCs w:val="24"/>
        </w:rPr>
        <w:t xml:space="preserve">. </w:t>
      </w:r>
      <w:r w:rsidRPr="005D2F0F">
        <w:rPr>
          <w:rFonts w:cs="Arial"/>
          <w:color w:val="000000"/>
          <w:szCs w:val="24"/>
        </w:rPr>
        <w:t xml:space="preserve"> </w:t>
      </w:r>
    </w:p>
    <w:p w:rsidR="008305C3" w:rsidRDefault="008305C3" w:rsidP="00A60C12">
      <w:pPr>
        <w:rPr>
          <w:rFonts w:cs="Arial"/>
          <w:color w:val="000000"/>
          <w:szCs w:val="24"/>
        </w:rPr>
      </w:pPr>
      <w:r w:rsidRPr="005D2F0F">
        <w:rPr>
          <w:rFonts w:cs="Arial"/>
          <w:color w:val="000000"/>
          <w:szCs w:val="24"/>
        </w:rPr>
        <w:t xml:space="preserve">Beginning in 2010, PPL expanded the regulated portion of its business, principally through the 2010 acquisition of </w:t>
      </w:r>
      <w:r w:rsidRPr="003827A8">
        <w:t>E.ON U.S. LLC</w:t>
      </w:r>
      <w:r>
        <w:t xml:space="preserve"> (now known as LG&amp;E and KU Energy LLC (LKE)), which is the parent company of </w:t>
      </w:r>
      <w:r>
        <w:rPr>
          <w:rFonts w:cs="Arial"/>
          <w:color w:val="000000"/>
          <w:szCs w:val="24"/>
        </w:rPr>
        <w:t>Louisville Gas and Electric Company (LG&amp;E) and Kentucky Utilities Company (KU)</w:t>
      </w:r>
      <w:r w:rsidRPr="005D2F0F">
        <w:rPr>
          <w:rFonts w:cs="Arial"/>
          <w:color w:val="000000"/>
          <w:szCs w:val="24"/>
        </w:rPr>
        <w:t xml:space="preserve"> and the 2011 acquisition of </w:t>
      </w:r>
      <w:r>
        <w:rPr>
          <w:rFonts w:cs="Arial"/>
          <w:color w:val="000000"/>
          <w:szCs w:val="24"/>
        </w:rPr>
        <w:t>additional operations in the UK, which is now part of the Western Power Distribution</w:t>
      </w:r>
      <w:r w:rsidRPr="005D2F0F">
        <w:rPr>
          <w:rFonts w:cs="Arial"/>
          <w:color w:val="000000"/>
          <w:szCs w:val="24"/>
        </w:rPr>
        <w:t xml:space="preserve"> </w:t>
      </w:r>
      <w:r w:rsidR="00876A9D">
        <w:rPr>
          <w:rFonts w:cs="Arial"/>
          <w:color w:val="000000"/>
          <w:szCs w:val="24"/>
        </w:rPr>
        <w:t xml:space="preserve">Midlands </w:t>
      </w:r>
      <w:r>
        <w:rPr>
          <w:rFonts w:cs="Arial"/>
          <w:color w:val="000000"/>
          <w:szCs w:val="24"/>
        </w:rPr>
        <w:t>group of companies (</w:t>
      </w:r>
      <w:r w:rsidR="00876A9D">
        <w:rPr>
          <w:rFonts w:cs="Arial"/>
          <w:color w:val="000000"/>
          <w:szCs w:val="24"/>
        </w:rPr>
        <w:t>WPD Midlands</w:t>
      </w:r>
      <w:r>
        <w:rPr>
          <w:rFonts w:cs="Arial"/>
          <w:color w:val="000000"/>
          <w:szCs w:val="24"/>
        </w:rPr>
        <w:t>) in the UK</w:t>
      </w:r>
      <w:r w:rsidRPr="005D2F0F">
        <w:rPr>
          <w:rFonts w:cs="Arial"/>
          <w:color w:val="000000"/>
          <w:szCs w:val="24"/>
        </w:rPr>
        <w:t>.  I</w:t>
      </w:r>
      <w:r>
        <w:rPr>
          <w:rFonts w:cs="Arial"/>
          <w:color w:val="000000"/>
          <w:szCs w:val="24"/>
        </w:rPr>
        <w:t>n</w:t>
      </w:r>
      <w:r w:rsidRPr="005D2F0F">
        <w:rPr>
          <w:rFonts w:cs="Arial"/>
          <w:color w:val="000000"/>
          <w:szCs w:val="24"/>
        </w:rPr>
        <w:t xml:space="preserve"> 201</w:t>
      </w:r>
      <w:r>
        <w:rPr>
          <w:rFonts w:cs="Arial"/>
          <w:color w:val="000000"/>
          <w:szCs w:val="24"/>
        </w:rPr>
        <w:t>5</w:t>
      </w:r>
      <w:r w:rsidRPr="005D2F0F">
        <w:rPr>
          <w:rFonts w:cs="Arial"/>
          <w:color w:val="000000"/>
          <w:szCs w:val="24"/>
        </w:rPr>
        <w:t xml:space="preserve">, PPL </w:t>
      </w:r>
      <w:r>
        <w:rPr>
          <w:rFonts w:cs="Arial"/>
          <w:color w:val="000000"/>
          <w:szCs w:val="24"/>
        </w:rPr>
        <w:t xml:space="preserve">Corporation spun off its competitive generation, energy marketing, and related businesses.  These PPL Corporation assets were combined with </w:t>
      </w:r>
      <w:r w:rsidRPr="005D2F0F">
        <w:rPr>
          <w:rFonts w:cs="Arial"/>
          <w:color w:val="000000"/>
          <w:szCs w:val="24"/>
        </w:rPr>
        <w:t>Riverstone</w:t>
      </w:r>
      <w:r>
        <w:rPr>
          <w:rFonts w:cs="Arial"/>
          <w:color w:val="000000"/>
          <w:szCs w:val="24"/>
        </w:rPr>
        <w:t xml:space="preserve"> Holdings LLC (Riverstone) assets</w:t>
      </w:r>
      <w:r w:rsidRPr="005D2F0F">
        <w:rPr>
          <w:rFonts w:cs="Arial"/>
          <w:color w:val="000000"/>
          <w:szCs w:val="24"/>
        </w:rPr>
        <w:t xml:space="preserve"> into a new, stand-alone, publicly traded company</w:t>
      </w:r>
      <w:r>
        <w:rPr>
          <w:rFonts w:cs="Arial"/>
          <w:color w:val="000000"/>
          <w:szCs w:val="24"/>
        </w:rPr>
        <w:t>,</w:t>
      </w:r>
      <w:r w:rsidRPr="005D2F0F">
        <w:rPr>
          <w:rFonts w:cs="Arial"/>
          <w:color w:val="000000"/>
          <w:szCs w:val="24"/>
        </w:rPr>
        <w:t xml:space="preserve"> Talen Energy</w:t>
      </w:r>
      <w:r>
        <w:rPr>
          <w:rFonts w:cs="Arial"/>
          <w:color w:val="000000"/>
          <w:szCs w:val="24"/>
        </w:rPr>
        <w:t xml:space="preserve"> Corporation (Talen)</w:t>
      </w:r>
      <w:r w:rsidRPr="005D2F0F">
        <w:rPr>
          <w:rFonts w:cs="Arial"/>
          <w:color w:val="000000"/>
          <w:szCs w:val="24"/>
        </w:rPr>
        <w:t>.</w:t>
      </w:r>
    </w:p>
    <w:p w:rsidR="008305C3" w:rsidRDefault="008305C3" w:rsidP="00A60C12">
      <w:pPr>
        <w:rPr>
          <w:rFonts w:cs="Arial"/>
          <w:color w:val="000000"/>
          <w:szCs w:val="24"/>
        </w:rPr>
      </w:pPr>
      <w:r>
        <w:rPr>
          <w:rFonts w:cs="Arial"/>
          <w:color w:val="000000"/>
          <w:szCs w:val="24"/>
        </w:rPr>
        <w:t>PPL Corporation is publicly traded on the New York Stock Exchange (NYSE) under the symbol PPL.  PPL Corporation is subject to the applicable requirements of the Sarbanes-Oxley Act of 2002 (SOX Act) which is comprised of eleven titles. The main provisions of the titles include management assessment of internal controls, auditor independence, various certifications by principal officers of reports and the condition of the corporation and its Securities and Exchange Commission (SEC) registrant subsidiaries as well as other requirements.</w:t>
      </w:r>
      <w:r w:rsidRPr="005D2F0F">
        <w:rPr>
          <w:rFonts w:cs="Arial"/>
          <w:color w:val="000000"/>
          <w:szCs w:val="24"/>
        </w:rPr>
        <w:t xml:space="preserve">  </w:t>
      </w:r>
    </w:p>
    <w:p w:rsidR="008305C3" w:rsidRDefault="008305C3" w:rsidP="008305C3">
      <w:pPr>
        <w:pStyle w:val="Heading30"/>
      </w:pPr>
      <w:r>
        <w:t>Sarbanes-oxley act of 2002</w:t>
      </w:r>
    </w:p>
    <w:p w:rsidR="008305C3" w:rsidRDefault="008305C3" w:rsidP="00A60C12">
      <w:r>
        <w:t>The SOX Act is comprised of 11 titles, the main provisions of which are summarized below.</w:t>
      </w:r>
    </w:p>
    <w:p w:rsidR="008305C3" w:rsidRDefault="008305C3" w:rsidP="00A60C12">
      <w:pPr>
        <w:pStyle w:val="Heading40"/>
      </w:pPr>
      <w:r>
        <w:t>Title I–Public Company Accounting Oversight Board</w:t>
      </w:r>
    </w:p>
    <w:p w:rsidR="008305C3" w:rsidRDefault="008305C3" w:rsidP="00A60C12">
      <w:r>
        <w:t>Title I establishes the Public Company Accounting Oversight Board (PCAOB) to: provide independent oversight of public accounting firms providing audit services, register auditors, adopt standards for compliance audits, conduct investigations, and enforce compliance with the Act.</w:t>
      </w:r>
    </w:p>
    <w:p w:rsidR="008305C3" w:rsidRDefault="008305C3" w:rsidP="00A60C12">
      <w:pPr>
        <w:pStyle w:val="Heading40"/>
      </w:pPr>
      <w:r>
        <w:lastRenderedPageBreak/>
        <w:t>Title II–Auditor Independence</w:t>
      </w:r>
    </w:p>
    <w:p w:rsidR="008305C3" w:rsidRDefault="008305C3" w:rsidP="00A60C12">
      <w:r>
        <w:t>Title II establishes standards for external auditor independence and limits non-audit services that can be provided by external auditors.  It also establishes provisions for auditor pre-approval, audit partner rotation, auditor rotation, and auditor reporting requirements.</w:t>
      </w:r>
    </w:p>
    <w:p w:rsidR="008305C3" w:rsidRDefault="008305C3" w:rsidP="00A60C12">
      <w:pPr>
        <w:pStyle w:val="Heading40"/>
      </w:pPr>
      <w:r>
        <w:t>Title III–Corporate Responsibility</w:t>
      </w:r>
    </w:p>
    <w:p w:rsidR="008305C3" w:rsidRDefault="008305C3" w:rsidP="00A60C12">
      <w:r>
        <w:t xml:space="preserve">Title III requires that the board audit committee be comprised of independent directors, that the audit committee </w:t>
      </w:r>
      <w:proofErr w:type="gramStart"/>
      <w:r>
        <w:t>be</w:t>
      </w:r>
      <w:proofErr w:type="gramEnd"/>
      <w:r>
        <w:t xml:space="preserve"> directly responsible for oversight of the external auditor, and that senior executives </w:t>
      </w:r>
      <w:r w:rsidRPr="00F029A2">
        <w:t xml:space="preserve">take </w:t>
      </w:r>
      <w:r w:rsidRPr="00F029A2">
        <w:rPr>
          <w:bCs/>
        </w:rPr>
        <w:t>individual responsibility</w:t>
      </w:r>
      <w:r>
        <w:t xml:space="preserve"> for the accuracy and completeness of corporate financial reports.  It also requires the establishment of procedures for handling and assessing complaints of employees.</w:t>
      </w:r>
    </w:p>
    <w:p w:rsidR="008305C3" w:rsidRDefault="008305C3" w:rsidP="00A60C12">
      <w:pPr>
        <w:pStyle w:val="Heading40"/>
      </w:pPr>
      <w:r>
        <w:t>Title IV–Enhanced Financial Disclosures</w:t>
      </w:r>
    </w:p>
    <w:p w:rsidR="008305C3" w:rsidRDefault="008305C3" w:rsidP="00A60C12">
      <w:r>
        <w:t xml:space="preserve">Title IV describes enhanced reporting requirements using generally accepted accounting principles for financial reporting, </w:t>
      </w:r>
      <w:r w:rsidRPr="00570950">
        <w:rPr>
          <w:rFonts w:cs="Arial"/>
        </w:rPr>
        <w:t xml:space="preserve">including </w:t>
      </w:r>
      <w:r>
        <w:rPr>
          <w:rFonts w:cs="Arial"/>
        </w:rPr>
        <w:t xml:space="preserve">off-balance sheet </w:t>
      </w:r>
      <w:r>
        <w:t>transactions, pro-forma figures, and stock transactions of corporate officers.  It makes unlawful the extension of personal loans by a company to its directors or officers.  It requires internal controls to limit conflicts of interest, assuring the accuracy of financial reports and disclosures, and requires both audits and assessment reports of internal controls.  It also requires timely reporting of material changes in financial condition and specific enhanced reviews by the SEC or its agents of corporate reports.</w:t>
      </w:r>
    </w:p>
    <w:p w:rsidR="008305C3" w:rsidRDefault="008305C3" w:rsidP="00A60C12">
      <w:pPr>
        <w:pStyle w:val="Heading40"/>
      </w:pPr>
      <w:r>
        <w:t>Title V–Analyst Conflicts of Interest</w:t>
      </w:r>
    </w:p>
    <w:p w:rsidR="008305C3" w:rsidRDefault="008305C3" w:rsidP="00A60C12">
      <w:r>
        <w:t>Title V includes measures to eliminate conflicts of interest involving securities analysts who recommend equities in research reports or public appearances.  It requires disclosure of analyst ownership or other interests in recommended equities.</w:t>
      </w:r>
    </w:p>
    <w:p w:rsidR="008305C3" w:rsidRDefault="008305C3" w:rsidP="00A60C12">
      <w:pPr>
        <w:pStyle w:val="Heading40"/>
      </w:pPr>
      <w:r>
        <w:t>Title VI–Commission Resources and Authority</w:t>
      </w:r>
    </w:p>
    <w:p w:rsidR="008305C3" w:rsidRDefault="008305C3" w:rsidP="00A60C12">
      <w:r>
        <w:t>Title VI expands the Securities and Exchange Commission (SEC) resources and capabilities to oversee and discipline auditors and securities analysts, brokers and dealers. It further defines disciplinary actions to be invoked by the SEC.</w:t>
      </w:r>
    </w:p>
    <w:p w:rsidR="008305C3" w:rsidRDefault="008305C3" w:rsidP="00A60C12">
      <w:pPr>
        <w:pStyle w:val="Heading40"/>
      </w:pPr>
      <w:r>
        <w:t>Title VII–Studies and Reports</w:t>
      </w:r>
    </w:p>
    <w:p w:rsidR="008305C3" w:rsidRDefault="008305C3" w:rsidP="00A60C12">
      <w:r>
        <w:t>Title VII orders various studies to be performed by the SEC and other government agencies and to report their findings. Studies and reports include the effects of consolidation of public accounting firms, the role of credit rating agencies in the operation of securities markets, securities violators and violations, enforcement actions, and investment banks.</w:t>
      </w:r>
    </w:p>
    <w:p w:rsidR="008305C3" w:rsidRDefault="008305C3" w:rsidP="00A60C12">
      <w:pPr>
        <w:pStyle w:val="Heading40"/>
      </w:pPr>
      <w:r>
        <w:t>Title VIII–Corporate and Criminal Fraud Accountability</w:t>
      </w:r>
    </w:p>
    <w:p w:rsidR="008305C3" w:rsidRPr="00FC6876" w:rsidRDefault="008305C3" w:rsidP="00A60C12">
      <w:pPr>
        <w:autoSpaceDE w:val="0"/>
        <w:autoSpaceDN w:val="0"/>
        <w:adjustRightInd w:val="0"/>
        <w:rPr>
          <w:rFonts w:cs="Arial"/>
          <w:b/>
          <w:bCs/>
          <w:szCs w:val="24"/>
        </w:rPr>
      </w:pPr>
      <w:r>
        <w:t xml:space="preserve">Title VIII </w:t>
      </w:r>
      <w:r w:rsidRPr="00FC6876">
        <w:rPr>
          <w:rFonts w:cs="Arial"/>
          <w:szCs w:val="24"/>
        </w:rPr>
        <w:t>describes specific criminal penalties</w:t>
      </w:r>
      <w:r>
        <w:rPr>
          <w:rFonts w:cs="Arial"/>
          <w:szCs w:val="24"/>
        </w:rPr>
        <w:t xml:space="preserve"> and legal limitations</w:t>
      </w:r>
      <w:r w:rsidRPr="00FC6876">
        <w:rPr>
          <w:rFonts w:cs="Arial"/>
          <w:szCs w:val="24"/>
        </w:rPr>
        <w:t xml:space="preserve"> for </w:t>
      </w:r>
      <w:r>
        <w:rPr>
          <w:rFonts w:cs="Arial"/>
          <w:szCs w:val="24"/>
        </w:rPr>
        <w:t>d</w:t>
      </w:r>
      <w:r w:rsidRPr="00FC6876">
        <w:rPr>
          <w:rFonts w:cs="Arial"/>
          <w:bCs/>
          <w:szCs w:val="24"/>
        </w:rPr>
        <w:t xml:space="preserve">estruction, alteration, or falsification of records In Federal investigations and bankruptcy, </w:t>
      </w:r>
      <w:r>
        <w:rPr>
          <w:rFonts w:cs="Arial"/>
          <w:bCs/>
          <w:szCs w:val="24"/>
        </w:rPr>
        <w:t>for d</w:t>
      </w:r>
      <w:r w:rsidRPr="00FC6876">
        <w:rPr>
          <w:rFonts w:cs="Arial"/>
          <w:bCs/>
          <w:szCs w:val="24"/>
        </w:rPr>
        <w:t xml:space="preserve">estruction of corporate audit records and </w:t>
      </w:r>
      <w:r>
        <w:rPr>
          <w:rFonts w:cs="Arial"/>
          <w:bCs/>
          <w:szCs w:val="24"/>
        </w:rPr>
        <w:t xml:space="preserve">for </w:t>
      </w:r>
      <w:r w:rsidRPr="00FC6876">
        <w:rPr>
          <w:rFonts w:cs="Arial"/>
          <w:bCs/>
          <w:szCs w:val="24"/>
        </w:rPr>
        <w:t>protection for employees of publicly traded companies who provide evidence of fraud.</w:t>
      </w:r>
    </w:p>
    <w:p w:rsidR="008305C3" w:rsidRDefault="008305C3" w:rsidP="00356110">
      <w:pPr>
        <w:pStyle w:val="Heading40"/>
      </w:pPr>
      <w:r>
        <w:lastRenderedPageBreak/>
        <w:t>Title IX–White-Collar Crime Penalty Enhancements</w:t>
      </w:r>
    </w:p>
    <w:p w:rsidR="008305C3" w:rsidRDefault="008305C3" w:rsidP="00A60C12">
      <w:r>
        <w:t>This section imposes the same criminal penalties on those who attempt or conspire to commit white collar crimes and conspiracies as those who commit such crimes.  It includes more substantial sentencing guidelines and specifically includes criminal penalties on those who inaccurately or fraudulently certify corporate financial reports.</w:t>
      </w:r>
    </w:p>
    <w:p w:rsidR="008305C3" w:rsidRDefault="008305C3" w:rsidP="00A60C12">
      <w:pPr>
        <w:pStyle w:val="Heading40"/>
      </w:pPr>
      <w:r>
        <w:t>Title X–Corporate Tax Returns</w:t>
      </w:r>
    </w:p>
    <w:p w:rsidR="008305C3" w:rsidRDefault="008305C3" w:rsidP="00A60C12">
      <w:r>
        <w:t xml:space="preserve">Title X states it is the sense of the Senate that the </w:t>
      </w:r>
      <w:r w:rsidRPr="00A039CE">
        <w:t>Chief Executive Officer</w:t>
      </w:r>
      <w:r>
        <w:t xml:space="preserve"> should sign the company tax return.</w:t>
      </w:r>
      <w:r w:rsidRPr="00440B39">
        <w:t xml:space="preserve"> </w:t>
      </w:r>
    </w:p>
    <w:p w:rsidR="008305C3" w:rsidRDefault="008305C3" w:rsidP="00A60C12">
      <w:pPr>
        <w:pStyle w:val="Heading40"/>
      </w:pPr>
      <w:r>
        <w:t>Title XI–Corporate Fraud and Accountability</w:t>
      </w:r>
    </w:p>
    <w:p w:rsidR="008305C3" w:rsidRPr="004608E4" w:rsidRDefault="008305C3" w:rsidP="00A60C12">
      <w:r>
        <w:t>Title XI identifies corporate fraud and records tampering as criminal offenses and specifies the penalties for such offenses.  It also identifies as an offense under this title retaliation against informants and specifies the penalties for such an offense.</w:t>
      </w:r>
    </w:p>
    <w:p w:rsidR="008305C3" w:rsidRPr="00E51FF4" w:rsidRDefault="008305C3" w:rsidP="00A60C12">
      <w:pPr>
        <w:pStyle w:val="Heading30"/>
      </w:pPr>
      <w:r>
        <w:t>ppl corporation board of directors</w:t>
      </w:r>
    </w:p>
    <w:p w:rsidR="008305C3" w:rsidRDefault="008305C3" w:rsidP="00A60C12">
      <w:r>
        <w:t>PPL Corporation is governed by a Board of Directors (Board) consisting of nine Directors that include one internal Director and eight independent Directors.  The internal Director serves as the Chairman of the Board in addition to his duties as PPL Corporation’s President and Chief Executive Officer (CEO).</w:t>
      </w:r>
    </w:p>
    <w:p w:rsidR="008305C3" w:rsidRDefault="008305C3" w:rsidP="002F48C2">
      <w:pPr>
        <w:pStyle w:val="Heading40"/>
      </w:pPr>
      <w:r>
        <w:t>Governing Documents</w:t>
      </w:r>
    </w:p>
    <w:p w:rsidR="008305C3" w:rsidRDefault="008305C3" w:rsidP="00A60C12">
      <w:r>
        <w:t>The governance of PPL Corporation is guided by several documents that have been adopted by it or by the Board.  These documents include the following:</w:t>
      </w:r>
    </w:p>
    <w:p w:rsidR="008305C3" w:rsidRDefault="008305C3" w:rsidP="00A60C12">
      <w:pPr>
        <w:pStyle w:val="Bullet"/>
      </w:pPr>
      <w:r>
        <w:t>Amended and Restated Articles of Incorporation of PPL Corporation.  This document contains several articles that stipulate, among other items, the name and location of the corporation, the statutes under which it is incorporated, the numbers and</w:t>
      </w:r>
      <w:r w:rsidRPr="00437DD6">
        <w:t xml:space="preserve"> </w:t>
      </w:r>
      <w:r>
        <w:t>classification of common and preferred stock, shareholder voting rights, and stock ownership matters and related policies.</w:t>
      </w:r>
    </w:p>
    <w:p w:rsidR="008305C3" w:rsidRDefault="008305C3" w:rsidP="00A60C12">
      <w:pPr>
        <w:pStyle w:val="Bullet"/>
      </w:pPr>
      <w:r>
        <w:t>Bylaws of PPL Corporation.  This document stipulates the governance policies and practices pertaining to PPL corporate meetings, shareholders, the Board, corporate officers, capital stock, indemnification of directors, and other miscellaneous administrative matters.</w:t>
      </w:r>
    </w:p>
    <w:p w:rsidR="008305C3" w:rsidRDefault="008305C3" w:rsidP="00A60C12">
      <w:pPr>
        <w:pStyle w:val="Bullet"/>
      </w:pPr>
      <w:r>
        <w:t xml:space="preserve">Guidelines for Corporate Governance.  This document provides additional guidance on Board governance matters including the role of the Board, role of the Lead Director, Director </w:t>
      </w:r>
      <w:proofErr w:type="gramStart"/>
      <w:r>
        <w:t>independence</w:t>
      </w:r>
      <w:proofErr w:type="gramEnd"/>
      <w:r>
        <w:t xml:space="preserve">, </w:t>
      </w:r>
      <w:r>
        <w:rPr>
          <w:color w:val="000000"/>
        </w:rPr>
        <w:t>D</w:t>
      </w:r>
      <w:r w:rsidRPr="00F01A8B">
        <w:rPr>
          <w:color w:val="000000"/>
        </w:rPr>
        <w:t xml:space="preserve">irector </w:t>
      </w:r>
      <w:r>
        <w:t xml:space="preserve">selection and </w:t>
      </w:r>
      <w:r w:rsidRPr="00F01A8B">
        <w:rPr>
          <w:color w:val="000000"/>
        </w:rPr>
        <w:t>qualification standards</w:t>
      </w:r>
      <w:r>
        <w:rPr>
          <w:color w:val="000000"/>
        </w:rPr>
        <w:t>,</w:t>
      </w:r>
      <w:r w:rsidRPr="00F01A8B">
        <w:rPr>
          <w:color w:val="000000"/>
        </w:rPr>
        <w:t xml:space="preserve"> </w:t>
      </w:r>
      <w:r>
        <w:t>ethics and conflicts of interest, and numerous other governance topics.</w:t>
      </w:r>
    </w:p>
    <w:p w:rsidR="008305C3" w:rsidRPr="00CC5BF2" w:rsidRDefault="008305C3" w:rsidP="00A60C12">
      <w:pPr>
        <w:pStyle w:val="Bullet"/>
        <w:rPr>
          <w:rFonts w:ascii="YSFTE Z+ Delicious" w:hAnsi="YSFTE Z+ Delicious" w:cs="YSFTE Z+ Delicious"/>
        </w:rPr>
      </w:pPr>
      <w:r>
        <w:t>Standards of Integrity (Standards).  This document sets forth guidance on</w:t>
      </w:r>
      <w:r w:rsidRPr="00CC5BF2">
        <w:t xml:space="preserve"> the legal and ethical principles that must be followed by everyone working within the PPL</w:t>
      </w:r>
      <w:r>
        <w:t xml:space="preserve"> Corporation</w:t>
      </w:r>
      <w:r w:rsidRPr="00CC5BF2">
        <w:t xml:space="preserve"> family of companies and provide</w:t>
      </w:r>
      <w:r>
        <w:t>s</w:t>
      </w:r>
      <w:r w:rsidRPr="00CC5BF2">
        <w:t xml:space="preserve"> guidelines for the </w:t>
      </w:r>
      <w:r>
        <w:t>manner in which</w:t>
      </w:r>
      <w:r w:rsidRPr="00CC5BF2">
        <w:t xml:space="preserve"> PPL </w:t>
      </w:r>
      <w:r>
        <w:t xml:space="preserve">Corporation </w:t>
      </w:r>
      <w:r w:rsidRPr="00CC5BF2">
        <w:t>expects these individuals to conduct business.</w:t>
      </w:r>
      <w:r>
        <w:t xml:space="preserve"> </w:t>
      </w:r>
      <w:r w:rsidRPr="00CC5BF2">
        <w:t xml:space="preserve"> </w:t>
      </w:r>
      <w:r>
        <w:t xml:space="preserve">The Standards </w:t>
      </w:r>
      <w:r w:rsidRPr="00CC5BF2">
        <w:t>apply to all directors, officers, managers, employees</w:t>
      </w:r>
      <w:r>
        <w:t>,</w:t>
      </w:r>
      <w:r w:rsidRPr="00CC5BF2">
        <w:t xml:space="preserve"> and agents, as appropriate, of PPL Corporation and its subsidiaries for which an affiliate has operating control</w:t>
      </w:r>
      <w:r>
        <w:t xml:space="preserve">.  </w:t>
      </w:r>
      <w:r w:rsidRPr="00CC5BF2">
        <w:t xml:space="preserve">All employees of PPL </w:t>
      </w:r>
      <w:r>
        <w:t xml:space="preserve">Corporation subsidiaries </w:t>
      </w:r>
      <w:r w:rsidRPr="00CC5BF2">
        <w:t>are responsible for knowing, understanding</w:t>
      </w:r>
      <w:r>
        <w:t>,</w:t>
      </w:r>
      <w:r w:rsidRPr="00CC5BF2">
        <w:t xml:space="preserve"> and abiding by the Standards.</w:t>
      </w:r>
      <w:r>
        <w:t xml:space="preserve">  Additional discussion </w:t>
      </w:r>
      <w:r>
        <w:lastRenderedPageBreak/>
        <w:t>of PPL Corporation ethics and conflict of interest policies is contained later in this chapter.</w:t>
      </w:r>
    </w:p>
    <w:p w:rsidR="008305C3" w:rsidRDefault="008305C3" w:rsidP="00A60C12">
      <w:pPr>
        <w:pStyle w:val="Bullet"/>
      </w:pPr>
      <w:r>
        <w:t xml:space="preserve">Independence Guidelines.  This document contains guidelines that stipulate the conditions that must be met by a Director to assure his or her independence.  To be considered an "independent" director, the Board must affirmatively determine that the director has no material relationship with PPL Corporation or its consolidated subsidiaries, other than as a director.  Additional discussion of Director </w:t>
      </w:r>
      <w:proofErr w:type="gramStart"/>
      <w:r>
        <w:t>independence</w:t>
      </w:r>
      <w:proofErr w:type="gramEnd"/>
      <w:r>
        <w:t xml:space="preserve"> is contained later in this chapter.</w:t>
      </w:r>
    </w:p>
    <w:p w:rsidR="008305C3" w:rsidRDefault="008305C3" w:rsidP="00A60C12">
      <w:pPr>
        <w:pStyle w:val="Bullet"/>
      </w:pPr>
      <w:r>
        <w:t xml:space="preserve">Statement on Poison Pills.  The Board has adopted a policy with respect to shareholder rights plans, commonly known as “poison pills.”  PPL Corporation does not have such a plan and it is the Board’s policy not to adopt a poison pill plan without submitting it to a shareholder vote. </w:t>
      </w:r>
    </w:p>
    <w:p w:rsidR="008305C3" w:rsidRDefault="008305C3" w:rsidP="00A60C12">
      <w:pPr>
        <w:pStyle w:val="Heading40"/>
      </w:pPr>
      <w:r>
        <w:t>PPL Corporation Board Committees, Structure, and Duties</w:t>
      </w:r>
    </w:p>
    <w:p w:rsidR="008305C3" w:rsidRPr="00F12CE8" w:rsidRDefault="008305C3" w:rsidP="00A60C12">
      <w:r>
        <w:t>The Board of Directors has four</w:t>
      </w:r>
      <w:r w:rsidRPr="00F12CE8">
        <w:t xml:space="preserve"> standing committees:</w:t>
      </w:r>
    </w:p>
    <w:p w:rsidR="008305C3" w:rsidRPr="00F12CE8" w:rsidRDefault="008305C3" w:rsidP="00A60C12">
      <w:pPr>
        <w:pStyle w:val="Bullet"/>
      </w:pPr>
      <w:r w:rsidRPr="00F12CE8">
        <w:t>Executive Committee</w:t>
      </w:r>
    </w:p>
    <w:p w:rsidR="008305C3" w:rsidRPr="00F12CE8" w:rsidRDefault="008305C3" w:rsidP="00A60C12">
      <w:pPr>
        <w:pStyle w:val="Bullet"/>
      </w:pPr>
      <w:r w:rsidRPr="00F12CE8">
        <w:t>Compensation, Governance</w:t>
      </w:r>
      <w:r>
        <w:t>,</w:t>
      </w:r>
      <w:r w:rsidRPr="00F12CE8">
        <w:t xml:space="preserve"> and Nominating Committee</w:t>
      </w:r>
    </w:p>
    <w:p w:rsidR="008305C3" w:rsidRPr="00F12CE8" w:rsidRDefault="008305C3" w:rsidP="00A60C12">
      <w:pPr>
        <w:pStyle w:val="Bullet"/>
      </w:pPr>
      <w:r w:rsidRPr="00F12CE8">
        <w:t>Finance Committee</w:t>
      </w:r>
    </w:p>
    <w:p w:rsidR="008305C3" w:rsidRPr="00F12CE8" w:rsidRDefault="008305C3" w:rsidP="00A60C12">
      <w:pPr>
        <w:pStyle w:val="Bullet"/>
      </w:pPr>
      <w:r>
        <w:t>Audit Committee</w:t>
      </w:r>
    </w:p>
    <w:p w:rsidR="008305C3" w:rsidRPr="00F12CE8" w:rsidRDefault="008305C3" w:rsidP="00A60C12">
      <w:pPr>
        <w:pStyle w:val="Normal-aftertable"/>
      </w:pPr>
      <w:r w:rsidRPr="00F12CE8">
        <w:t>Each non-employee director usually serves on one or more of these committees.</w:t>
      </w:r>
      <w:r>
        <w:t xml:space="preserve"> </w:t>
      </w:r>
      <w:r w:rsidRPr="00F12CE8">
        <w:t xml:space="preserve"> All </w:t>
      </w:r>
      <w:r>
        <w:t xml:space="preserve">Board </w:t>
      </w:r>
      <w:r w:rsidRPr="00F12CE8">
        <w:t>committees,</w:t>
      </w:r>
      <w:r>
        <w:t xml:space="preserve"> </w:t>
      </w:r>
      <w:r w:rsidRPr="00F12CE8">
        <w:t>with the exception of the Executive Committee, are composed entirely of independent directors.</w:t>
      </w:r>
      <w:r>
        <w:t xml:space="preserve"> </w:t>
      </w:r>
      <w:r w:rsidRPr="00F12CE8">
        <w:t xml:space="preserve"> Each</w:t>
      </w:r>
      <w:r>
        <w:t xml:space="preserve"> </w:t>
      </w:r>
      <w:r w:rsidRPr="00F12CE8">
        <w:t>committee has a charter</w:t>
      </w:r>
      <w:r>
        <w:t xml:space="preserve"> that specifies the membership and meeting requirements, responsibilities</w:t>
      </w:r>
      <w:r w:rsidRPr="00F12CE8">
        <w:t>,</w:t>
      </w:r>
      <w:r>
        <w:t xml:space="preserve"> and authorities of the committee.</w:t>
      </w:r>
    </w:p>
    <w:p w:rsidR="008305C3" w:rsidRPr="00415D0A" w:rsidRDefault="008305C3" w:rsidP="00A60C12">
      <w:proofErr w:type="gramStart"/>
      <w:r>
        <w:rPr>
          <w:b/>
          <w:bCs/>
          <w:iCs/>
        </w:rPr>
        <w:t xml:space="preserve">Executive </w:t>
      </w:r>
      <w:r w:rsidRPr="00415D0A">
        <w:rPr>
          <w:b/>
          <w:bCs/>
          <w:iCs/>
        </w:rPr>
        <w:t>Committee.</w:t>
      </w:r>
      <w:proofErr w:type="gramEnd"/>
      <w:r w:rsidRPr="00D67E12">
        <w:rPr>
          <w:bCs/>
          <w:iCs/>
        </w:rPr>
        <w:t xml:space="preserve"> </w:t>
      </w:r>
      <w:r>
        <w:rPr>
          <w:bCs/>
          <w:iCs/>
        </w:rPr>
        <w:t xml:space="preserve"> The principal function of the Executive Committee is, d</w:t>
      </w:r>
      <w:r w:rsidRPr="00415D0A">
        <w:t>uring periods between Board meetings</w:t>
      </w:r>
      <w:r>
        <w:t>,</w:t>
      </w:r>
      <w:r w:rsidRPr="00D67E12">
        <w:rPr>
          <w:bCs/>
          <w:iCs/>
        </w:rPr>
        <w:t xml:space="preserve"> </w:t>
      </w:r>
      <w:r>
        <w:rPr>
          <w:bCs/>
          <w:iCs/>
        </w:rPr>
        <w:t>to</w:t>
      </w:r>
      <w:r w:rsidRPr="00415D0A">
        <w:t xml:space="preserve"> </w:t>
      </w:r>
      <w:r>
        <w:t>e</w:t>
      </w:r>
      <w:r w:rsidRPr="00415D0A">
        <w:t>xercise the p</w:t>
      </w:r>
      <w:r>
        <w:t xml:space="preserve">owers of the Board of Directors. </w:t>
      </w:r>
      <w:r w:rsidRPr="00415D0A">
        <w:t xml:space="preserve"> </w:t>
      </w:r>
      <w:r>
        <w:t>E</w:t>
      </w:r>
      <w:r w:rsidRPr="00415D0A">
        <w:t>xcept</w:t>
      </w:r>
      <w:r>
        <w:t>ions are</w:t>
      </w:r>
      <w:r w:rsidRPr="00415D0A">
        <w:t xml:space="preserve"> that the Executive Committee may not elect directors, change the membership of or fill vacancies in the Executive Committee, fix the compensation of the directors, change the Bylaws</w:t>
      </w:r>
      <w:r>
        <w:t>,</w:t>
      </w:r>
      <w:r w:rsidRPr="00415D0A">
        <w:t xml:space="preserve"> or take any action restricted by the Pennsylvania Business Corporation Law or the Bylaws (including actions committed to another Board committee).</w:t>
      </w:r>
      <w:r>
        <w:t xml:space="preserve">  The Executive Committee consists of five members with expertise in strategic management, international business, finance, accounting, risk management, organizational and operational management,</w:t>
      </w:r>
      <w:r w:rsidRPr="00FA3808">
        <w:t xml:space="preserve"> </w:t>
      </w:r>
      <w:r>
        <w:t>and publicly traded companies.</w:t>
      </w:r>
    </w:p>
    <w:p w:rsidR="008305C3" w:rsidRPr="00F12CE8" w:rsidRDefault="008305C3" w:rsidP="00A60C12">
      <w:proofErr w:type="gramStart"/>
      <w:r w:rsidRPr="00415D0A">
        <w:rPr>
          <w:b/>
          <w:bCs/>
          <w:iCs/>
        </w:rPr>
        <w:t>Compensation, Governance</w:t>
      </w:r>
      <w:r>
        <w:rPr>
          <w:b/>
          <w:bCs/>
          <w:iCs/>
        </w:rPr>
        <w:t>,</w:t>
      </w:r>
      <w:r w:rsidRPr="00415D0A">
        <w:rPr>
          <w:b/>
          <w:bCs/>
          <w:iCs/>
        </w:rPr>
        <w:t xml:space="preserve"> and Nominating Committee.</w:t>
      </w:r>
      <w:proofErr w:type="gramEnd"/>
      <w:r w:rsidRPr="00415D0A">
        <w:rPr>
          <w:b/>
          <w:bCs/>
          <w:iCs/>
        </w:rPr>
        <w:t xml:space="preserve"> </w:t>
      </w:r>
      <w:r w:rsidRPr="00415D0A">
        <w:t>The</w:t>
      </w:r>
      <w:r w:rsidRPr="00F12CE8">
        <w:t xml:space="preserve"> principal functions of the</w:t>
      </w:r>
      <w:r>
        <w:t xml:space="preserve"> </w:t>
      </w:r>
      <w:r w:rsidRPr="00F12CE8">
        <w:t>Compensation, Governance</w:t>
      </w:r>
      <w:r>
        <w:t>,</w:t>
      </w:r>
      <w:r w:rsidRPr="00F12CE8">
        <w:t xml:space="preserve"> and Nominating Committee, or CGNC, are</w:t>
      </w:r>
      <w:r>
        <w:t xml:space="preserve"> to</w:t>
      </w:r>
      <w:r w:rsidRPr="00F12CE8">
        <w:t>:</w:t>
      </w:r>
    </w:p>
    <w:p w:rsidR="008305C3" w:rsidRPr="00F12CE8" w:rsidRDefault="008305C3" w:rsidP="00A60C12">
      <w:pPr>
        <w:pStyle w:val="Bullet"/>
      </w:pPr>
      <w:r>
        <w:t>R</w:t>
      </w:r>
      <w:r w:rsidRPr="00F12CE8">
        <w:t>eview and evaluate</w:t>
      </w:r>
      <w:r>
        <w:t>,</w:t>
      </w:r>
      <w:r w:rsidRPr="00F12CE8">
        <w:t xml:space="preserve"> at least annually</w:t>
      </w:r>
      <w:r>
        <w:t>,</w:t>
      </w:r>
      <w:r w:rsidRPr="00F12CE8">
        <w:t xml:space="preserve"> the performance of the Chief Executive Officer and</w:t>
      </w:r>
      <w:r>
        <w:t xml:space="preserve"> </w:t>
      </w:r>
      <w:r w:rsidRPr="00F12CE8">
        <w:t xml:space="preserve">other executive officers of the </w:t>
      </w:r>
      <w:r>
        <w:t>C</w:t>
      </w:r>
      <w:r w:rsidRPr="00F12CE8">
        <w:t>ompany, including setting goals and objectives, and to set</w:t>
      </w:r>
      <w:r>
        <w:t xml:space="preserve"> </w:t>
      </w:r>
      <w:r w:rsidRPr="00F12CE8">
        <w:t>their remuneration, including incentive awards</w:t>
      </w:r>
    </w:p>
    <w:p w:rsidR="008305C3" w:rsidRPr="00F12CE8" w:rsidRDefault="008305C3" w:rsidP="00A60C12">
      <w:pPr>
        <w:pStyle w:val="Bullet"/>
      </w:pPr>
      <w:r>
        <w:t>R</w:t>
      </w:r>
      <w:r w:rsidRPr="00F12CE8">
        <w:t>eview management’s succession planning</w:t>
      </w:r>
    </w:p>
    <w:p w:rsidR="008305C3" w:rsidRPr="00F12CE8" w:rsidRDefault="008305C3" w:rsidP="00A60C12">
      <w:pPr>
        <w:pStyle w:val="Bullet"/>
      </w:pPr>
      <w:r>
        <w:t>I</w:t>
      </w:r>
      <w:r w:rsidRPr="00F12CE8">
        <w:t>dentify and recommend to the Board candidates for election to the Board</w:t>
      </w:r>
    </w:p>
    <w:p w:rsidR="008305C3" w:rsidRPr="00F12CE8" w:rsidRDefault="008305C3" w:rsidP="00A60C12">
      <w:pPr>
        <w:pStyle w:val="Bullet"/>
      </w:pPr>
      <w:r>
        <w:t>R</w:t>
      </w:r>
      <w:r w:rsidRPr="00F12CE8">
        <w:t>eview the fees paid to outside directors for their services on the Board and its</w:t>
      </w:r>
      <w:r>
        <w:t xml:space="preserve"> </w:t>
      </w:r>
      <w:r w:rsidRPr="00F12CE8">
        <w:t>Committees;</w:t>
      </w:r>
    </w:p>
    <w:p w:rsidR="008305C3" w:rsidRPr="00F12CE8" w:rsidRDefault="008305C3" w:rsidP="00A60C12">
      <w:pPr>
        <w:pStyle w:val="Bullet"/>
      </w:pPr>
      <w:r>
        <w:lastRenderedPageBreak/>
        <w:t>E</w:t>
      </w:r>
      <w:r w:rsidRPr="00F12CE8">
        <w:t>stablish and administer programs for evaluating the performance of Board members</w:t>
      </w:r>
    </w:p>
    <w:p w:rsidR="008305C3" w:rsidRPr="00F12CE8" w:rsidRDefault="008305C3" w:rsidP="00A60C12">
      <w:pPr>
        <w:pStyle w:val="Bullet"/>
      </w:pPr>
      <w:r>
        <w:t>D</w:t>
      </w:r>
      <w:r w:rsidRPr="00F12CE8">
        <w:t>evelop and recommend to the Board corporate governance guidelines applicable to the</w:t>
      </w:r>
      <w:r>
        <w:t xml:space="preserve"> </w:t>
      </w:r>
      <w:r w:rsidRPr="00F12CE8">
        <w:t>company</w:t>
      </w:r>
    </w:p>
    <w:p w:rsidR="008305C3" w:rsidRPr="00F12CE8" w:rsidRDefault="008305C3" w:rsidP="00A60C12">
      <w:pPr>
        <w:pStyle w:val="Normal-aftertable"/>
      </w:pPr>
      <w:r w:rsidRPr="00F12CE8">
        <w:t>All of the members of the CGNC are independent within the meaning of the listing standards of the</w:t>
      </w:r>
      <w:r>
        <w:t xml:space="preserve"> </w:t>
      </w:r>
      <w:r w:rsidRPr="00F12CE8">
        <w:t xml:space="preserve">NYSE, including those rules applicable to </w:t>
      </w:r>
      <w:r>
        <w:t>B</w:t>
      </w:r>
      <w:r w:rsidRPr="00F12CE8">
        <w:t xml:space="preserve">oard and committee service, and the </w:t>
      </w:r>
      <w:r>
        <w:t>PPL Corporation</w:t>
      </w:r>
      <w:r w:rsidRPr="00F12CE8">
        <w:t>’s standards</w:t>
      </w:r>
      <w:r>
        <w:t xml:space="preserve"> </w:t>
      </w:r>
      <w:r w:rsidRPr="00F12CE8">
        <w:t xml:space="preserve">of independence described </w:t>
      </w:r>
      <w:r>
        <w:t>below</w:t>
      </w:r>
      <w:r w:rsidRPr="00F12CE8">
        <w:t xml:space="preserve"> under the heading</w:t>
      </w:r>
      <w:r>
        <w:t>,</w:t>
      </w:r>
      <w:r w:rsidRPr="00F12CE8">
        <w:t xml:space="preserve"> “Independence of Directors.”</w:t>
      </w:r>
      <w:r>
        <w:t xml:space="preserve"> </w:t>
      </w:r>
      <w:r w:rsidRPr="00F12CE8">
        <w:t xml:space="preserve"> In addition, each</w:t>
      </w:r>
      <w:r>
        <w:t xml:space="preserve"> </w:t>
      </w:r>
      <w:r w:rsidRPr="00F12CE8">
        <w:t>member of the CGNC is a “non-employee director” as defined in Rule 16b-3 under the Securities</w:t>
      </w:r>
      <w:r>
        <w:t xml:space="preserve"> </w:t>
      </w:r>
      <w:r w:rsidRPr="00F12CE8">
        <w:t>Exchange Act of 1934, as amended</w:t>
      </w:r>
      <w:r>
        <w:t xml:space="preserve"> (</w:t>
      </w:r>
      <w:r w:rsidRPr="00F12CE8">
        <w:t>Exchange Act</w:t>
      </w:r>
      <w:r>
        <w:t>)</w:t>
      </w:r>
      <w:r w:rsidRPr="00F12CE8">
        <w:t>, and is an “outside director” as defined for</w:t>
      </w:r>
      <w:r>
        <w:t xml:space="preserve"> </w:t>
      </w:r>
      <w:r w:rsidRPr="00F12CE8">
        <w:t>Section 162(m) of the Internal Revenue Code.</w:t>
      </w:r>
      <w:r>
        <w:t xml:space="preserve">  The CGNC consists of four members with expertise in international business, finance, risk management, organizational and operational management,</w:t>
      </w:r>
      <w:r w:rsidRPr="00FA3808">
        <w:t xml:space="preserve"> </w:t>
      </w:r>
      <w:r>
        <w:t>and publicly traded companies.</w:t>
      </w:r>
    </w:p>
    <w:p w:rsidR="008305C3" w:rsidRPr="00415D0A" w:rsidRDefault="008305C3" w:rsidP="00A60C12">
      <w:r w:rsidRPr="00415D0A">
        <w:rPr>
          <w:rFonts w:ascii="ArialMT-BoldItalic" w:hAnsi="ArialMT-BoldItalic" w:cs="ArialMT-BoldItalic"/>
          <w:b/>
          <w:bCs/>
          <w:iCs/>
        </w:rPr>
        <w:t xml:space="preserve">Finance Committee. </w:t>
      </w:r>
      <w:r w:rsidRPr="00415D0A">
        <w:t>The principal functions of the Finance Committee are</w:t>
      </w:r>
      <w:r>
        <w:t xml:space="preserve"> to</w:t>
      </w:r>
      <w:r w:rsidRPr="00415D0A">
        <w:t>:</w:t>
      </w:r>
    </w:p>
    <w:p w:rsidR="008305C3" w:rsidRPr="00415D0A" w:rsidRDefault="008305C3" w:rsidP="00A60C12">
      <w:pPr>
        <w:pStyle w:val="Bullet"/>
      </w:pPr>
      <w:r>
        <w:t>R</w:t>
      </w:r>
      <w:r w:rsidRPr="00415D0A">
        <w:t xml:space="preserve">eview and approve annually the three-year business plan, which includes the annual financing plan, as well as the five-year capital expenditure plan for the </w:t>
      </w:r>
      <w:r>
        <w:t>C</w:t>
      </w:r>
      <w:r w:rsidRPr="00415D0A">
        <w:t>ompany</w:t>
      </w:r>
      <w:r>
        <w:t xml:space="preserve"> and entities that are consolidated with the Company for financial reporting purposes (Subsidiaries)</w:t>
      </w:r>
    </w:p>
    <w:p w:rsidR="008305C3" w:rsidRPr="00415D0A" w:rsidRDefault="008305C3" w:rsidP="00A60C12">
      <w:pPr>
        <w:pStyle w:val="Bullet"/>
      </w:pPr>
      <w:r>
        <w:t>A</w:t>
      </w:r>
      <w:r w:rsidRPr="00415D0A">
        <w:t xml:space="preserve">pprove </w:t>
      </w:r>
      <w:r>
        <w:t>third-party</w:t>
      </w:r>
      <w:r w:rsidRPr="00415D0A">
        <w:t xml:space="preserve"> financings in excess of $50 million, to the extent not contemplated by the annual financing plan approved by the Finance Committee</w:t>
      </w:r>
    </w:p>
    <w:p w:rsidR="008305C3" w:rsidRPr="00415D0A" w:rsidRDefault="008305C3" w:rsidP="00A60C12">
      <w:pPr>
        <w:pStyle w:val="Bullet"/>
      </w:pPr>
      <w:r>
        <w:t>A</w:t>
      </w:r>
      <w:r w:rsidRPr="00415D0A">
        <w:t xml:space="preserve">pprove reductions of the outstanding securities of the </w:t>
      </w:r>
      <w:r>
        <w:t>C</w:t>
      </w:r>
      <w:r w:rsidRPr="00415D0A">
        <w:t xml:space="preserve">ompany </w:t>
      </w:r>
      <w:r>
        <w:t xml:space="preserve">and its Subsidiaries </w:t>
      </w:r>
      <w:r w:rsidRPr="00415D0A">
        <w:t>in excess of $100 million</w:t>
      </w:r>
    </w:p>
    <w:p w:rsidR="008305C3" w:rsidRPr="00415D0A" w:rsidRDefault="008305C3" w:rsidP="00A60C12">
      <w:pPr>
        <w:pStyle w:val="Bullet"/>
      </w:pPr>
      <w:r>
        <w:t>A</w:t>
      </w:r>
      <w:r w:rsidRPr="00415D0A">
        <w:t>uthorize capital expenditures in excess of $100 million</w:t>
      </w:r>
    </w:p>
    <w:p w:rsidR="008305C3" w:rsidRPr="00415D0A" w:rsidRDefault="008305C3" w:rsidP="00A60C12">
      <w:pPr>
        <w:pStyle w:val="Bullet"/>
      </w:pPr>
      <w:r>
        <w:t>A</w:t>
      </w:r>
      <w:r w:rsidRPr="00415D0A">
        <w:t>uthorize acquisitions and dispositions in excess of $75 million</w:t>
      </w:r>
    </w:p>
    <w:p w:rsidR="008305C3" w:rsidRPr="00415D0A" w:rsidRDefault="008305C3" w:rsidP="00A60C12">
      <w:pPr>
        <w:pStyle w:val="Bullet"/>
      </w:pPr>
      <w:r>
        <w:t>R</w:t>
      </w:r>
      <w:r w:rsidRPr="00415D0A">
        <w:t>eview, approve</w:t>
      </w:r>
      <w:r>
        <w:t>,</w:t>
      </w:r>
      <w:r w:rsidRPr="00415D0A">
        <w:t xml:space="preserve"> and monitor the policies and practices of the </w:t>
      </w:r>
      <w:r>
        <w:t>C</w:t>
      </w:r>
      <w:r w:rsidRPr="00415D0A">
        <w:t xml:space="preserve">ompany and its </w:t>
      </w:r>
      <w:r>
        <w:t>S</w:t>
      </w:r>
      <w:r w:rsidRPr="00415D0A">
        <w:t>ubsidiaries in managing financial risk</w:t>
      </w:r>
    </w:p>
    <w:p w:rsidR="008305C3" w:rsidRPr="00415D0A" w:rsidRDefault="008305C3" w:rsidP="00A60C12">
      <w:pPr>
        <w:pStyle w:val="Normal-aftertable"/>
      </w:pPr>
      <w:r>
        <w:t xml:space="preserve">Although </w:t>
      </w:r>
      <w:r w:rsidRPr="00D60C20">
        <w:t>PPL EU has the auth</w:t>
      </w:r>
      <w:r>
        <w:t xml:space="preserve">ority to borrow funds, </w:t>
      </w:r>
      <w:r w:rsidRPr="00D60C20">
        <w:t xml:space="preserve">all proposals involving EU debt </w:t>
      </w:r>
      <w:r>
        <w:t xml:space="preserve">in excess of $50 million </w:t>
      </w:r>
      <w:r w:rsidRPr="00D60C20">
        <w:t>are referred to the PPL Corporat</w:t>
      </w:r>
      <w:r>
        <w:t>ion</w:t>
      </w:r>
      <w:r w:rsidRPr="00D60C20">
        <w:t xml:space="preserve"> Finance Committee for review and approval.</w:t>
      </w:r>
      <w:r>
        <w:t xml:space="preserve"> The PPL EU Board makes the final determination of whether to authorize any borrowings.</w:t>
      </w:r>
    </w:p>
    <w:p w:rsidR="008305C3" w:rsidRDefault="008305C3" w:rsidP="00A60C12">
      <w:r w:rsidRPr="00415D0A">
        <w:t xml:space="preserve">All of the members of this committee are independent within the meaning of the listing standards of the NYSE and the </w:t>
      </w:r>
      <w:r>
        <w:t>C</w:t>
      </w:r>
      <w:r w:rsidRPr="00415D0A">
        <w:t xml:space="preserve">ompany’s standards of independence described </w:t>
      </w:r>
      <w:r>
        <w:t>below</w:t>
      </w:r>
      <w:r w:rsidRPr="00415D0A">
        <w:t xml:space="preserve"> under the heading “Independence of Directors.”</w:t>
      </w:r>
      <w:r>
        <w:t xml:space="preserve">  The Finance Committee consists of five members with expertise in international business, finance, accounting, risk management, emerging technologies, organizational and operational management and publicly traded companies. </w:t>
      </w:r>
    </w:p>
    <w:p w:rsidR="008305C3" w:rsidRPr="00F12CE8" w:rsidRDefault="008305C3" w:rsidP="00A60C12">
      <w:r w:rsidRPr="00415D0A">
        <w:rPr>
          <w:b/>
          <w:bCs/>
          <w:iCs/>
        </w:rPr>
        <w:t xml:space="preserve">Audit Committee. </w:t>
      </w:r>
      <w:r w:rsidRPr="00415D0A">
        <w:t>The pri</w:t>
      </w:r>
      <w:r w:rsidRPr="00F12CE8">
        <w:t xml:space="preserve">mary function of the Audit Committee is to assist the </w:t>
      </w:r>
      <w:r>
        <w:t>C</w:t>
      </w:r>
      <w:r w:rsidRPr="00F12CE8">
        <w:t>ompany’s Board of</w:t>
      </w:r>
      <w:r>
        <w:t xml:space="preserve"> </w:t>
      </w:r>
      <w:r w:rsidRPr="00F12CE8">
        <w:t>Directors in the oversight of</w:t>
      </w:r>
      <w:r>
        <w:t xml:space="preserve"> the</w:t>
      </w:r>
      <w:r w:rsidRPr="00F12CE8">
        <w:t>:</w:t>
      </w:r>
    </w:p>
    <w:p w:rsidR="008305C3" w:rsidRPr="00F12CE8" w:rsidRDefault="008305C3" w:rsidP="00A60C12">
      <w:pPr>
        <w:pStyle w:val="Bullet"/>
      </w:pPr>
      <w:r>
        <w:t>I</w:t>
      </w:r>
      <w:r w:rsidRPr="00F12CE8">
        <w:t xml:space="preserve">ntegrity of the financial statements of the </w:t>
      </w:r>
      <w:r>
        <w:t>C</w:t>
      </w:r>
      <w:r w:rsidRPr="00F12CE8">
        <w:t>ompany and its subsidiaries</w:t>
      </w:r>
    </w:p>
    <w:p w:rsidR="008305C3" w:rsidRPr="00F12CE8" w:rsidRDefault="008305C3" w:rsidP="00A60C12">
      <w:pPr>
        <w:pStyle w:val="Bullet"/>
      </w:pPr>
      <w:r>
        <w:t>E</w:t>
      </w:r>
      <w:r w:rsidRPr="00F12CE8">
        <w:t xml:space="preserve">ffectiveness of the </w:t>
      </w:r>
      <w:r>
        <w:t>C</w:t>
      </w:r>
      <w:r w:rsidRPr="00F12CE8">
        <w:t>ompany’s internal control over financial reporting</w:t>
      </w:r>
    </w:p>
    <w:p w:rsidR="008305C3" w:rsidRPr="00F12CE8" w:rsidRDefault="008305C3" w:rsidP="00A60C12">
      <w:pPr>
        <w:pStyle w:val="Bullet"/>
      </w:pPr>
      <w:r>
        <w:t>I</w:t>
      </w:r>
      <w:r w:rsidRPr="00F12CE8">
        <w:t>dentification, assessment</w:t>
      </w:r>
      <w:r>
        <w:t>,</w:t>
      </w:r>
      <w:r w:rsidRPr="00F12CE8">
        <w:t xml:space="preserve"> and management of risk</w:t>
      </w:r>
    </w:p>
    <w:p w:rsidR="008305C3" w:rsidRPr="00F12CE8" w:rsidRDefault="008305C3" w:rsidP="00A60C12">
      <w:pPr>
        <w:pStyle w:val="Bullet"/>
      </w:pPr>
      <w:r>
        <w:lastRenderedPageBreak/>
        <w:t>PPL Corporation</w:t>
      </w:r>
      <w:r w:rsidRPr="00F12CE8">
        <w:t>’s compliance with legal and regulatory requirements</w:t>
      </w:r>
    </w:p>
    <w:p w:rsidR="008305C3" w:rsidRPr="00F12CE8" w:rsidRDefault="008305C3" w:rsidP="00A60C12">
      <w:pPr>
        <w:pStyle w:val="Bullet"/>
      </w:pPr>
      <w:r>
        <w:t>I</w:t>
      </w:r>
      <w:r w:rsidRPr="00F12CE8">
        <w:t xml:space="preserve">ndependent registered public accounting firm’s </w:t>
      </w:r>
      <w:r>
        <w:t>(</w:t>
      </w:r>
      <w:r w:rsidRPr="00F12CE8">
        <w:t>independent auditor</w:t>
      </w:r>
      <w:r>
        <w:t>)</w:t>
      </w:r>
      <w:r w:rsidRPr="00F12CE8">
        <w:t xml:space="preserve"> qualifications</w:t>
      </w:r>
      <w:r>
        <w:t>,</w:t>
      </w:r>
      <w:r w:rsidRPr="00F12CE8">
        <w:t xml:space="preserve"> independence</w:t>
      </w:r>
      <w:r>
        <w:t>, and selection</w:t>
      </w:r>
    </w:p>
    <w:p w:rsidR="008305C3" w:rsidRPr="00F12CE8" w:rsidRDefault="008305C3" w:rsidP="00A60C12">
      <w:pPr>
        <w:pStyle w:val="Bullet"/>
      </w:pPr>
      <w:r>
        <w:t>P</w:t>
      </w:r>
      <w:r w:rsidRPr="00F12CE8">
        <w:t xml:space="preserve">erformance of the </w:t>
      </w:r>
      <w:r>
        <w:t>PPL Corporation</w:t>
      </w:r>
      <w:r w:rsidRPr="00F12CE8">
        <w:t>’s independent auditor and internal audit function</w:t>
      </w:r>
      <w:r w:rsidRPr="00440B39">
        <w:t xml:space="preserve"> </w:t>
      </w:r>
    </w:p>
    <w:p w:rsidR="008305C3" w:rsidRPr="00F12CE8" w:rsidRDefault="008305C3" w:rsidP="00A60C12">
      <w:pPr>
        <w:pStyle w:val="Normal-aftertable"/>
      </w:pPr>
      <w:r w:rsidRPr="00F12CE8">
        <w:t xml:space="preserve">The members of the Audit Committee are not employees of the </w:t>
      </w:r>
      <w:r>
        <w:t>C</w:t>
      </w:r>
      <w:r w:rsidRPr="00F12CE8">
        <w:t>ompany, and the Board</w:t>
      </w:r>
      <w:r>
        <w:t xml:space="preserve"> </w:t>
      </w:r>
      <w:r w:rsidRPr="00F12CE8">
        <w:t xml:space="preserve">has determined that each </w:t>
      </w:r>
      <w:r>
        <w:t>member of its Audit Committee</w:t>
      </w:r>
      <w:r w:rsidRPr="00F12CE8">
        <w:t xml:space="preserve"> has met the independence and expertise</w:t>
      </w:r>
      <w:r>
        <w:t xml:space="preserve"> </w:t>
      </w:r>
      <w:r w:rsidRPr="00F12CE8">
        <w:t>requirements of the NYSE, the rules of the SEC</w:t>
      </w:r>
      <w:r>
        <w:t>,</w:t>
      </w:r>
      <w:r w:rsidRPr="00F12CE8">
        <w:t xml:space="preserve"> and the </w:t>
      </w:r>
      <w:r>
        <w:t>PPL Corporation</w:t>
      </w:r>
      <w:r w:rsidRPr="00F12CE8">
        <w:t>’s independence standards</w:t>
      </w:r>
      <w:r>
        <w:t xml:space="preserve"> </w:t>
      </w:r>
      <w:r w:rsidRPr="00F12CE8">
        <w:t xml:space="preserve">described </w:t>
      </w:r>
      <w:r>
        <w:t>below</w:t>
      </w:r>
      <w:r w:rsidRPr="00F12CE8">
        <w:t xml:space="preserve"> under the heading</w:t>
      </w:r>
      <w:r>
        <w:t>,</w:t>
      </w:r>
      <w:r w:rsidRPr="00F12CE8">
        <w:t xml:space="preserve"> “Independence of Directors.”</w:t>
      </w:r>
      <w:r>
        <w:t xml:space="preserve"> There are five members of the Audit Committee with expertise in international business, banking, finance, accounting, risk management, emerging technologies, organizational and operational management, and publicly traded companies.</w:t>
      </w:r>
    </w:p>
    <w:p w:rsidR="008305C3" w:rsidRDefault="008305C3" w:rsidP="00A60C12">
      <w:pPr>
        <w:pStyle w:val="Heading40"/>
      </w:pPr>
      <w:r w:rsidRPr="00E34DC5">
        <w:t>Board Leadership Structure</w:t>
      </w:r>
      <w:r w:rsidRPr="00C95C62">
        <w:t xml:space="preserve"> </w:t>
      </w:r>
    </w:p>
    <w:p w:rsidR="008305C3" w:rsidRPr="00C95C62" w:rsidRDefault="008305C3" w:rsidP="00A60C12">
      <w:pPr>
        <w:autoSpaceDE w:val="0"/>
        <w:autoSpaceDN w:val="0"/>
        <w:adjustRightInd w:val="0"/>
      </w:pPr>
      <w:r w:rsidRPr="00C95C62">
        <w:rPr>
          <w:rFonts w:cs="Arial"/>
          <w:szCs w:val="24"/>
        </w:rPr>
        <w:t xml:space="preserve">The positions of Chairman and </w:t>
      </w:r>
      <w:r>
        <w:rPr>
          <w:rFonts w:cs="Arial"/>
          <w:szCs w:val="24"/>
        </w:rPr>
        <w:t>Chief Executive Officer</w:t>
      </w:r>
      <w:r w:rsidRPr="00C95C62">
        <w:rPr>
          <w:rFonts w:cs="Arial"/>
          <w:szCs w:val="24"/>
        </w:rPr>
        <w:t xml:space="preserve"> are</w:t>
      </w:r>
      <w:r>
        <w:rPr>
          <w:rFonts w:cs="Arial"/>
          <w:szCs w:val="24"/>
        </w:rPr>
        <w:t xml:space="preserve"> </w:t>
      </w:r>
      <w:r w:rsidRPr="00C95C62">
        <w:rPr>
          <w:rFonts w:cs="Arial"/>
          <w:szCs w:val="24"/>
        </w:rPr>
        <w:t xml:space="preserve">held by </w:t>
      </w:r>
      <w:r>
        <w:rPr>
          <w:rFonts w:cs="Arial"/>
          <w:szCs w:val="24"/>
        </w:rPr>
        <w:t>the sole internal Director</w:t>
      </w:r>
      <w:r w:rsidRPr="00C95C62">
        <w:rPr>
          <w:rFonts w:cs="Arial"/>
          <w:szCs w:val="24"/>
        </w:rPr>
        <w:t>.</w:t>
      </w:r>
      <w:r>
        <w:rPr>
          <w:rFonts w:cs="Arial"/>
          <w:szCs w:val="24"/>
        </w:rPr>
        <w:t xml:space="preserve"> </w:t>
      </w:r>
      <w:r w:rsidRPr="00C95C62">
        <w:rPr>
          <w:rFonts w:cs="Arial"/>
          <w:szCs w:val="24"/>
        </w:rPr>
        <w:t xml:space="preserve"> </w:t>
      </w:r>
      <w:r>
        <w:rPr>
          <w:rFonts w:cs="Arial"/>
          <w:szCs w:val="24"/>
        </w:rPr>
        <w:t>An independent Director</w:t>
      </w:r>
      <w:r w:rsidRPr="00C95C62">
        <w:rPr>
          <w:rFonts w:cs="Arial"/>
          <w:szCs w:val="24"/>
        </w:rPr>
        <w:t xml:space="preserve"> serves as the </w:t>
      </w:r>
      <w:r>
        <w:rPr>
          <w:rFonts w:cs="Arial"/>
          <w:szCs w:val="24"/>
        </w:rPr>
        <w:t>L</w:t>
      </w:r>
      <w:r w:rsidRPr="00C95C62">
        <w:rPr>
          <w:rFonts w:cs="Arial"/>
          <w:szCs w:val="24"/>
        </w:rPr>
        <w:t xml:space="preserve">ead </w:t>
      </w:r>
      <w:r>
        <w:rPr>
          <w:rFonts w:cs="Arial"/>
          <w:szCs w:val="24"/>
        </w:rPr>
        <w:t>D</w:t>
      </w:r>
      <w:r w:rsidRPr="00C95C62">
        <w:rPr>
          <w:rFonts w:cs="Arial"/>
          <w:szCs w:val="24"/>
        </w:rPr>
        <w:t xml:space="preserve">irector. </w:t>
      </w:r>
      <w:r>
        <w:rPr>
          <w:rFonts w:cs="Arial"/>
          <w:szCs w:val="24"/>
        </w:rPr>
        <w:t xml:space="preserve"> </w:t>
      </w:r>
      <w:r w:rsidRPr="00C95C62">
        <w:rPr>
          <w:rFonts w:cs="Arial"/>
          <w:szCs w:val="24"/>
        </w:rPr>
        <w:t xml:space="preserve">The Board </w:t>
      </w:r>
      <w:r>
        <w:rPr>
          <w:rFonts w:cs="Arial"/>
          <w:szCs w:val="24"/>
        </w:rPr>
        <w:t>maintain</w:t>
      </w:r>
      <w:r w:rsidRPr="00C95C62">
        <w:rPr>
          <w:rFonts w:cs="Arial"/>
          <w:szCs w:val="24"/>
        </w:rPr>
        <w:t>s that the</w:t>
      </w:r>
      <w:r>
        <w:rPr>
          <w:rFonts w:cs="Arial"/>
          <w:szCs w:val="24"/>
        </w:rPr>
        <w:t xml:space="preserve"> </w:t>
      </w:r>
      <w:r w:rsidRPr="00C95C62">
        <w:rPr>
          <w:rFonts w:cs="Arial"/>
          <w:szCs w:val="24"/>
        </w:rPr>
        <w:t>responsibilities delegated to the Lead Director are substantially similar to many of the functions typically</w:t>
      </w:r>
      <w:r>
        <w:rPr>
          <w:rFonts w:cs="Arial"/>
          <w:szCs w:val="24"/>
        </w:rPr>
        <w:t xml:space="preserve"> </w:t>
      </w:r>
      <w:r w:rsidRPr="00C95C62">
        <w:rPr>
          <w:rFonts w:cs="Arial"/>
          <w:szCs w:val="24"/>
        </w:rPr>
        <w:t>fulfilled by a</w:t>
      </w:r>
      <w:r>
        <w:rPr>
          <w:rFonts w:cs="Arial"/>
          <w:szCs w:val="24"/>
        </w:rPr>
        <w:t>n independent</w:t>
      </w:r>
      <w:r w:rsidRPr="00C95C62">
        <w:rPr>
          <w:rFonts w:cs="Arial"/>
          <w:szCs w:val="24"/>
        </w:rPr>
        <w:t xml:space="preserve"> Board Chairman. </w:t>
      </w:r>
      <w:r>
        <w:rPr>
          <w:rFonts w:cs="Arial"/>
          <w:szCs w:val="24"/>
        </w:rPr>
        <w:t xml:space="preserve"> </w:t>
      </w:r>
      <w:r w:rsidRPr="00C95C62">
        <w:rPr>
          <w:rFonts w:cs="Arial"/>
          <w:szCs w:val="24"/>
        </w:rPr>
        <w:t>The Board believes that its Lead Director position balances the need for</w:t>
      </w:r>
      <w:r>
        <w:rPr>
          <w:rFonts w:cs="Arial"/>
          <w:szCs w:val="24"/>
        </w:rPr>
        <w:t xml:space="preserve"> </w:t>
      </w:r>
      <w:r w:rsidRPr="00C95C62">
        <w:rPr>
          <w:rFonts w:cs="Arial"/>
          <w:szCs w:val="24"/>
        </w:rPr>
        <w:t xml:space="preserve">effective and independent oversight of management with the need for strong, unified leadership. </w:t>
      </w:r>
      <w:r>
        <w:rPr>
          <w:rFonts w:cs="Arial"/>
          <w:szCs w:val="24"/>
        </w:rPr>
        <w:t xml:space="preserve"> </w:t>
      </w:r>
      <w:r w:rsidRPr="00C95C62">
        <w:rPr>
          <w:rFonts w:cs="Arial"/>
          <w:szCs w:val="24"/>
        </w:rPr>
        <w:t xml:space="preserve">All </w:t>
      </w:r>
      <w:r>
        <w:rPr>
          <w:rFonts w:cs="Arial"/>
          <w:szCs w:val="24"/>
        </w:rPr>
        <w:t xml:space="preserve">Board </w:t>
      </w:r>
      <w:r w:rsidRPr="00C95C62">
        <w:rPr>
          <w:rFonts w:cs="Arial"/>
          <w:szCs w:val="24"/>
        </w:rPr>
        <w:t xml:space="preserve">committees, with the exception of the Executive Committee on which </w:t>
      </w:r>
      <w:r>
        <w:rPr>
          <w:rFonts w:cs="Arial"/>
          <w:szCs w:val="24"/>
        </w:rPr>
        <w:t>the Chairman</w:t>
      </w:r>
      <w:r w:rsidRPr="00C95C62">
        <w:rPr>
          <w:rFonts w:cs="Arial"/>
          <w:szCs w:val="24"/>
        </w:rPr>
        <w:t xml:space="preserve"> serves, are</w:t>
      </w:r>
      <w:r>
        <w:rPr>
          <w:rFonts w:cs="Arial"/>
          <w:szCs w:val="24"/>
        </w:rPr>
        <w:t xml:space="preserve"> </w:t>
      </w:r>
      <w:r w:rsidRPr="00C95C62">
        <w:rPr>
          <w:rFonts w:cs="Arial"/>
          <w:szCs w:val="24"/>
        </w:rPr>
        <w:t>composed entirely of independent Directors, and the agendas are driven by the independent chairs</w:t>
      </w:r>
      <w:r>
        <w:rPr>
          <w:rFonts w:cs="Arial"/>
          <w:szCs w:val="24"/>
        </w:rPr>
        <w:t xml:space="preserve"> </w:t>
      </w:r>
      <w:r w:rsidRPr="00C95C62">
        <w:rPr>
          <w:rFonts w:cs="Arial"/>
          <w:szCs w:val="24"/>
        </w:rPr>
        <w:t xml:space="preserve">through discussions with designated management liaisons. </w:t>
      </w:r>
      <w:r>
        <w:rPr>
          <w:rFonts w:cs="Arial"/>
          <w:szCs w:val="24"/>
        </w:rPr>
        <w:t xml:space="preserve"> </w:t>
      </w:r>
      <w:r w:rsidRPr="00C95C62">
        <w:rPr>
          <w:rFonts w:cs="Arial"/>
          <w:szCs w:val="24"/>
        </w:rPr>
        <w:t>Each independent Director is encouraged</w:t>
      </w:r>
      <w:r>
        <w:rPr>
          <w:rFonts w:cs="Arial"/>
          <w:szCs w:val="24"/>
        </w:rPr>
        <w:t xml:space="preserve"> </w:t>
      </w:r>
      <w:r w:rsidRPr="00C95C62">
        <w:rPr>
          <w:rFonts w:cs="Arial"/>
          <w:szCs w:val="24"/>
        </w:rPr>
        <w:t>to, and does, regularly contact management with either questions or suggestions for agenda items.</w:t>
      </w:r>
      <w:r>
        <w:rPr>
          <w:rFonts w:cs="Arial"/>
          <w:szCs w:val="24"/>
        </w:rPr>
        <w:t xml:space="preserve">  </w:t>
      </w:r>
      <w:r w:rsidRPr="00C95C62">
        <w:rPr>
          <w:rFonts w:cs="Arial"/>
          <w:szCs w:val="24"/>
        </w:rPr>
        <w:t>The Board does not believe that the establishment of an independent Chairman is necessary or</w:t>
      </w:r>
      <w:r>
        <w:rPr>
          <w:rFonts w:cs="Arial"/>
          <w:szCs w:val="24"/>
        </w:rPr>
        <w:t xml:space="preserve"> </w:t>
      </w:r>
      <w:r w:rsidRPr="00C95C62">
        <w:rPr>
          <w:rFonts w:cs="Arial"/>
          <w:szCs w:val="24"/>
        </w:rPr>
        <w:t>recommended at the present time.</w:t>
      </w:r>
      <w:r>
        <w:rPr>
          <w:rFonts w:cs="Arial"/>
          <w:szCs w:val="24"/>
        </w:rPr>
        <w:t xml:space="preserve"> </w:t>
      </w:r>
      <w:r w:rsidRPr="00C95C62">
        <w:rPr>
          <w:rFonts w:cs="Arial"/>
          <w:szCs w:val="24"/>
        </w:rPr>
        <w:t xml:space="preserve"> The Board continues to have the right to separate those roles if it</w:t>
      </w:r>
      <w:r>
        <w:rPr>
          <w:rFonts w:cs="Arial"/>
          <w:szCs w:val="24"/>
        </w:rPr>
        <w:t xml:space="preserve"> </w:t>
      </w:r>
      <w:r w:rsidRPr="00C95C62">
        <w:rPr>
          <w:rFonts w:cs="Arial"/>
          <w:szCs w:val="24"/>
        </w:rPr>
        <w:t xml:space="preserve">were to determine that such a separation would be in the best interest of the </w:t>
      </w:r>
      <w:r>
        <w:rPr>
          <w:rFonts w:cs="Arial"/>
          <w:szCs w:val="24"/>
        </w:rPr>
        <w:t>C</w:t>
      </w:r>
      <w:r w:rsidRPr="00C95C62">
        <w:rPr>
          <w:rFonts w:cs="Arial"/>
          <w:szCs w:val="24"/>
        </w:rPr>
        <w:t>ompany</w:t>
      </w:r>
      <w:r w:rsidRPr="00C95C62">
        <w:t>, its shareowners</w:t>
      </w:r>
      <w:r>
        <w:t>,</w:t>
      </w:r>
      <w:r w:rsidRPr="00C95C62">
        <w:t xml:space="preserve"> and other stakeholders.</w:t>
      </w:r>
    </w:p>
    <w:p w:rsidR="008305C3" w:rsidRDefault="008305C3" w:rsidP="00A60C12">
      <w:r>
        <w:t>The Lead Director serves in the following roles:</w:t>
      </w:r>
    </w:p>
    <w:p w:rsidR="008305C3" w:rsidRDefault="008305C3" w:rsidP="00A60C12">
      <w:pPr>
        <w:pStyle w:val="Bullet"/>
      </w:pPr>
      <w:r>
        <w:t>Presides at all meetings of the Board at which the Chairman and CEO is not present, including executive sessions of the independent directors that occur at each Board meeting</w:t>
      </w:r>
    </w:p>
    <w:p w:rsidR="008305C3" w:rsidRDefault="008305C3" w:rsidP="00A60C12">
      <w:pPr>
        <w:pStyle w:val="Bullet"/>
      </w:pPr>
      <w:r>
        <w:t>Serves as an adviser to the Chairman and CEO, as well as a non-exclusive liaison between the independent directors and the Chairman and CEO</w:t>
      </w:r>
    </w:p>
    <w:p w:rsidR="008305C3" w:rsidRDefault="008305C3" w:rsidP="00A60C12">
      <w:pPr>
        <w:pStyle w:val="Bullet"/>
      </w:pPr>
      <w:r>
        <w:t>Periodically reviews or suggests meeting agendas and schedules for the Board and at least annually solicits suggestions from the Board on meeting topics, such as strategy, management performance, and governance matters</w:t>
      </w:r>
    </w:p>
    <w:p w:rsidR="008305C3" w:rsidRDefault="008305C3" w:rsidP="00A60C12">
      <w:pPr>
        <w:pStyle w:val="Bullet"/>
      </w:pPr>
      <w:r>
        <w:t>Has the authority to call meetings of the independent directors</w:t>
      </w:r>
    </w:p>
    <w:p w:rsidR="008305C3" w:rsidRDefault="008305C3" w:rsidP="00A60C12">
      <w:pPr>
        <w:pStyle w:val="Bullet"/>
      </w:pPr>
      <w:r>
        <w:t>Responds to shareowner and other stakeholder questions that are directed to the presiding or Lead Director, as well as to the independent Directors as a group</w:t>
      </w:r>
    </w:p>
    <w:p w:rsidR="008305C3" w:rsidRPr="00C95C62" w:rsidRDefault="008305C3" w:rsidP="00A60C12">
      <w:pPr>
        <w:pStyle w:val="Bullet"/>
        <w:rPr>
          <w:rFonts w:cs="Arial"/>
          <w:szCs w:val="24"/>
        </w:rPr>
      </w:pPr>
      <w:r>
        <w:t>Fulfills such other responsibilities as the Board may request from time to time</w:t>
      </w:r>
    </w:p>
    <w:p w:rsidR="008305C3" w:rsidRDefault="008305C3" w:rsidP="00A60C12">
      <w:pPr>
        <w:pStyle w:val="Heading40"/>
      </w:pPr>
      <w:r>
        <w:lastRenderedPageBreak/>
        <w:t>Independence of Directors</w:t>
      </w:r>
    </w:p>
    <w:p w:rsidR="008305C3" w:rsidRDefault="008305C3" w:rsidP="00A60C12">
      <w:proofErr w:type="gramStart"/>
      <w:r>
        <w:t>Section 303A.01 of the NYSE Listed Company Manual states, “</w:t>
      </w:r>
      <w:r w:rsidRPr="006A28CA">
        <w:t>Listed companies must have a maj</w:t>
      </w:r>
      <w:r>
        <w:t>ority of independent directors.”</w:t>
      </w:r>
      <w:proofErr w:type="gramEnd"/>
      <w:r>
        <w:t xml:space="preserve">  Further, the NYSE Listed Company Manual, Section 303A.02 stipulates various independence tests.  These tests include the following:</w:t>
      </w:r>
    </w:p>
    <w:p w:rsidR="008305C3" w:rsidRDefault="008305C3" w:rsidP="00A60C12">
      <w:pPr>
        <w:pStyle w:val="Bullet"/>
      </w:pPr>
      <w:r>
        <w:t>No director qualifies as "independent" unless the board of directors affirmatively determines that the director has no material relationship with the listed company (</w:t>
      </w:r>
      <w:proofErr w:type="gramStart"/>
      <w:r>
        <w:t>either directly</w:t>
      </w:r>
      <w:proofErr w:type="gramEnd"/>
      <w:r>
        <w:t xml:space="preserve"> or as a partner, shareholder, or officer of an organization that has a relationship with the company).</w:t>
      </w:r>
    </w:p>
    <w:p w:rsidR="008305C3" w:rsidRDefault="008305C3" w:rsidP="00A60C12">
      <w:pPr>
        <w:pStyle w:val="Bullet"/>
      </w:pPr>
      <w:r>
        <w:t>In addition, in affirmatively determining the independence of any director who will serve on the compensation committee of the listed company's board of directors, the board of directors must consider all factors specifically relevant to determining whether a director has a relationship to the listed company which is material to that director's ability to be independent from management in connection with the duties of a compensation committee member, including, but not limited to:</w:t>
      </w:r>
    </w:p>
    <w:p w:rsidR="008305C3" w:rsidRDefault="008305C3" w:rsidP="00A60C12">
      <w:pPr>
        <w:pStyle w:val="Bullet-indent1"/>
      </w:pPr>
      <w:r>
        <w:t>The source of compensation of such director, including any consulting, advisory or other compensatory fee paid by the listed company to such director</w:t>
      </w:r>
    </w:p>
    <w:p w:rsidR="008305C3" w:rsidRDefault="008305C3" w:rsidP="00A60C12">
      <w:pPr>
        <w:pStyle w:val="Bullet-indent1"/>
      </w:pPr>
      <w:r>
        <w:t>Whether such director is affiliated with the listed company, a subsidiary of the listed company, or an affiliate of a subsidiary of the listed company</w:t>
      </w:r>
    </w:p>
    <w:p w:rsidR="008305C3" w:rsidRDefault="008305C3" w:rsidP="00A60C12">
      <w:pPr>
        <w:pStyle w:val="Bullet"/>
      </w:pPr>
      <w:r>
        <w:t>In addition, a director is not independent if:</w:t>
      </w:r>
    </w:p>
    <w:p w:rsidR="008305C3" w:rsidRDefault="008305C3" w:rsidP="00A60C12">
      <w:pPr>
        <w:pStyle w:val="Bullet-indent1"/>
      </w:pPr>
      <w:r>
        <w:t>The director is, or has been within the last three years, an employee of the listed company, or an immediate family member is, or has been within the last three years, an executive officer of the listed company.</w:t>
      </w:r>
    </w:p>
    <w:p w:rsidR="008305C3" w:rsidRDefault="008305C3" w:rsidP="00A60C12">
      <w:pPr>
        <w:pStyle w:val="Bullet-indent1"/>
      </w:pPr>
      <w:r>
        <w:t>The director has received, or has an immediate family member who has received, during any twelve-month period within the last three years, more than $120,000 in direct compensation from the listed company, other than director and committee fees and pension or other forms of deferred compensation for prior service (provided such compensation is not contingent in any way on continued service).</w:t>
      </w:r>
    </w:p>
    <w:p w:rsidR="008305C3" w:rsidRDefault="008305C3" w:rsidP="00A60C12">
      <w:pPr>
        <w:pStyle w:val="Bullet-indent1"/>
      </w:pPr>
      <w:r>
        <w:t>The director is a current partner or employee of a firm that is the listed company's internal or external auditor; the director has an immediate family member who is a current partner of such a firm; the director has an immediate family member who is a current employee of such a firm and personally works on the listed company's audit; or the director or an immediate family member was, within the last three years, a partner or employee of such a firm and personally worked on the listed company's audit within that time.</w:t>
      </w:r>
    </w:p>
    <w:p w:rsidR="008305C3" w:rsidRDefault="008305C3" w:rsidP="00A60C12">
      <w:pPr>
        <w:pStyle w:val="Bullet-indent1"/>
      </w:pPr>
      <w:r>
        <w:t>The director or an immediate family member is, or has been within the last three years, employed as an executive officer of another company where any of the listed company's present executive officers at the same time serves or served on that company's compensation committee.</w:t>
      </w:r>
    </w:p>
    <w:p w:rsidR="008305C3" w:rsidRDefault="008305C3" w:rsidP="00A60C12">
      <w:pPr>
        <w:pStyle w:val="Bullet-indent1"/>
        <w:spacing w:after="120"/>
      </w:pPr>
      <w:r>
        <w:t xml:space="preserve">The director is a current employee, or an immediate family member is a current executive officer, of a company that has made payments to, or </w:t>
      </w:r>
      <w:r>
        <w:lastRenderedPageBreak/>
        <w:t>received payments from, the listed company for property or services in an amount which, in any of the last three fiscal years, exceeds the greater of $1 million, or two percent</w:t>
      </w:r>
      <w:r w:rsidRPr="00EA06FF">
        <w:t xml:space="preserve"> of such other company's consolidated gross revenues.</w:t>
      </w:r>
    </w:p>
    <w:p w:rsidR="008305C3" w:rsidRDefault="008305C3" w:rsidP="00A60C12">
      <w:pPr>
        <w:pStyle w:val="Normal-aftertable"/>
      </w:pPr>
      <w:r>
        <w:t xml:space="preserve">The Board has established guidelines (see “Independence Guidelines” under the Governance Documents section above) to assist it in determining director independence. These guidelines are intended to conform to the independence requirements of the NYSE listing standards. </w:t>
      </w:r>
    </w:p>
    <w:p w:rsidR="008305C3" w:rsidRDefault="008305C3" w:rsidP="00A60C12">
      <w:r>
        <w:t>In addition to applying these guidelines, the Board considers all relevant facts and circumstances in making an independence determination.  The Board determined that all of PPL Corporation’s non-employee directors are independent from the company and its management pursuant to its independence guidelines.  In reaching this conclusion, the Board considered transactions and relationships between each director or any member of his or her immediate family and the Company and its subsidiaries.  From time to time, PPL Corporation subsidiaries have transacted business in the ordinary course with companies with which several of the directors are or were affiliated.  The Board determined that none of these relationships were material or affected the independence of such directors under either the Company’s independence guidelines or the applicable NYSE rules.</w:t>
      </w:r>
    </w:p>
    <w:p w:rsidR="008305C3" w:rsidRDefault="008305C3" w:rsidP="00A60C12">
      <w:pPr>
        <w:pStyle w:val="Heading40"/>
      </w:pPr>
      <w:r>
        <w:t>Compensation of Directors</w:t>
      </w:r>
    </w:p>
    <w:p w:rsidR="008305C3" w:rsidRDefault="008305C3" w:rsidP="00A60C12">
      <w:proofErr w:type="gramStart"/>
      <w:r w:rsidRPr="008A01E5">
        <w:rPr>
          <w:b/>
        </w:rPr>
        <w:t>Annual Retainer.</w:t>
      </w:r>
      <w:proofErr w:type="gramEnd"/>
      <w:r w:rsidRPr="008A01E5">
        <w:t xml:space="preserve">  </w:t>
      </w:r>
      <w:r w:rsidRPr="000A0D89">
        <w:t xml:space="preserve">Directors who are </w:t>
      </w:r>
      <w:r>
        <w:t>C</w:t>
      </w:r>
      <w:r w:rsidRPr="000A0D89">
        <w:t>ompany employees do not receive any separate compensation for</w:t>
      </w:r>
      <w:r>
        <w:t xml:space="preserve"> service on the Board of Directors or committees of the Board of Directors.  During 2015, Directors who were not employees of PPL Corporation received an annual retainer of $235,000, of which a minimum of $130,000 was mandatorily allocated in monthly installments to each Director’s deferred stock account under the Directors Deferred Compensation Plan (DDCP).  The remaining $105,000 portion of the annual retainer was paid in cash in monthly installments to each Director, unless voluntarily deferred to his or her stock account or to his or her deferred cash account under the DDCP (as discussed below with respect to all retainers and other fees).  </w:t>
      </w:r>
    </w:p>
    <w:p w:rsidR="008305C3" w:rsidRDefault="008305C3" w:rsidP="00A60C12">
      <w:r>
        <w:t>Each deferred stock unit represents the right to receive a share of PPL common stock and is fully vested upon grant, but is not paid to the Director until after retirement (as discussed below with respect to payments under the DDCP).  Deferred stock units do not have voting rights, but accumulate quarterly dividend equivalents, that are reinvested in additional deferred stock units, that are also not paid to the Director until retirement.</w:t>
      </w:r>
    </w:p>
    <w:p w:rsidR="008305C3" w:rsidRPr="000A0D89" w:rsidRDefault="008305C3" w:rsidP="00A60C12">
      <w:r>
        <w:t xml:space="preserve">Prior to January 1, 2015, in addition to the annual retainer, non-employee directors received meeting fees for each meeting attended.  These fees included </w:t>
      </w:r>
      <w:r w:rsidRPr="000A0D89">
        <w:rPr>
          <w:rFonts w:cs="Arial"/>
          <w:szCs w:val="24"/>
        </w:rPr>
        <w:t xml:space="preserve">$2,000 for attending each Board of Directors meeting, $1,500 for attending each committee meeting and other meetings at the </w:t>
      </w:r>
      <w:r>
        <w:rPr>
          <w:rFonts w:cs="Arial"/>
          <w:szCs w:val="24"/>
        </w:rPr>
        <w:t>C</w:t>
      </w:r>
      <w:r w:rsidRPr="000A0D89">
        <w:rPr>
          <w:rFonts w:cs="Arial"/>
          <w:szCs w:val="24"/>
        </w:rPr>
        <w:t xml:space="preserve">ompany’s request, and a fee of $1,000 for participating in meetings held by telephone conference call. </w:t>
      </w:r>
      <w:r>
        <w:rPr>
          <w:rFonts w:cs="Arial"/>
          <w:szCs w:val="24"/>
        </w:rPr>
        <w:t xml:space="preserve"> </w:t>
      </w:r>
      <w:r w:rsidRPr="000A0D89">
        <w:rPr>
          <w:rFonts w:cs="Arial"/>
          <w:szCs w:val="24"/>
        </w:rPr>
        <w:t xml:space="preserve">These fees were eligible to be voluntarily deferred under the DDCP. </w:t>
      </w:r>
      <w:r>
        <w:rPr>
          <w:rFonts w:cs="Arial"/>
          <w:szCs w:val="24"/>
        </w:rPr>
        <w:t xml:space="preserve"> </w:t>
      </w:r>
      <w:r>
        <w:t>However, e</w:t>
      </w:r>
      <w:r w:rsidRPr="000A0D89">
        <w:t xml:space="preserve">ffective January 1, 2015, </w:t>
      </w:r>
      <w:r>
        <w:t xml:space="preserve">the Board eliminated the use of meeting fees and increased </w:t>
      </w:r>
      <w:r w:rsidRPr="000A0D89">
        <w:t xml:space="preserve">the annual retainer to $235,000 for all </w:t>
      </w:r>
      <w:r>
        <w:t>D</w:t>
      </w:r>
      <w:r w:rsidRPr="000A0D89">
        <w:t xml:space="preserve">irectors, of which $130,000 continues to be mandatorily allocated to each </w:t>
      </w:r>
      <w:r>
        <w:t>D</w:t>
      </w:r>
      <w:r w:rsidRPr="000A0D89">
        <w:t xml:space="preserve">irector’s </w:t>
      </w:r>
      <w:r w:rsidRPr="000A0D89">
        <w:lastRenderedPageBreak/>
        <w:t>deferred stock account.</w:t>
      </w:r>
      <w:r>
        <w:t xml:space="preserve"> </w:t>
      </w:r>
      <w:r w:rsidRPr="000A0D89">
        <w:rPr>
          <w:rFonts w:cs="Arial"/>
          <w:szCs w:val="24"/>
        </w:rPr>
        <w:t>PPL also reimburses each Director for usual and customary travel expenses.</w:t>
      </w:r>
      <w:r w:rsidRPr="000A0D89">
        <w:t xml:space="preserve"> </w:t>
      </w:r>
      <w:r>
        <w:t xml:space="preserve"> </w:t>
      </w:r>
    </w:p>
    <w:p w:rsidR="008305C3" w:rsidRPr="000A0D89" w:rsidRDefault="008305C3" w:rsidP="00A60C12">
      <w:proofErr w:type="gramStart"/>
      <w:r w:rsidRPr="008A01E5">
        <w:rPr>
          <w:b/>
        </w:rPr>
        <w:t>Presiding Director Retainer.</w:t>
      </w:r>
      <w:proofErr w:type="gramEnd"/>
      <w:r w:rsidRPr="008A01E5">
        <w:t xml:space="preserve"> </w:t>
      </w:r>
      <w:r w:rsidR="008A01E5">
        <w:t xml:space="preserve"> </w:t>
      </w:r>
      <w:r w:rsidRPr="000A0D89">
        <w:t>During 201</w:t>
      </w:r>
      <w:r>
        <w:t>5</w:t>
      </w:r>
      <w:r w:rsidRPr="000A0D89">
        <w:t xml:space="preserve">, the presiding director, who is also </w:t>
      </w:r>
      <w:r>
        <w:t>the</w:t>
      </w:r>
      <w:r w:rsidRPr="000A0D89">
        <w:t xml:space="preserve"> independent Lead Director, received an additional annual cash retainer of $30,000, which was paid in monthly installments unless voluntarily deferred under the DDCP.</w:t>
      </w:r>
    </w:p>
    <w:p w:rsidR="008305C3" w:rsidRPr="000A0D89" w:rsidRDefault="008305C3" w:rsidP="00A60C12">
      <w:proofErr w:type="gramStart"/>
      <w:r w:rsidRPr="008A01E5">
        <w:rPr>
          <w:b/>
        </w:rPr>
        <w:t>Committee Chair Retainers.</w:t>
      </w:r>
      <w:proofErr w:type="gramEnd"/>
      <w:r w:rsidRPr="008A01E5">
        <w:t xml:space="preserve"> </w:t>
      </w:r>
      <w:r w:rsidR="008A01E5">
        <w:t xml:space="preserve"> </w:t>
      </w:r>
      <w:r w:rsidRPr="000A0D89">
        <w:t>During 201</w:t>
      </w:r>
      <w:r>
        <w:t>5</w:t>
      </w:r>
      <w:r w:rsidRPr="000A0D89">
        <w:t>, the Audit Committee Chair received an additional annual cash retainer of $15,000 that was paid in monthly installments unless voluntarily deferred under the DDCP.</w:t>
      </w:r>
      <w:r>
        <w:t xml:space="preserve">  Similarly, e</w:t>
      </w:r>
      <w:r w:rsidRPr="000A0D89">
        <w:t xml:space="preserve">ach other committee chair received an additional annual cash retainer of $10,000 that was paid in monthly installments unless voluntarily deferred under the DDCP. </w:t>
      </w:r>
      <w:r>
        <w:t xml:space="preserve"> </w:t>
      </w:r>
      <w:r w:rsidRPr="000A0D89">
        <w:t>Effective January 1, 2015, the Audit Committee Chair’s annual retainer increased to $20,000, while the annual retainer for other committee chairs increased to $15,000.</w:t>
      </w:r>
    </w:p>
    <w:p w:rsidR="008305C3" w:rsidRDefault="008305C3" w:rsidP="00A60C12">
      <w:pPr>
        <w:rPr>
          <w:rFonts w:cs="Arial"/>
          <w:szCs w:val="24"/>
        </w:rPr>
      </w:pPr>
      <w:r w:rsidRPr="008A01E5">
        <w:rPr>
          <w:b/>
        </w:rPr>
        <w:t>Directors Deferred Compensation Plan.</w:t>
      </w:r>
      <w:r w:rsidRPr="008A01E5">
        <w:t xml:space="preserve"> </w:t>
      </w:r>
      <w:r w:rsidR="008A01E5">
        <w:t xml:space="preserve"> </w:t>
      </w:r>
      <w:r w:rsidRPr="002E46EE">
        <w:t xml:space="preserve">Pursuant to the DDCP, non-employee </w:t>
      </w:r>
      <w:r>
        <w:t>Director</w:t>
      </w:r>
      <w:r w:rsidRPr="002E46EE">
        <w:t>s may elect to</w:t>
      </w:r>
      <w:r>
        <w:t xml:space="preserve"> </w:t>
      </w:r>
      <w:r w:rsidRPr="002E46EE">
        <w:t>defer all or any part of the fees and any retainer</w:t>
      </w:r>
      <w:r>
        <w:t>,</w:t>
      </w:r>
      <w:r w:rsidRPr="002E46EE">
        <w:t xml:space="preserve"> that is not part of the </w:t>
      </w:r>
      <w:r>
        <w:t xml:space="preserve">mandatory stock unit deferrals, </w:t>
      </w:r>
      <w:r w:rsidRPr="002E46EE">
        <w:t>into a deferred</w:t>
      </w:r>
      <w:r>
        <w:t xml:space="preserve"> </w:t>
      </w:r>
      <w:r w:rsidRPr="002E46EE">
        <w:t xml:space="preserve">cash account or the deferred stock account. </w:t>
      </w:r>
      <w:r>
        <w:t xml:space="preserve"> </w:t>
      </w:r>
      <w:r w:rsidRPr="002E46EE">
        <w:t>The deferred cash account</w:t>
      </w:r>
      <w:r>
        <w:t xml:space="preserve"> earns a return as if the funds </w:t>
      </w:r>
      <w:r w:rsidRPr="002E46EE">
        <w:t>had been invested in one or more of the core investment options off</w:t>
      </w:r>
      <w:r>
        <w:t xml:space="preserve">ered to employees under the PPL </w:t>
      </w:r>
      <w:r w:rsidRPr="002E46EE">
        <w:t xml:space="preserve">Deferred Savings Plan at </w:t>
      </w:r>
      <w:r>
        <w:t>a large national investment firm</w:t>
      </w:r>
      <w:r w:rsidRPr="002E46EE">
        <w:t xml:space="preserve">. </w:t>
      </w:r>
      <w:r>
        <w:t xml:space="preserve"> For 2015, two Directors </w:t>
      </w:r>
      <w:r w:rsidRPr="002E46EE">
        <w:t>elected to defer all or a portion of their cash retainer and fees into a d</w:t>
      </w:r>
      <w:r>
        <w:t>eferred cash account, and three Director</w:t>
      </w:r>
      <w:r w:rsidRPr="002E46EE">
        <w:t>s elected to defer all or a portion of their cash retainer and fees</w:t>
      </w:r>
      <w:r>
        <w:t xml:space="preserve"> into a deferred stock account.  </w:t>
      </w:r>
      <w:r w:rsidRPr="002E46EE">
        <w:t xml:space="preserve">Payment of the amounts allocated to a </w:t>
      </w:r>
      <w:r>
        <w:t>Director</w:t>
      </w:r>
      <w:r w:rsidRPr="002E46EE">
        <w:t>’s deferred cas</w:t>
      </w:r>
      <w:r>
        <w:t xml:space="preserve">h account and accrued earnings, </w:t>
      </w:r>
      <w:r w:rsidRPr="002E46EE">
        <w:t>together with deferred stock units and accrued dividend equivalents, is defe</w:t>
      </w:r>
      <w:r>
        <w:t xml:space="preserve">rred until after the Director’s </w:t>
      </w:r>
      <w:r w:rsidRPr="002E46EE">
        <w:t>retirement from the Board of Directors, at which time the deferred cash a</w:t>
      </w:r>
      <w:r>
        <w:t xml:space="preserve">nd stock is disbursed in one or </w:t>
      </w:r>
      <w:r w:rsidRPr="002E46EE">
        <w:t xml:space="preserve">more annual installments for a period of up to </w:t>
      </w:r>
      <w:r>
        <w:t>ten</w:t>
      </w:r>
      <w:r w:rsidRPr="002E46EE">
        <w:t xml:space="preserve"> years, as previously elected by the </w:t>
      </w:r>
      <w:r>
        <w:t>Director</w:t>
      </w:r>
      <w:r w:rsidRPr="002E46EE">
        <w:t>.</w:t>
      </w:r>
      <w:r w:rsidRPr="000A0D89">
        <w:rPr>
          <w:rFonts w:cs="Arial"/>
          <w:szCs w:val="24"/>
        </w:rPr>
        <w:t xml:space="preserve"> </w:t>
      </w:r>
    </w:p>
    <w:p w:rsidR="008305C3" w:rsidRDefault="008305C3" w:rsidP="00A60C12">
      <w:pPr>
        <w:pStyle w:val="Heading30"/>
      </w:pPr>
      <w:r>
        <w:t>PPL EU Overview</w:t>
      </w:r>
    </w:p>
    <w:p w:rsidR="008305C3" w:rsidRPr="00E51FF4" w:rsidRDefault="008305C3" w:rsidP="00E9263E">
      <w:pPr>
        <w:rPr>
          <w:rFonts w:cs="Arial"/>
          <w:szCs w:val="24"/>
        </w:rPr>
      </w:pPr>
      <w:r>
        <w:rPr>
          <w:rFonts w:cs="Arial"/>
          <w:color w:val="000000"/>
          <w:szCs w:val="24"/>
        </w:rPr>
        <w:t>PPL EU is a regulated electric transmission and distribution business and a wholly owned subsidiary of PPL Corporation.  PPL EU</w:t>
      </w:r>
      <w:r w:rsidRPr="000D342D">
        <w:rPr>
          <w:rFonts w:cs="Arial"/>
          <w:color w:val="000000"/>
          <w:szCs w:val="24"/>
        </w:rPr>
        <w:t xml:space="preserve"> delivers electricity to approximately 1.4 million customers in a 10,000-square mile territory in 29 counties of eastern and ce</w:t>
      </w:r>
      <w:r>
        <w:rPr>
          <w:rFonts w:cs="Arial"/>
          <w:color w:val="000000"/>
          <w:szCs w:val="24"/>
        </w:rPr>
        <w:t>ntral Pennsylvania.  PPL EU</w:t>
      </w:r>
      <w:r w:rsidRPr="000D342D">
        <w:rPr>
          <w:rFonts w:cs="Arial"/>
          <w:color w:val="000000"/>
          <w:szCs w:val="24"/>
        </w:rPr>
        <w:t xml:space="preserve"> also provides electricity supply to retail customers in this area as a </w:t>
      </w:r>
      <w:r>
        <w:rPr>
          <w:rFonts w:cs="Arial"/>
          <w:color w:val="000000"/>
          <w:szCs w:val="24"/>
        </w:rPr>
        <w:t>Provider of Last Resort (</w:t>
      </w:r>
      <w:r w:rsidRPr="000D342D">
        <w:rPr>
          <w:rFonts w:cs="Arial"/>
          <w:color w:val="000000"/>
          <w:szCs w:val="24"/>
        </w:rPr>
        <w:t>P</w:t>
      </w:r>
      <w:r>
        <w:rPr>
          <w:rFonts w:cs="Arial"/>
          <w:color w:val="000000"/>
          <w:szCs w:val="24"/>
        </w:rPr>
        <w:t>O</w:t>
      </w:r>
      <w:r w:rsidRPr="000D342D">
        <w:rPr>
          <w:rFonts w:cs="Arial"/>
          <w:color w:val="000000"/>
          <w:szCs w:val="24"/>
        </w:rPr>
        <w:t>LR</w:t>
      </w:r>
      <w:r>
        <w:rPr>
          <w:rFonts w:cs="Arial"/>
          <w:color w:val="000000"/>
          <w:szCs w:val="24"/>
        </w:rPr>
        <w:t>)</w:t>
      </w:r>
      <w:r w:rsidRPr="000D342D">
        <w:rPr>
          <w:rFonts w:cs="Arial"/>
          <w:color w:val="000000"/>
          <w:szCs w:val="24"/>
        </w:rPr>
        <w:t xml:space="preserve"> under the </w:t>
      </w:r>
      <w:r>
        <w:rPr>
          <w:rFonts w:cs="Arial"/>
          <w:color w:val="000000"/>
          <w:szCs w:val="24"/>
        </w:rPr>
        <w:t xml:space="preserve">Pennsylvania </w:t>
      </w:r>
      <w:r w:rsidRPr="000D342D">
        <w:rPr>
          <w:rFonts w:cs="Arial"/>
          <w:color w:val="000000"/>
          <w:szCs w:val="24"/>
        </w:rPr>
        <w:t>Customer Choice Act.</w:t>
      </w:r>
      <w:r>
        <w:rPr>
          <w:rFonts w:cs="Arial"/>
          <w:color w:val="000000"/>
          <w:szCs w:val="24"/>
        </w:rPr>
        <w:t xml:space="preserve">  PPL EU’s 2014 operating revenue was $2.044 billion and its net income was $263 million.  </w:t>
      </w:r>
      <w:r w:rsidRPr="00E51FF4">
        <w:rPr>
          <w:rFonts w:cs="Arial"/>
          <w:color w:val="000000"/>
          <w:szCs w:val="24"/>
        </w:rPr>
        <w:t xml:space="preserve">In 2014, </w:t>
      </w:r>
      <w:r>
        <w:rPr>
          <w:rFonts w:cs="Arial"/>
          <w:color w:val="000000"/>
          <w:szCs w:val="24"/>
        </w:rPr>
        <w:t>PPL EU</w:t>
      </w:r>
      <w:r w:rsidRPr="00E51FF4">
        <w:rPr>
          <w:rFonts w:cs="Arial"/>
          <w:color w:val="000000"/>
          <w:szCs w:val="24"/>
        </w:rPr>
        <w:t xml:space="preserve"> </w:t>
      </w:r>
      <w:r>
        <w:rPr>
          <w:rFonts w:cs="Arial"/>
          <w:color w:val="000000"/>
          <w:szCs w:val="24"/>
        </w:rPr>
        <w:t>delivered 37,026 GWh of electric energy to its customers.</w:t>
      </w:r>
      <w:r w:rsidRPr="00E51FF4">
        <w:rPr>
          <w:rFonts w:cs="Arial"/>
          <w:color w:val="000000"/>
          <w:szCs w:val="24"/>
        </w:rPr>
        <w:t xml:space="preserve"> </w:t>
      </w:r>
    </w:p>
    <w:p w:rsidR="008305C3" w:rsidRPr="00FD14CF" w:rsidRDefault="008305C3" w:rsidP="00A60C12">
      <w:r>
        <w:t xml:space="preserve">PPL EU is a registered Pennsylvania corporation and, as such, it has directors and officers.  It is an SEC registrant, is subject to regulation as a public utility by the Pennsylvania Public Utility Commission (PUC), and certain of its transmission activities are subject to the jurisdiction of the FERC under the Federal Power Act.  </w:t>
      </w:r>
    </w:p>
    <w:p w:rsidR="008305C3" w:rsidRDefault="008305C3" w:rsidP="00A60C12">
      <w:pPr>
        <w:pStyle w:val="Heading30"/>
      </w:pPr>
      <w:r>
        <w:t xml:space="preserve">PPL EU Board of Directors </w:t>
      </w:r>
    </w:p>
    <w:p w:rsidR="008305C3" w:rsidRDefault="008305C3" w:rsidP="00A60C12">
      <w:r>
        <w:t>The Bylaws of PPL EU require a Board of not less than six and not more than twenty Directors.  Presently, the Board consists of four PPL Corporation Officers:</w:t>
      </w:r>
    </w:p>
    <w:p w:rsidR="008305C3" w:rsidRDefault="008305C3" w:rsidP="00241C4F">
      <w:pPr>
        <w:pStyle w:val="Bullet"/>
        <w:keepNext/>
      </w:pPr>
      <w:r>
        <w:lastRenderedPageBreak/>
        <w:t>PPL Corporation President and Chief Executive Officer</w:t>
      </w:r>
    </w:p>
    <w:p w:rsidR="008305C3" w:rsidRDefault="008305C3" w:rsidP="00A60C12">
      <w:pPr>
        <w:pStyle w:val="Bullet"/>
      </w:pPr>
      <w:r>
        <w:t>PPL EU President</w:t>
      </w:r>
    </w:p>
    <w:p w:rsidR="008305C3" w:rsidRDefault="008305C3" w:rsidP="00A60C12">
      <w:pPr>
        <w:pStyle w:val="Bullet"/>
      </w:pPr>
      <w:r>
        <w:t>PPL Corporation Executive Vice President and Chief Legal Officer</w:t>
      </w:r>
    </w:p>
    <w:p w:rsidR="008305C3" w:rsidRDefault="008305C3" w:rsidP="00A60C12">
      <w:pPr>
        <w:pStyle w:val="Bullet"/>
      </w:pPr>
      <w:r>
        <w:t xml:space="preserve">PPL Corporation Senior Vice President and Chief Financial Officer  </w:t>
      </w:r>
    </w:p>
    <w:p w:rsidR="008305C3" w:rsidRDefault="008305C3" w:rsidP="00A60C12">
      <w:pPr>
        <w:pStyle w:val="Normal-aftertable"/>
      </w:pPr>
      <w:r w:rsidRPr="00E51FF4">
        <w:t xml:space="preserve">Directors are elected </w:t>
      </w:r>
      <w:r>
        <w:t xml:space="preserve">at the </w:t>
      </w:r>
      <w:r w:rsidRPr="00E51FF4">
        <w:t>annual</w:t>
      </w:r>
      <w:r>
        <w:t xml:space="preserve"> shareholder meeting</w:t>
      </w:r>
      <w:r w:rsidRPr="00E51FF4">
        <w:t xml:space="preserve"> to serve for one year until</w:t>
      </w:r>
      <w:r>
        <w:t xml:space="preserve"> reelected or</w:t>
      </w:r>
      <w:r w:rsidRPr="00E51FF4">
        <w:t xml:space="preserve"> their succ</w:t>
      </w:r>
      <w:r>
        <w:t>essors are elected</w:t>
      </w:r>
      <w:r w:rsidRPr="00E51FF4">
        <w:t>.</w:t>
      </w:r>
      <w:r>
        <w:t xml:space="preserve">  There are presently no external directors serving on the PPL EU Board. </w:t>
      </w:r>
    </w:p>
    <w:p w:rsidR="008305C3" w:rsidRDefault="008305C3" w:rsidP="00A60C12">
      <w:pPr>
        <w:pStyle w:val="Heading40"/>
      </w:pPr>
      <w:r>
        <w:t>Governing Documents</w:t>
      </w:r>
    </w:p>
    <w:p w:rsidR="008305C3" w:rsidRDefault="008305C3" w:rsidP="00A60C12">
      <w:r>
        <w:t>The governance of PPL EU</w:t>
      </w:r>
      <w:r w:rsidRPr="002E1A5B">
        <w:t xml:space="preserve"> is guided by </w:t>
      </w:r>
      <w:r>
        <w:t>three</w:t>
      </w:r>
      <w:r w:rsidRPr="002E1A5B">
        <w:t xml:space="preserve"> documents that have been adopted by </w:t>
      </w:r>
      <w:r>
        <w:t xml:space="preserve">it or </w:t>
      </w:r>
      <w:r w:rsidRPr="002E1A5B">
        <w:t xml:space="preserve">the </w:t>
      </w:r>
      <w:r>
        <w:t xml:space="preserve">PPL EU </w:t>
      </w:r>
      <w:r w:rsidRPr="002E1A5B">
        <w:t>Board of Directors (</w:t>
      </w:r>
      <w:r>
        <w:t xml:space="preserve">PPL EU </w:t>
      </w:r>
      <w:r w:rsidRPr="002E1A5B">
        <w:t>Board)</w:t>
      </w:r>
      <w:r>
        <w:t>:</w:t>
      </w:r>
    </w:p>
    <w:p w:rsidR="008305C3" w:rsidRDefault="008305C3" w:rsidP="00A60C12">
      <w:pPr>
        <w:pStyle w:val="Bullet"/>
      </w:pPr>
      <w:r>
        <w:t>Amended and Restated Articles of Incorporation of PPL EU.  This document contains several articles that stipulate, among other items, the name and location of the corporation, the purposes for which it is incorporated, the numbers and</w:t>
      </w:r>
      <w:r w:rsidRPr="00437DD6">
        <w:t xml:space="preserve"> </w:t>
      </w:r>
      <w:r>
        <w:t>classification of common and preferred stock, shareholder voting rights, and stock ownership matters and related policies</w:t>
      </w:r>
    </w:p>
    <w:p w:rsidR="008305C3" w:rsidRDefault="008305C3" w:rsidP="00A60C12">
      <w:pPr>
        <w:pStyle w:val="Bullet"/>
      </w:pPr>
      <w:r>
        <w:t xml:space="preserve">Bylaws of PPL EU.  </w:t>
      </w:r>
      <w:r w:rsidRPr="00732659">
        <w:t>This document stipulates the governance policies and practices pertaining to PPL</w:t>
      </w:r>
      <w:r>
        <w:t xml:space="preserve"> EU</w:t>
      </w:r>
      <w:r w:rsidRPr="00732659">
        <w:t xml:space="preserve"> </w:t>
      </w:r>
      <w:r>
        <w:t>shareholder</w:t>
      </w:r>
      <w:r w:rsidRPr="00732659">
        <w:t xml:space="preserve"> meetings, shareholders, the </w:t>
      </w:r>
      <w:r>
        <w:t xml:space="preserve">PPL EU </w:t>
      </w:r>
      <w:r w:rsidRPr="00732659">
        <w:t>Board, corporate officers, capital stock, indemnification of directors</w:t>
      </w:r>
      <w:r>
        <w:t>,</w:t>
      </w:r>
      <w:r w:rsidRPr="00732659">
        <w:t xml:space="preserve"> and other miscellaneous administrative matters</w:t>
      </w:r>
      <w:r>
        <w:t>.</w:t>
      </w:r>
    </w:p>
    <w:p w:rsidR="008305C3" w:rsidRDefault="008305C3" w:rsidP="00A60C12">
      <w:pPr>
        <w:pStyle w:val="Bullet"/>
      </w:pPr>
      <w:r>
        <w:t>Standards of Integrity.  These are the PPL Corporation Standards of Integrity described above</w:t>
      </w:r>
      <w:r w:rsidRPr="00CC5BF2">
        <w:t>.</w:t>
      </w:r>
    </w:p>
    <w:p w:rsidR="008305C3" w:rsidRDefault="008305C3" w:rsidP="00A60C12">
      <w:pPr>
        <w:pStyle w:val="Heading40"/>
      </w:pPr>
      <w:r>
        <w:t>PPL EU Board Independent Director</w:t>
      </w:r>
    </w:p>
    <w:p w:rsidR="008305C3" w:rsidRDefault="008305C3" w:rsidP="00A60C12">
      <w:r>
        <w:t xml:space="preserve">In 2001, PPL EU announced a strategic initiative designed to substantially reduce its business and financial risk profile. As part of this 2001 strategic initiative, </w:t>
      </w:r>
      <w:r w:rsidRPr="002A6A24">
        <w:rPr>
          <w:rFonts w:cs="Arial"/>
          <w:szCs w:val="24"/>
        </w:rPr>
        <w:t>ring</w:t>
      </w:r>
      <w:r>
        <w:rPr>
          <w:rFonts w:cs="Arial"/>
          <w:szCs w:val="24"/>
        </w:rPr>
        <w:t>-</w:t>
      </w:r>
      <w:r w:rsidRPr="002A6A24">
        <w:rPr>
          <w:rFonts w:cs="Arial"/>
          <w:szCs w:val="24"/>
        </w:rPr>
        <w:t xml:space="preserve">fencing </w:t>
      </w:r>
      <w:r>
        <w:rPr>
          <w:rFonts w:cs="Arial"/>
          <w:szCs w:val="24"/>
        </w:rPr>
        <w:t xml:space="preserve">measures </w:t>
      </w:r>
      <w:r w:rsidRPr="002A6A24">
        <w:rPr>
          <w:rFonts w:cs="Arial"/>
          <w:szCs w:val="24"/>
        </w:rPr>
        <w:t>w</w:t>
      </w:r>
      <w:r>
        <w:rPr>
          <w:rFonts w:cs="Arial"/>
          <w:szCs w:val="24"/>
        </w:rPr>
        <w:t>ere</w:t>
      </w:r>
      <w:r w:rsidRPr="002A6A24">
        <w:rPr>
          <w:rFonts w:cs="Arial"/>
          <w:szCs w:val="24"/>
        </w:rPr>
        <w:t xml:space="preserve"> designed to enable PPL EU to cost-effectively realign its capital structure to reflect its (a) lower risk business profile following divestiture of its generation assets and (b) significantly reduced supply risk associated with its provider of last resort (POLR) obligations, both of which were accomplished as part of a </w:t>
      </w:r>
      <w:r>
        <w:rPr>
          <w:rFonts w:cs="Arial"/>
          <w:szCs w:val="24"/>
        </w:rPr>
        <w:t xml:space="preserve">PUC-approved </w:t>
      </w:r>
      <w:r w:rsidRPr="002A6A24">
        <w:rPr>
          <w:rFonts w:cs="Arial"/>
          <w:szCs w:val="24"/>
        </w:rPr>
        <w:t xml:space="preserve">2000 realignment.  The goal of the original ring-fencing was to increase lower-cost debt in the capital structure without decreasing ratings.  </w:t>
      </w:r>
      <w:r>
        <w:t xml:space="preserve">One of the actions taken under the 2001 initiative was the appointment of an external independent director to the PPL EU Board.  </w:t>
      </w:r>
      <w:r w:rsidRPr="009A3295">
        <w:t xml:space="preserve">Later, </w:t>
      </w:r>
      <w:r>
        <w:t xml:space="preserve">in 2010, </w:t>
      </w:r>
      <w:r w:rsidRPr="009A3295">
        <w:t>when the ring-fencing was no longer required by the bond financing, which was the purpose explained to, and approved by, the PUC in the 2001 Securities Certificate, it was eliminated.</w:t>
      </w:r>
      <w:r>
        <w:t xml:space="preserve">  Accordingly, in</w:t>
      </w:r>
      <w:r w:rsidRPr="001B2F6D">
        <w:t xml:space="preserve"> </w:t>
      </w:r>
      <w:r>
        <w:t>October 2013, the requirement for an independent director was eliminated when the bylaws of the PPL EU Board</w:t>
      </w:r>
      <w:r w:rsidRPr="001B2F6D">
        <w:t xml:space="preserve"> were amended to r</w:t>
      </w:r>
      <w:r>
        <w:t xml:space="preserve">emove existing ring fencing measures and the external independent director who had been serving on the PPL EU Board resigned in December 2013.  There are presently no independent directors on the PPL EU Board.  A discussion of the PPL EU ring fencing measures is included in Chapter IV, Affiliate Relations. </w:t>
      </w:r>
      <w:r w:rsidRPr="00E51FF4">
        <w:t xml:space="preserve"> </w:t>
      </w:r>
    </w:p>
    <w:p w:rsidR="008305C3" w:rsidRDefault="008305C3" w:rsidP="00A60C12">
      <w:pPr>
        <w:pStyle w:val="Heading40"/>
      </w:pPr>
      <w:r>
        <w:t>PPL EU Board Operation</w:t>
      </w:r>
    </w:p>
    <w:p w:rsidR="008305C3" w:rsidRDefault="008305C3" w:rsidP="00A60C12">
      <w:r>
        <w:t xml:space="preserve">The business of the PPL EU Board is generally conducted under the condition of “unanimous written consents in lieu of meeting.”  Under this practice, no face-to-face </w:t>
      </w:r>
      <w:r>
        <w:lastRenderedPageBreak/>
        <w:t xml:space="preserve">PPL EU Board Meetings are convened.  PPL EU Board Meeting minutes consistently reflect this practice and are signed by all Directors.  </w:t>
      </w:r>
    </w:p>
    <w:p w:rsidR="008305C3" w:rsidRDefault="008305C3" w:rsidP="00A60C12">
      <w:r>
        <w:t xml:space="preserve">PPL EU shareholder meetings are also conducted under the condition of “unanimous written consent in lieu of meeting.”  Shareholder meeting minutes reflect action taken by PPL Corporation, the sole PPL EU shareholder, and signed by a PPL Corporation officer.  Each set of minutes reviewed was signed by the sole shareholder for shareholder meetings or the entire PPL EU Board of Directors, for Board Meetings.  </w:t>
      </w:r>
    </w:p>
    <w:p w:rsidR="008305C3" w:rsidRDefault="008305C3" w:rsidP="00A60C12">
      <w:r>
        <w:t>The following types of business matters have been considered and acted upon by the PPL EU Board during the October 2013 to November 2015 timeframe:</w:t>
      </w:r>
    </w:p>
    <w:p w:rsidR="008305C3" w:rsidRDefault="008305C3" w:rsidP="00A60C12">
      <w:pPr>
        <w:pStyle w:val="Bullet"/>
      </w:pPr>
      <w:r>
        <w:t>Dividend payments to PPL Corporation</w:t>
      </w:r>
    </w:p>
    <w:p w:rsidR="008305C3" w:rsidRDefault="008305C3" w:rsidP="00A60C12">
      <w:pPr>
        <w:pStyle w:val="Bullet"/>
      </w:pPr>
      <w:r>
        <w:t>Short term debt authorization</w:t>
      </w:r>
    </w:p>
    <w:p w:rsidR="008305C3" w:rsidRDefault="008305C3" w:rsidP="00A60C12">
      <w:pPr>
        <w:pStyle w:val="Bullet"/>
      </w:pPr>
      <w:r>
        <w:t>Sale of bonds</w:t>
      </w:r>
    </w:p>
    <w:p w:rsidR="008305C3" w:rsidRDefault="008305C3" w:rsidP="00A60C12">
      <w:pPr>
        <w:pStyle w:val="Bullet"/>
      </w:pPr>
      <w:r>
        <w:t>Selection of bond underwriters</w:t>
      </w:r>
    </w:p>
    <w:p w:rsidR="008305C3" w:rsidRDefault="008305C3" w:rsidP="00A60C12">
      <w:pPr>
        <w:pStyle w:val="Bullet"/>
      </w:pPr>
      <w:r>
        <w:t>Authorization of Officers to act in connection with bond sales</w:t>
      </w:r>
    </w:p>
    <w:p w:rsidR="008305C3" w:rsidRDefault="008305C3" w:rsidP="00A60C12">
      <w:pPr>
        <w:pStyle w:val="Bullet"/>
      </w:pPr>
      <w:r>
        <w:t>Authorization of supply chain employees to act under the delegation of authority system</w:t>
      </w:r>
    </w:p>
    <w:p w:rsidR="008305C3" w:rsidRDefault="008305C3" w:rsidP="00A60C12">
      <w:pPr>
        <w:pStyle w:val="Bullet"/>
      </w:pPr>
      <w:r>
        <w:t>Election of PPL EU Officers</w:t>
      </w:r>
    </w:p>
    <w:p w:rsidR="008305C3" w:rsidRDefault="008305C3" w:rsidP="00A60C12">
      <w:pPr>
        <w:pStyle w:val="Bullet"/>
      </w:pPr>
      <w:r>
        <w:t>Election of PPL EU Directors by the sole shareholder</w:t>
      </w:r>
    </w:p>
    <w:p w:rsidR="008305C3" w:rsidRDefault="008305C3" w:rsidP="00A60C12">
      <w:pPr>
        <w:pStyle w:val="Bullet"/>
      </w:pPr>
      <w:r>
        <w:t>Authorization of PPL EU President or Vice Presidents to act in connection with the Pennsylvania PUC-ordered Smart Meter program</w:t>
      </w:r>
    </w:p>
    <w:p w:rsidR="008305C3" w:rsidRDefault="008305C3" w:rsidP="00A60C12">
      <w:pPr>
        <w:pStyle w:val="Bullet"/>
      </w:pPr>
      <w:r>
        <w:t>Authorization to increase the contract value of a transmission line project</w:t>
      </w:r>
    </w:p>
    <w:p w:rsidR="008305C3" w:rsidRDefault="008305C3" w:rsidP="00A60C12">
      <w:pPr>
        <w:pStyle w:val="Bullet"/>
      </w:pPr>
      <w:r>
        <w:t>Adoption of amendments to retirement plans</w:t>
      </w:r>
    </w:p>
    <w:p w:rsidR="008305C3" w:rsidRDefault="008305C3" w:rsidP="00A60C12">
      <w:pPr>
        <w:pStyle w:val="Bullet"/>
      </w:pPr>
      <w:r>
        <w:t>Resignations of Officers and Directors</w:t>
      </w:r>
    </w:p>
    <w:p w:rsidR="008305C3" w:rsidRDefault="008305C3" w:rsidP="00A60C12">
      <w:pPr>
        <w:pStyle w:val="Bullet"/>
      </w:pPr>
      <w:r>
        <w:t>Condemnation and appropriation of rights-of-way and easements</w:t>
      </w:r>
    </w:p>
    <w:p w:rsidR="008305C3" w:rsidRDefault="008305C3" w:rsidP="00A60C12">
      <w:pPr>
        <w:pStyle w:val="Bullet"/>
      </w:pPr>
      <w:r>
        <w:t>Resolution to review and direct Officers per the Dodd Frank Act</w:t>
      </w:r>
    </w:p>
    <w:p w:rsidR="008305C3" w:rsidRDefault="008305C3" w:rsidP="00A60C12">
      <w:pPr>
        <w:pStyle w:val="Bullet"/>
      </w:pPr>
      <w:r>
        <w:t>Restatement of the Bylaws</w:t>
      </w:r>
    </w:p>
    <w:p w:rsidR="008305C3" w:rsidRDefault="008305C3" w:rsidP="00A60C12">
      <w:pPr>
        <w:pStyle w:val="Heading40"/>
      </w:pPr>
      <w:r w:rsidRPr="00D122FB">
        <w:t>PPL EU Board Committees</w:t>
      </w:r>
    </w:p>
    <w:p w:rsidR="008305C3" w:rsidRDefault="008305C3" w:rsidP="00A60C12">
      <w:r>
        <w:t>The PPL EU Board has the authority to establish an Executive Committee as well as one or more other committees.  The PPL EU Board had an Executive Committee in the past, but it has not been convened since 2006.  No other committees have been established by the PPL EU Board.</w:t>
      </w:r>
    </w:p>
    <w:p w:rsidR="008305C3" w:rsidRDefault="008305C3" w:rsidP="00A60C12">
      <w:pPr>
        <w:pStyle w:val="Heading40"/>
      </w:pPr>
      <w:r>
        <w:t>Compensation of PPL EU Board Members</w:t>
      </w:r>
    </w:p>
    <w:p w:rsidR="008305C3" w:rsidRDefault="008305C3" w:rsidP="00A60C12">
      <w:r>
        <w:t>Directors who are employees of PPL EU or its affiliates do not receive any separate compensation for their service on the PPL EU Board.  During the past five years, PPL EU paid a contractor an annual fee of $7,000 for the services of an independent Director, until that Director’s resignation from the PPL EU Board in December 2013 in connection with elimination of the finance-related ring-fencing.</w:t>
      </w:r>
    </w:p>
    <w:p w:rsidR="008305C3" w:rsidRDefault="008305C3" w:rsidP="00356110">
      <w:pPr>
        <w:pStyle w:val="Heading30"/>
      </w:pPr>
      <w:r w:rsidRPr="002B4306">
        <w:lastRenderedPageBreak/>
        <w:t>Board Relationships and influence</w:t>
      </w:r>
    </w:p>
    <w:p w:rsidR="008305C3" w:rsidRDefault="008305C3" w:rsidP="00A60C12">
      <w:pPr>
        <w:pStyle w:val="Heading40"/>
      </w:pPr>
      <w:r>
        <w:t>Relationship of the PPL EU Board to the Parent Company</w:t>
      </w:r>
    </w:p>
    <w:p w:rsidR="008305C3" w:rsidRDefault="008305C3" w:rsidP="00A60C12">
      <w:r>
        <w:t>The Chairman, CEO, and President of PPL Corporation serves on the PPL EU Board, along with two other senior officers of PPL Corporation and the PPL EU President.  This governance situation results in a close relationship between the executive management of PPL Corporation and the PPL EU Board, as well as the other key utility subsidiaries in Kentucky and the UK.</w:t>
      </w:r>
      <w:r w:rsidRPr="00E2033B">
        <w:t xml:space="preserve"> </w:t>
      </w:r>
    </w:p>
    <w:p w:rsidR="008305C3" w:rsidRDefault="008305C3" w:rsidP="00A60C12">
      <w:r>
        <w:t>The PPL Corporation Board Chairman, in addition to his presence on the PPL EU Board, attends the PPL EU President</w:t>
      </w:r>
      <w:r w:rsidRPr="008B6161">
        <w:t xml:space="preserve">’s quarterly leadership meetings and conducts routine field visits.  Additionally, to assure thorough and continuing communication, </w:t>
      </w:r>
      <w:r>
        <w:t xml:space="preserve">and because PPL EU is one of the major operating subsidiaries of PPL, the PPL </w:t>
      </w:r>
      <w:r w:rsidRPr="008B6161">
        <w:t>EU President attends all PPL Corporation Board meetings.</w:t>
      </w:r>
    </w:p>
    <w:p w:rsidR="008305C3" w:rsidRDefault="008305C3" w:rsidP="00A60C12">
      <w:r>
        <w:t xml:space="preserve">The PPL Corporation Board keeps abreast of subsidiary performance and developments through regular Board interaction and reporting from the officers on the PPL EU, and other subsidiary Boards.  PPL Corporation Board meetings have been held in Pennsylvania, Kentucky and the UK.  </w:t>
      </w:r>
    </w:p>
    <w:p w:rsidR="008305C3" w:rsidRDefault="008305C3" w:rsidP="00A60C12">
      <w:r>
        <w:t>The PPL EU President regularly provides presentations to the PPL Corporation Board, including topics such as safety, reliability, customer service, environmental performance, cybersecurity and regulatory matters.</w:t>
      </w:r>
    </w:p>
    <w:p w:rsidR="008305C3" w:rsidRDefault="008305C3" w:rsidP="00A60C12">
      <w:pPr>
        <w:pStyle w:val="Heading30"/>
      </w:pPr>
      <w:r>
        <w:t>Ethics and Conflict of Interest Policies</w:t>
      </w:r>
    </w:p>
    <w:p w:rsidR="008305C3" w:rsidRDefault="008305C3" w:rsidP="00A60C12">
      <w:pPr>
        <w:pStyle w:val="Heading40"/>
      </w:pPr>
      <w:r>
        <w:t>Standards of Integrity</w:t>
      </w:r>
    </w:p>
    <w:p w:rsidR="008305C3" w:rsidRDefault="008305C3" w:rsidP="00A60C12">
      <w:r w:rsidRPr="004C4985">
        <w:t>PPL</w:t>
      </w:r>
      <w:r>
        <w:t xml:space="preserve"> Corporation</w:t>
      </w:r>
      <w:r w:rsidRPr="004C4985">
        <w:t xml:space="preserve"> has adopted a code of ethics entitled Standards of Integrity that applies to all directors, managers, trustees, officers (including the principal executive officers, principal financial officers</w:t>
      </w:r>
      <w:r>
        <w:t>,</w:t>
      </w:r>
      <w:r w:rsidRPr="004C4985">
        <w:t xml:space="preserve"> and principal accounting officers </w:t>
      </w:r>
      <w:r>
        <w:t>[</w:t>
      </w:r>
      <w:r w:rsidRPr="004C4985">
        <w:t>each, a "principal officer"</w:t>
      </w:r>
      <w:r>
        <w:t>]</w:t>
      </w:r>
      <w:r w:rsidRPr="004C4985">
        <w:t>), employees and agents of PPL</w:t>
      </w:r>
      <w:r>
        <w:t xml:space="preserve"> Corporation</w:t>
      </w:r>
      <w:r w:rsidRPr="004C4985">
        <w:t xml:space="preserve"> and PPL</w:t>
      </w:r>
      <w:r>
        <w:t xml:space="preserve"> Corporation</w:t>
      </w:r>
      <w:r w:rsidRPr="004C4985">
        <w:t>'s subsidiaries for which it has operating control (including PPL E</w:t>
      </w:r>
      <w:r>
        <w:t>U</w:t>
      </w:r>
      <w:r w:rsidRPr="004C4985">
        <w:t>, LKE, LG&amp;E</w:t>
      </w:r>
      <w:r>
        <w:t>,</w:t>
      </w:r>
      <w:r w:rsidRPr="004C4985">
        <w:t xml:space="preserve"> and KU).  </w:t>
      </w:r>
    </w:p>
    <w:p w:rsidR="008305C3" w:rsidRDefault="008305C3" w:rsidP="00A60C12">
      <w:r w:rsidRPr="004C4985">
        <w:t>A description of any amendment to the Standards of Integrity (other than a technical, administrative</w:t>
      </w:r>
      <w:r>
        <w:t>,</w:t>
      </w:r>
      <w:r w:rsidRPr="004C4985">
        <w:t xml:space="preserve"> or other non-substantive amendment) will be </w:t>
      </w:r>
      <w:r>
        <w:t>made public</w:t>
      </w:r>
      <w:r w:rsidRPr="004C4985">
        <w:t xml:space="preserve"> on PPL</w:t>
      </w:r>
      <w:r>
        <w:t xml:space="preserve"> Corporation</w:t>
      </w:r>
      <w:r w:rsidRPr="004C4985">
        <w:t xml:space="preserve">'s </w:t>
      </w:r>
      <w:r>
        <w:t>i</w:t>
      </w:r>
      <w:r w:rsidRPr="004C4985">
        <w:t>nternet website within four business days following the date of the amendment.  In addition, if a waiver constituting a material departure from a provision of the Standards of Integrity is granted to one of the principal officers, a description of the nature of the waiver, the name of the person to whom the waiver was granted</w:t>
      </w:r>
      <w:r>
        <w:t>,</w:t>
      </w:r>
      <w:r w:rsidRPr="004C4985">
        <w:t xml:space="preserve"> and the date of the waiver will be posted on PPL</w:t>
      </w:r>
      <w:r>
        <w:t xml:space="preserve"> Corporation</w:t>
      </w:r>
      <w:r w:rsidRPr="004C4985">
        <w:t xml:space="preserve">'s </w:t>
      </w:r>
      <w:r>
        <w:t>i</w:t>
      </w:r>
      <w:r w:rsidRPr="004C4985">
        <w:t>nternet website within four business days following the date of the waiver.</w:t>
      </w:r>
      <w:r>
        <w:t xml:space="preserve">  </w:t>
      </w:r>
    </w:p>
    <w:p w:rsidR="008305C3" w:rsidRDefault="008305C3" w:rsidP="00A60C12">
      <w:r>
        <w:t xml:space="preserve">PPL Corporation stated that no waivers had been granted by the PPL Corporation Board of Directors in the past five years.  Further, PPL Corporation had no instance in the past five years when any Director or Officer of PPL EU had to recuse him or herself from a decision or action due to a conflict of interest.  </w:t>
      </w:r>
    </w:p>
    <w:p w:rsidR="008305C3" w:rsidRDefault="008305C3" w:rsidP="00A60C12">
      <w:r>
        <w:t xml:space="preserve">Starting in 2015, all PPL employees are required to complete annual refresher training on the Standards of Integrity.   </w:t>
      </w:r>
      <w:r w:rsidRPr="00AE4A8C">
        <w:t xml:space="preserve">New employees in the United States (for all domestic subsidiaries of PPL Corporation) are required to </w:t>
      </w:r>
      <w:r>
        <w:t>complete</w:t>
      </w:r>
      <w:r w:rsidRPr="00AE4A8C">
        <w:t xml:space="preserve"> Standards of Integrity training </w:t>
      </w:r>
      <w:r w:rsidRPr="00AE4A8C">
        <w:lastRenderedPageBreak/>
        <w:t xml:space="preserve">within six weeks of beginning work, while existing employees receive periodic refresher training.  About half of the PPL employees (including new hires) in the United States </w:t>
      </w:r>
      <w:r>
        <w:t>completed</w:t>
      </w:r>
      <w:r w:rsidRPr="00AE4A8C">
        <w:t xml:space="preserve"> the Standards of Integr</w:t>
      </w:r>
      <w:r>
        <w:t>ity course in 2013 (5,290 individuals) and the remaining employees</w:t>
      </w:r>
      <w:r w:rsidRPr="00AE4A8C">
        <w:t xml:space="preserve"> </w:t>
      </w:r>
      <w:r>
        <w:t>completed</w:t>
      </w:r>
      <w:r w:rsidRPr="00AE4A8C">
        <w:t xml:space="preserve"> it in 2014 (4,679 </w:t>
      </w:r>
      <w:r>
        <w:t>individuals</w:t>
      </w:r>
      <w:r w:rsidRPr="00AE4A8C">
        <w:t xml:space="preserve">).  For 2015, all new hires and all individuals who were PPL employees in the United States as of October, 2015 </w:t>
      </w:r>
      <w:r>
        <w:t>completed</w:t>
      </w:r>
      <w:r w:rsidRPr="00AE4A8C">
        <w:t xml:space="preserve"> the course in 2015 (6,254 employees).  The decision was </w:t>
      </w:r>
      <w:r>
        <w:t xml:space="preserve">made </w:t>
      </w:r>
      <w:r w:rsidRPr="00AE4A8C">
        <w:t>in 2015 to require all PPL employees to take annual refresher training on the Standards of Integrity.</w:t>
      </w:r>
      <w:r>
        <w:t xml:space="preserve"> The Corporate Compliance Director</w:t>
      </w:r>
      <w:r w:rsidRPr="008A4D75">
        <w:t xml:space="preserve"> monitors training completion and issues reminders for training attendance.</w:t>
      </w:r>
    </w:p>
    <w:p w:rsidR="008305C3" w:rsidRDefault="008305C3" w:rsidP="00A60C12">
      <w:pPr>
        <w:pStyle w:val="Heading40"/>
      </w:pPr>
      <w:r>
        <w:t>Business Ethics Program</w:t>
      </w:r>
    </w:p>
    <w:p w:rsidR="008305C3" w:rsidRDefault="008305C3" w:rsidP="00A60C12">
      <w:r>
        <w:t xml:space="preserve">A major element in the governance and corporate management of ethics and conflict of interest matters is the Employee Concerns program.  The program features an Ethics Helpline that is operated by an independent third-party and managed by the Corporate Audit and Business Ethics (CA&amp;BE) group.  This 24 hours per day, seven days per week capability provides a means for employees to report (anonymously if desired) their concerns with PPL Corporation or its subsidiaries by telephone or the internet.  When received, each concern is reviewed and depending upon the nature of the issue, referred to the appropriate party for investigation and recommended action.  Depending on the nature of the employee’s concern and subject to the PPL corporate policy on investigations, an internal investigation may need to be conducted. In such cases, the matter may be assigned to a staff department appropriately skilled to conduct that type of investigation (e.g., Corporate Audit Services and Business Ethics, Environmental, Human Resources </w:t>
      </w:r>
      <w:r w:rsidR="00A60C12">
        <w:t>and</w:t>
      </w:r>
      <w:r>
        <w:t xml:space="preserve"> Services, Office of General Counsel, Safety Operations, etc.).</w:t>
      </w:r>
    </w:p>
    <w:p w:rsidR="008305C3" w:rsidRDefault="008305C3" w:rsidP="00A60C12">
      <w:r>
        <w:t>Concerns are categorized as follows:</w:t>
      </w:r>
    </w:p>
    <w:p w:rsidR="008305C3" w:rsidRDefault="008305C3" w:rsidP="00A60C12">
      <w:pPr>
        <w:pStyle w:val="Bullet"/>
      </w:pPr>
      <w:r>
        <w:t>Business Practice</w:t>
      </w:r>
    </w:p>
    <w:p w:rsidR="008305C3" w:rsidRDefault="008305C3" w:rsidP="00A60C12">
      <w:pPr>
        <w:pStyle w:val="Bullet"/>
      </w:pPr>
      <w:r>
        <w:t>Conflicts of Interest</w:t>
      </w:r>
    </w:p>
    <w:p w:rsidR="008305C3" w:rsidRDefault="008305C3" w:rsidP="00A60C12">
      <w:pPr>
        <w:pStyle w:val="Bullet"/>
      </w:pPr>
      <w:r>
        <w:t>Human Resources</w:t>
      </w:r>
    </w:p>
    <w:p w:rsidR="008305C3" w:rsidRDefault="008305C3" w:rsidP="00A60C12">
      <w:pPr>
        <w:pStyle w:val="Bullet"/>
      </w:pPr>
      <w:r>
        <w:t>Company Assets</w:t>
      </w:r>
    </w:p>
    <w:p w:rsidR="008305C3" w:rsidRDefault="008305C3" w:rsidP="00A60C12">
      <w:pPr>
        <w:pStyle w:val="Bullet"/>
      </w:pPr>
      <w:r>
        <w:t>Employee Behavior</w:t>
      </w:r>
    </w:p>
    <w:p w:rsidR="008305C3" w:rsidRDefault="008305C3" w:rsidP="00A60C12">
      <w:pPr>
        <w:pStyle w:val="Normal-aftertable"/>
      </w:pPr>
      <w:r>
        <w:t>Concerns are also categorized by organization and location.</w:t>
      </w:r>
    </w:p>
    <w:p w:rsidR="008305C3" w:rsidRDefault="008305C3" w:rsidP="00A60C12">
      <w:r>
        <w:t>Investigations are generally completed within 30 days of being reported.  Investigation results are classified as “substantiated,” “partially substantiated,”  “unsubstantiated,” or “indeterminate.”  All concerns are tracked and monitored to resolution.  Any concerns and/or recommendations that involve discipline are referred to PPL SC Human Resources or PPL EUS Human Resources.</w:t>
      </w:r>
    </w:p>
    <w:p w:rsidR="008305C3" w:rsidRDefault="008305C3" w:rsidP="00A60C12">
      <w:r>
        <w:t xml:space="preserve">The Corporate Compliance Committee, chaired by the General Counsel through 2015, meets quarterly to review PPL’s business ethics and compliance program.  This review includes a summary of inquiries and concerns and investigation results.  The Corporate Compliance Director facilitates these meetings and prepares the agenda and meeting material.  A summary of inquiries and concerns are reported to the PPL Audit Committee on a quarterly basis.  Additionally, Corporate Audit and Business Ethics </w:t>
      </w:r>
      <w:r w:rsidRPr="008A4D75">
        <w:t xml:space="preserve">monitors the trends associated with the </w:t>
      </w:r>
      <w:r>
        <w:t>Ethics</w:t>
      </w:r>
      <w:r w:rsidRPr="008A4D75">
        <w:t xml:space="preserve"> </w:t>
      </w:r>
      <w:r>
        <w:t>Helpline</w:t>
      </w:r>
      <w:r w:rsidRPr="008A4D75">
        <w:t>.</w:t>
      </w:r>
    </w:p>
    <w:p w:rsidR="008305C3" w:rsidRPr="00BC2360" w:rsidRDefault="008305C3" w:rsidP="00A60C12">
      <w:pPr>
        <w:pStyle w:val="Heading30"/>
      </w:pPr>
      <w:r w:rsidRPr="00BC2360">
        <w:lastRenderedPageBreak/>
        <w:t>Corporate Culture and Focus on Safety</w:t>
      </w:r>
    </w:p>
    <w:p w:rsidR="008305C3" w:rsidRPr="009C3B76" w:rsidRDefault="008305C3" w:rsidP="00A60C12">
      <w:pPr>
        <w:keepNext/>
        <w:rPr>
          <w:b/>
        </w:rPr>
      </w:pPr>
      <w:r w:rsidRPr="00083591">
        <w:rPr>
          <w:b/>
        </w:rPr>
        <w:t>PPL Corporation Corporate Culture and Focus on Safety</w:t>
      </w:r>
    </w:p>
    <w:p w:rsidR="008305C3" w:rsidRDefault="008305C3" w:rsidP="00A60C12">
      <w:r>
        <w:t>The PPL Corporation Chairman, President and CEO</w:t>
      </w:r>
      <w:r w:rsidRPr="008B6161">
        <w:t xml:space="preserve"> </w:t>
      </w:r>
      <w:r>
        <w:t xml:space="preserve">typically </w:t>
      </w:r>
      <w:proofErr w:type="gramStart"/>
      <w:r w:rsidRPr="008B6161">
        <w:t>convenes</w:t>
      </w:r>
      <w:proofErr w:type="gramEnd"/>
      <w:r w:rsidRPr="008B6161">
        <w:t xml:space="preserve"> a </w:t>
      </w:r>
      <w:r>
        <w:t xml:space="preserve">bi-weekly </w:t>
      </w:r>
      <w:r w:rsidRPr="008B6161">
        <w:t xml:space="preserve">meeting of the </w:t>
      </w:r>
      <w:r>
        <w:t>Extended</w:t>
      </w:r>
      <w:r w:rsidRPr="008B6161">
        <w:t xml:space="preserve"> Corporate Leadership Committee (ECLC). </w:t>
      </w:r>
      <w:r>
        <w:t xml:space="preserve"> </w:t>
      </w:r>
      <w:r w:rsidRPr="008B6161">
        <w:t>The</w:t>
      </w:r>
      <w:r>
        <w:t xml:space="preserve"> ECLC</w:t>
      </w:r>
      <w:r w:rsidRPr="008B6161">
        <w:t xml:space="preserve"> membership includes</w:t>
      </w:r>
      <w:r>
        <w:t xml:space="preserve"> the Chairman, President and CEO</w:t>
      </w:r>
      <w:r w:rsidRPr="008B6161">
        <w:t>, the Presidents of PPL EU</w:t>
      </w:r>
      <w:r>
        <w:t xml:space="preserve"> and</w:t>
      </w:r>
      <w:r w:rsidRPr="008B6161">
        <w:t xml:space="preserve"> </w:t>
      </w:r>
      <w:r>
        <w:t>LKE</w:t>
      </w:r>
      <w:r w:rsidRPr="008B6161">
        <w:t>, the General Counsel, the C</w:t>
      </w:r>
      <w:r>
        <w:t xml:space="preserve">hief </w:t>
      </w:r>
      <w:r w:rsidRPr="008B6161">
        <w:t>F</w:t>
      </w:r>
      <w:r>
        <w:t xml:space="preserve">inancial </w:t>
      </w:r>
      <w:r w:rsidRPr="008B6161">
        <w:t>O</w:t>
      </w:r>
      <w:r>
        <w:t>fficer</w:t>
      </w:r>
      <w:r w:rsidRPr="008B6161">
        <w:t>, the SVP-H</w:t>
      </w:r>
      <w:r>
        <w:t xml:space="preserve">uman </w:t>
      </w:r>
      <w:r w:rsidRPr="008B6161">
        <w:t>R</w:t>
      </w:r>
      <w:r>
        <w:t>esources &amp; Services and Chief Human Resources Officer,</w:t>
      </w:r>
      <w:r w:rsidRPr="008B6161">
        <w:t xml:space="preserve"> and the </w:t>
      </w:r>
      <w:r>
        <w:t xml:space="preserve">Global </w:t>
      </w:r>
      <w:r w:rsidRPr="008B6161">
        <w:t xml:space="preserve">Chief </w:t>
      </w:r>
      <w:r>
        <w:t>Compliance</w:t>
      </w:r>
      <w:r w:rsidRPr="008B6161">
        <w:t xml:space="preserve"> Officer. </w:t>
      </w:r>
      <w:r w:rsidRPr="009E3C73">
        <w:t>This committee reviews PPL Corporation performance in five key focus areas:  safety, environmental, reliability, customer service, and cost.  The ECLC also reviews regulatory matters, compliance programs, legislative issues, cybersecurity issues, business plans, HR matters, diversity, corporate policy decisions, strategy</w:t>
      </w:r>
      <w:r>
        <w:t xml:space="preserve"> and other matters</w:t>
      </w:r>
      <w:r w:rsidRPr="008B6161">
        <w:t>.</w:t>
      </w:r>
    </w:p>
    <w:p w:rsidR="008305C3" w:rsidRPr="008222C5" w:rsidRDefault="008305C3" w:rsidP="00A60C12">
      <w:pPr>
        <w:rPr>
          <w:b/>
        </w:rPr>
      </w:pPr>
      <w:r w:rsidRPr="008222C5">
        <w:rPr>
          <w:b/>
        </w:rPr>
        <w:t>PPL EU Corporate Culture and Focus on Safety</w:t>
      </w:r>
    </w:p>
    <w:p w:rsidR="008305C3" w:rsidRDefault="008305C3" w:rsidP="00A60C12">
      <w:r>
        <w:t xml:space="preserve">The PPL EU President and management team have recently implemented </w:t>
      </w:r>
      <w:proofErr w:type="gramStart"/>
      <w:r>
        <w:t>a</w:t>
      </w:r>
      <w:proofErr w:type="gramEnd"/>
      <w:r>
        <w:t xml:space="preserve"> “OneQ” initiative to improve the overall performance of the PPL EU organization.  Employee safety is one of the key elements for improvement targeted by this initiative.  </w:t>
      </w:r>
      <w:r w:rsidRPr="006E2C55">
        <w:t>The</w:t>
      </w:r>
      <w:r>
        <w:t xml:space="preserve"> </w:t>
      </w:r>
      <w:r w:rsidRPr="006E2C55">
        <w:t xml:space="preserve">OneQ initiative was introduced </w:t>
      </w:r>
      <w:r>
        <w:t xml:space="preserve">in 2014 with the </w:t>
      </w:r>
      <w:r w:rsidRPr="006E2C55">
        <w:t xml:space="preserve">objective to </w:t>
      </w:r>
      <w:r>
        <w:t xml:space="preserve">move PPL EU to </w:t>
      </w:r>
      <w:r w:rsidRPr="006E2C55">
        <w:t>be</w:t>
      </w:r>
      <w:r>
        <w:t>come</w:t>
      </w:r>
      <w:r w:rsidRPr="006E2C55">
        <w:t xml:space="preserve"> an industry leader (first quartile ranking) in safety, reliability, customer service</w:t>
      </w:r>
      <w:r>
        <w:t>,</w:t>
      </w:r>
      <w:r w:rsidRPr="006E2C55">
        <w:t xml:space="preserve"> and cost efficiency</w:t>
      </w:r>
      <w:r>
        <w:t>.  Additionally, both the PPL Corporation Standards of Integrity and the PPL EU Safety Rule Book clearly emphasize and commit to a culture of safety in the work place.  Employee safety is discussed in more detail in the Executive Management and the Transmission and Distribution Chapters of this audit report.</w:t>
      </w:r>
    </w:p>
    <w:p w:rsidR="008305C3" w:rsidRDefault="008305C3" w:rsidP="00A60C12">
      <w:pPr>
        <w:pStyle w:val="Heading30"/>
      </w:pPr>
      <w:r>
        <w:t>external audit function</w:t>
      </w:r>
    </w:p>
    <w:p w:rsidR="008305C3" w:rsidRDefault="008305C3" w:rsidP="00A60C12">
      <w:r>
        <w:t xml:space="preserve">Under the provisions of the SOX Act and the Securities Exchange Act of 1934, all audit services and non-audit services provided to PPL Corporation by its independent auditor must be pre-approved by the PPL Corporation Audit Committee. </w:t>
      </w:r>
    </w:p>
    <w:p w:rsidR="008305C3" w:rsidRDefault="008305C3" w:rsidP="00A60C12">
      <w:r>
        <w:t xml:space="preserve">The external auditor performs an annual integrated audit of PPL Corporation and its registrant subsidiaries, including PPL EU.  For the past ten years, through the fiscal year ending December 31, 2015, Ernst &amp; Young LLP, an </w:t>
      </w:r>
      <w:r w:rsidRPr="009E13F8">
        <w:t>independent registered public accounting firm</w:t>
      </w:r>
      <w:r>
        <w:t>, has served as the Company’s independent external auditor</w:t>
      </w:r>
      <w:r w:rsidRPr="00032BA8">
        <w:t>.</w:t>
      </w:r>
      <w:r>
        <w:t xml:space="preserve">  For the fiscal year ending December 31, 2016, the Company has selected </w:t>
      </w:r>
      <w:r w:rsidRPr="009E13F8">
        <w:t>Deloitte &amp; Touche LLP</w:t>
      </w:r>
      <w:r>
        <w:t xml:space="preserve">, another </w:t>
      </w:r>
      <w:r w:rsidRPr="009E13F8">
        <w:t>independent registered public accounting firm</w:t>
      </w:r>
      <w:r>
        <w:t>, to perform these services</w:t>
      </w:r>
      <w:r w:rsidRPr="0037283C">
        <w:t xml:space="preserve"> </w:t>
      </w:r>
      <w:r>
        <w:t>as a result of the Company's policy to require solicitation of proposals for the independent integrated financial statement audits by the Principal Auditor that occurs at least once every ten years.</w:t>
      </w:r>
    </w:p>
    <w:p w:rsidR="008305C3" w:rsidRDefault="008305C3" w:rsidP="00A60C12">
      <w:pPr>
        <w:pStyle w:val="Heading40"/>
      </w:pPr>
      <w:r>
        <w:t>External Auditor Communication and Interface with Board Audit Committee</w:t>
      </w:r>
    </w:p>
    <w:p w:rsidR="008305C3" w:rsidRDefault="008305C3" w:rsidP="00A60C12">
      <w:r w:rsidRPr="00E846C3">
        <w:t xml:space="preserve">The </w:t>
      </w:r>
      <w:r>
        <w:t xml:space="preserve">Chair of the </w:t>
      </w:r>
      <w:r w:rsidRPr="00E846C3">
        <w:t xml:space="preserve">Audit Committee is </w:t>
      </w:r>
      <w:r>
        <w:t xml:space="preserve">designated as </w:t>
      </w:r>
      <w:r w:rsidRPr="00E846C3">
        <w:t>a</w:t>
      </w:r>
      <w:r>
        <w:t>n</w:t>
      </w:r>
      <w:r w:rsidRPr="00E846C3">
        <w:t xml:space="preserve"> </w:t>
      </w:r>
      <w:r>
        <w:t xml:space="preserve">"audit committee </w:t>
      </w:r>
      <w:r w:rsidRPr="00E846C3">
        <w:t>financial expert</w:t>
      </w:r>
      <w:r>
        <w:t>"</w:t>
      </w:r>
      <w:r w:rsidRPr="00E846C3">
        <w:t xml:space="preserve"> </w:t>
      </w:r>
      <w:r>
        <w:t xml:space="preserve">under SEC rules </w:t>
      </w:r>
      <w:r w:rsidRPr="00E846C3">
        <w:t xml:space="preserve">and provides strong direction in Audit Committee matters.  </w:t>
      </w:r>
      <w:r>
        <w:t>The Chair</w:t>
      </w:r>
      <w:r w:rsidRPr="00E846C3">
        <w:t xml:space="preserve"> routinely meets with the external auditor.  The </w:t>
      </w:r>
      <w:r>
        <w:t>CA&amp;BE Vice President</w:t>
      </w:r>
      <w:r w:rsidRPr="00E846C3">
        <w:t xml:space="preserve"> and the external auditor attend each meeting of the Audit Committee.  </w:t>
      </w:r>
      <w:r>
        <w:t xml:space="preserve">Generally, </w:t>
      </w:r>
      <w:r w:rsidRPr="00E846C3">
        <w:t xml:space="preserve"> the Audit Committee Chair meets individually with the external auditor and the </w:t>
      </w:r>
      <w:r>
        <w:t>CA&amp;BE Vice President</w:t>
      </w:r>
      <w:r w:rsidRPr="00E846C3">
        <w:t xml:space="preserve"> </w:t>
      </w:r>
      <w:r>
        <w:t xml:space="preserve">at the end of each meeting </w:t>
      </w:r>
      <w:r w:rsidRPr="00E846C3">
        <w:t xml:space="preserve">to determine if there are any concerns that have arisen during the </w:t>
      </w:r>
      <w:r w:rsidRPr="00E846C3">
        <w:lastRenderedPageBreak/>
        <w:t xml:space="preserve">meeting.  </w:t>
      </w:r>
      <w:r>
        <w:t>S</w:t>
      </w:r>
      <w:r w:rsidRPr="00E846C3">
        <w:t xml:space="preserve">imilar individual meetings </w:t>
      </w:r>
      <w:r>
        <w:t xml:space="preserve">may be held with the CFO and Chief Risk Officer </w:t>
      </w:r>
      <w:r w:rsidRPr="00E846C3">
        <w:t>at the end of each Audit Committee meeting</w:t>
      </w:r>
      <w:r>
        <w:t>.</w:t>
      </w:r>
      <w:r w:rsidRPr="00E846C3">
        <w:t xml:space="preserve"> </w:t>
      </w:r>
    </w:p>
    <w:p w:rsidR="008305C3" w:rsidRDefault="008305C3" w:rsidP="00A60C12">
      <w:pPr>
        <w:pStyle w:val="Heading30"/>
      </w:pPr>
      <w:r>
        <w:t>Internal audit function</w:t>
      </w:r>
    </w:p>
    <w:p w:rsidR="008305C3" w:rsidRDefault="008305C3" w:rsidP="00A60C12">
      <w:r>
        <w:t xml:space="preserve">The internal audit function is carried out by the CA&amp;BE group, which is led by the CA&amp;BE Vice President.  The CA&amp;BE Vice President </w:t>
      </w:r>
      <w:proofErr w:type="gramStart"/>
      <w:r>
        <w:t>reports</w:t>
      </w:r>
      <w:proofErr w:type="gramEnd"/>
      <w:r>
        <w:t xml:space="preserve"> to the PPL Corporation Chairman, President and CEO and the PPL Audit Committee.  The CA&amp;BE Vice President </w:t>
      </w:r>
      <w:r w:rsidRPr="002D1F71">
        <w:t>manages a work group consisting of 13 employees.  This includes a S</w:t>
      </w:r>
      <w:r>
        <w:t>enio</w:t>
      </w:r>
      <w:r w:rsidRPr="002D1F71">
        <w:t xml:space="preserve">r Manager of Audit Services and eight auditors, </w:t>
      </w:r>
      <w:r>
        <w:t>one</w:t>
      </w:r>
      <w:r w:rsidRPr="002D1F71">
        <w:t xml:space="preserve"> SOX auditor, a Business Ethics consultant</w:t>
      </w:r>
      <w:r>
        <w:t>,</w:t>
      </w:r>
      <w:r w:rsidRPr="002D1F71">
        <w:t xml:space="preserve"> and an Administrative Coordinator.  </w:t>
      </w:r>
      <w:r>
        <w:t>T</w:t>
      </w:r>
      <w:r w:rsidRPr="002D1F71">
        <w:t>wo co</w:t>
      </w:r>
      <w:r>
        <w:t xml:space="preserve">ntract auditors were </w:t>
      </w:r>
      <w:r w:rsidRPr="002D1F71">
        <w:t>recently</w:t>
      </w:r>
      <w:r>
        <w:t xml:space="preserve"> retained</w:t>
      </w:r>
      <w:r w:rsidRPr="002D1F71">
        <w:t xml:space="preserve"> to </w:t>
      </w:r>
      <w:r>
        <w:t>augment staffing</w:t>
      </w:r>
      <w:r w:rsidRPr="002D1F71">
        <w:t xml:space="preserve">.  </w:t>
      </w:r>
      <w:r>
        <w:t xml:space="preserve">The plan is to use contract auditors to perform SOX testing.  </w:t>
      </w:r>
      <w:r w:rsidRPr="002D1F71">
        <w:t>Certifications</w:t>
      </w:r>
      <w:r>
        <w:t xml:space="preserve"> of the staff members</w:t>
      </w:r>
      <w:r w:rsidRPr="002D1F71">
        <w:t xml:space="preserve"> include C</w:t>
      </w:r>
      <w:r>
        <w:t xml:space="preserve">ertified </w:t>
      </w:r>
      <w:r w:rsidRPr="002D1F71">
        <w:t>P</w:t>
      </w:r>
      <w:r>
        <w:t xml:space="preserve">ublic </w:t>
      </w:r>
      <w:r w:rsidRPr="002D1F71">
        <w:t>A</w:t>
      </w:r>
      <w:r>
        <w:t>ccountant</w:t>
      </w:r>
      <w:r w:rsidRPr="002D1F71">
        <w:t>s, C</w:t>
      </w:r>
      <w:r>
        <w:t xml:space="preserve">ertified </w:t>
      </w:r>
      <w:r w:rsidRPr="002D1F71">
        <w:t>I</w:t>
      </w:r>
      <w:r>
        <w:t xml:space="preserve">nternal </w:t>
      </w:r>
      <w:r w:rsidRPr="002D1F71">
        <w:t>A</w:t>
      </w:r>
      <w:r>
        <w:t>uditor</w:t>
      </w:r>
      <w:r w:rsidRPr="002D1F71">
        <w:t>s, C</w:t>
      </w:r>
      <w:r>
        <w:t xml:space="preserve">ertified </w:t>
      </w:r>
      <w:r w:rsidRPr="002D1F71">
        <w:t>I</w:t>
      </w:r>
      <w:r>
        <w:t xml:space="preserve">nformation </w:t>
      </w:r>
      <w:r w:rsidRPr="002D1F71">
        <w:t>S</w:t>
      </w:r>
      <w:r>
        <w:t xml:space="preserve">ystems </w:t>
      </w:r>
      <w:r w:rsidRPr="002D1F71">
        <w:t>A</w:t>
      </w:r>
      <w:r>
        <w:t>uditors, and Certified Fraud Examiners</w:t>
      </w:r>
      <w:r w:rsidRPr="002D1F71">
        <w:t>.</w:t>
      </w:r>
    </w:p>
    <w:p w:rsidR="008305C3" w:rsidRDefault="008305C3" w:rsidP="00A60C12">
      <w:r>
        <w:t xml:space="preserve">The CA&amp;BE group’s mission is, “to provide independent, objective, and relevant assurance and consulting services designed to add value and improve the operations of PPL Corporation and its subsidiaries. The CA&amp;BE group supports PPL Corporation in accomplishing its objectives by bringing a systematic, disciplined approach to evaluate and improve the effectiveness of governance, risk management, and control processes.”  </w:t>
      </w:r>
    </w:p>
    <w:p w:rsidR="008305C3" w:rsidRDefault="008305C3" w:rsidP="00A60C12">
      <w:r>
        <w:t>The CA&amp;BE</w:t>
      </w:r>
      <w:r w:rsidRPr="00032BA8">
        <w:t xml:space="preserve"> group </w:t>
      </w:r>
      <w:r>
        <w:t>is used to determine whether the Company’s governance, risk management, and control processes, as designed and represented by management, are appropriate and functioning in a manner to ensure:</w:t>
      </w:r>
    </w:p>
    <w:p w:rsidR="008305C3" w:rsidRDefault="008305C3" w:rsidP="00A60C12">
      <w:pPr>
        <w:pStyle w:val="Bullet"/>
      </w:pPr>
      <w:r>
        <w:t>Risks are appropriately identified, communicated and managed.</w:t>
      </w:r>
    </w:p>
    <w:p w:rsidR="008305C3" w:rsidRDefault="008305C3" w:rsidP="00A60C12">
      <w:pPr>
        <w:pStyle w:val="Bullet"/>
      </w:pPr>
      <w:r>
        <w:t>Significant financial, managerial, and operating information is accurate, complete, reliable, and timely.</w:t>
      </w:r>
    </w:p>
    <w:p w:rsidR="008305C3" w:rsidRDefault="008305C3" w:rsidP="00A60C12">
      <w:pPr>
        <w:pStyle w:val="Bullet"/>
      </w:pPr>
      <w:r>
        <w:t>Employee actions are in compliance with policies, standards, procedures, and applicable codes of conduct, laws, and regulations.</w:t>
      </w:r>
    </w:p>
    <w:p w:rsidR="008305C3" w:rsidRDefault="008305C3" w:rsidP="00A60C12">
      <w:pPr>
        <w:pStyle w:val="Bullet"/>
      </w:pPr>
      <w:r>
        <w:t>Resources are economically acquired, effectively used, and appropriately protected.</w:t>
      </w:r>
    </w:p>
    <w:p w:rsidR="008305C3" w:rsidRDefault="008305C3" w:rsidP="00A60C12">
      <w:pPr>
        <w:pStyle w:val="Bullet"/>
      </w:pPr>
      <w:r>
        <w:t>Programs, plans, and objectives are achieved in an appropriate manner in conformity with accepted practices and standards.</w:t>
      </w:r>
    </w:p>
    <w:p w:rsidR="008305C3" w:rsidRDefault="008305C3" w:rsidP="00A60C12">
      <w:pPr>
        <w:pStyle w:val="Bullet"/>
      </w:pPr>
      <w:r>
        <w:t>Effective controls and continuous improvement are fostered in business processes.</w:t>
      </w:r>
    </w:p>
    <w:p w:rsidR="008305C3" w:rsidRDefault="008305C3" w:rsidP="00A60C12">
      <w:pPr>
        <w:pStyle w:val="Bullet"/>
      </w:pPr>
      <w:r>
        <w:t>Significant legal and regulatory issues impacting the organization are recognized and appropriately addressed.</w:t>
      </w:r>
    </w:p>
    <w:p w:rsidR="008305C3" w:rsidRDefault="008305C3" w:rsidP="00A60C12">
      <w:pPr>
        <w:pStyle w:val="Bullet"/>
      </w:pPr>
      <w:r>
        <w:t>Company business is conducted in a responsible manner.</w:t>
      </w:r>
      <w:r w:rsidRPr="00440B39">
        <w:t xml:space="preserve"> </w:t>
      </w:r>
    </w:p>
    <w:p w:rsidR="008305C3" w:rsidRDefault="008305C3" w:rsidP="00A60C12">
      <w:pPr>
        <w:pStyle w:val="Normal-aftertable"/>
      </w:pPr>
      <w:r>
        <w:t>Any opportunities identified by CA&amp;BE for improving operations, business risk management, control, and profitability are communicated to the appropriate levels of management.</w:t>
      </w:r>
    </w:p>
    <w:p w:rsidR="008305C3" w:rsidRDefault="008305C3" w:rsidP="00A60C12">
      <w:pPr>
        <w:pStyle w:val="Heading40"/>
      </w:pPr>
      <w:r>
        <w:lastRenderedPageBreak/>
        <w:t>Internal Audit Planning</w:t>
      </w:r>
    </w:p>
    <w:p w:rsidR="008305C3" w:rsidRDefault="008305C3" w:rsidP="00A60C12">
      <w:pPr>
        <w:rPr>
          <w:rFonts w:cs="Arial"/>
          <w:szCs w:val="24"/>
        </w:rPr>
      </w:pPr>
      <w:r>
        <w:rPr>
          <w:rFonts w:cs="Arial"/>
          <w:szCs w:val="24"/>
        </w:rPr>
        <w:t xml:space="preserve">The selection of areas to be audited by the CA&amp;BE group is based on perceived risk to the Company.  Input to help determine audit areas includes the business plan, corporate strategy, business processes, concerns from management personnel, senior management, and the PPL Audit Committee.  The annual audit planning process starts with a request to responsible parties for their input and suggestions.  </w:t>
      </w:r>
    </w:p>
    <w:p w:rsidR="008305C3" w:rsidRPr="005D6F28" w:rsidRDefault="008305C3" w:rsidP="00A60C12">
      <w:pPr>
        <w:kinsoku w:val="0"/>
        <w:overflowPunct w:val="0"/>
        <w:spacing w:line="256" w:lineRule="exact"/>
        <w:ind w:left="72" w:right="72"/>
        <w:textAlignment w:val="baseline"/>
        <w:rPr>
          <w:rFonts w:cs="Arial"/>
          <w:szCs w:val="24"/>
        </w:rPr>
      </w:pPr>
      <w:r w:rsidRPr="005D6F28">
        <w:rPr>
          <w:rFonts w:cs="Arial"/>
          <w:szCs w:val="24"/>
        </w:rPr>
        <w:t xml:space="preserve">Steps taken to develop the annual </w:t>
      </w:r>
      <w:r>
        <w:rPr>
          <w:rFonts w:cs="Arial"/>
          <w:szCs w:val="24"/>
        </w:rPr>
        <w:t xml:space="preserve">internal </w:t>
      </w:r>
      <w:r w:rsidRPr="005D6F28">
        <w:rPr>
          <w:rFonts w:cs="Arial"/>
          <w:szCs w:val="24"/>
        </w:rPr>
        <w:t>audit plan include:</w:t>
      </w:r>
    </w:p>
    <w:p w:rsidR="008305C3" w:rsidRDefault="008305C3" w:rsidP="00A60C12">
      <w:pPr>
        <w:pStyle w:val="Bullet"/>
      </w:pPr>
      <w:r w:rsidRPr="005D6F28">
        <w:t xml:space="preserve">Calculating the number of auditor-hours available for audits </w:t>
      </w:r>
    </w:p>
    <w:p w:rsidR="008305C3" w:rsidRDefault="008305C3" w:rsidP="00A60C12">
      <w:pPr>
        <w:pStyle w:val="Bullet"/>
      </w:pPr>
      <w:r>
        <w:t>Soliciting input from PPL’s Enterprise Risk Management (ERM) function, other risk and compliance functions, responsibility center heads, PPL Corporation officers, and the Audit Committee</w:t>
      </w:r>
    </w:p>
    <w:p w:rsidR="008305C3" w:rsidRPr="005D6F28" w:rsidRDefault="008305C3" w:rsidP="00A60C12">
      <w:pPr>
        <w:pStyle w:val="Bullet"/>
      </w:pPr>
      <w:r>
        <w:t>Aligning the audit plan with PPL Corporation’s strategic initiatives, organizational priorities, and key financial and operational risks</w:t>
      </w:r>
      <w:r w:rsidRPr="005D6F28">
        <w:t xml:space="preserve"> </w:t>
      </w:r>
    </w:p>
    <w:p w:rsidR="008305C3" w:rsidRPr="005D6F28" w:rsidRDefault="008305C3" w:rsidP="00A60C12">
      <w:pPr>
        <w:pStyle w:val="Bullet"/>
      </w:pPr>
      <w:r w:rsidRPr="005D6F28">
        <w:t xml:space="preserve">Developing a proposed listing of audits and associated risks for a </w:t>
      </w:r>
      <w:r>
        <w:t>one</w:t>
      </w:r>
      <w:r w:rsidRPr="005D6F28">
        <w:t xml:space="preserve">-year period of time </w:t>
      </w:r>
    </w:p>
    <w:p w:rsidR="008305C3" w:rsidRPr="005D6F28" w:rsidRDefault="008305C3" w:rsidP="00A60C12">
      <w:pPr>
        <w:pStyle w:val="Bullet"/>
      </w:pPr>
      <w:r w:rsidRPr="005D6F28">
        <w:t>Consider</w:t>
      </w:r>
      <w:r>
        <w:t>ing</w:t>
      </w:r>
      <w:r w:rsidRPr="005D6F28">
        <w:t xml:space="preserve"> potential areas of audit focus between </w:t>
      </w:r>
      <w:r>
        <w:t xml:space="preserve">the Pennsylvania-based audit team and the </w:t>
      </w:r>
      <w:r w:rsidRPr="005D6F28">
        <w:t xml:space="preserve">LKE and </w:t>
      </w:r>
      <w:r w:rsidR="00876A9D">
        <w:t>WPD Midlands</w:t>
      </w:r>
      <w:r w:rsidRPr="005D6F28">
        <w:t xml:space="preserve"> audit teams </w:t>
      </w:r>
    </w:p>
    <w:p w:rsidR="008305C3" w:rsidRDefault="008305C3" w:rsidP="00A60C12">
      <w:pPr>
        <w:pStyle w:val="Bullet"/>
      </w:pPr>
      <w:r>
        <w:t>Coordinating with the external (independent auditor) to ensure proper coordination of audit efforts</w:t>
      </w:r>
    </w:p>
    <w:p w:rsidR="008305C3" w:rsidRDefault="008305C3" w:rsidP="00A60C12">
      <w:pPr>
        <w:pStyle w:val="Bullet"/>
      </w:pPr>
      <w:r>
        <w:t>Utilizing criteria/weightings (impact and likelihood) to “risk rate” potential audit areas</w:t>
      </w:r>
    </w:p>
    <w:p w:rsidR="008305C3" w:rsidRPr="005D6F28" w:rsidRDefault="008305C3" w:rsidP="00A60C12">
      <w:pPr>
        <w:pStyle w:val="Bullet"/>
      </w:pPr>
      <w:r>
        <w:t>R</w:t>
      </w:r>
      <w:r w:rsidRPr="005D6F28">
        <w:t>eview</w:t>
      </w:r>
      <w:r>
        <w:t>ing the</w:t>
      </w:r>
      <w:r w:rsidRPr="005D6F28">
        <w:t xml:space="preserve"> listing of audits and risks in comparison to </w:t>
      </w:r>
      <w:r>
        <w:t>available audit</w:t>
      </w:r>
      <w:r w:rsidRPr="005D6F28">
        <w:t xml:space="preserve"> hours</w:t>
      </w:r>
      <w:r>
        <w:t>, b</w:t>
      </w:r>
      <w:r w:rsidRPr="005D6F28">
        <w:t>ased upon the results of the</w:t>
      </w:r>
      <w:r>
        <w:t xml:space="preserve"> ratings</w:t>
      </w:r>
    </w:p>
    <w:p w:rsidR="008305C3" w:rsidRPr="00D3666F" w:rsidRDefault="008305C3" w:rsidP="00A60C12">
      <w:pPr>
        <w:pStyle w:val="Bullet"/>
        <w:rPr>
          <w:rFonts w:cs="Arial"/>
          <w:szCs w:val="24"/>
        </w:rPr>
      </w:pPr>
      <w:r>
        <w:rPr>
          <w:rFonts w:cs="Arial"/>
          <w:szCs w:val="24"/>
        </w:rPr>
        <w:t>Evaluating the audit plan to ensure the planned percentage of audit hours allocated to each key risk area ensures audit resources are being optimized</w:t>
      </w:r>
    </w:p>
    <w:p w:rsidR="008305C3" w:rsidRPr="00C46E53" w:rsidRDefault="008305C3" w:rsidP="00A60C12">
      <w:pPr>
        <w:pStyle w:val="Bullet"/>
        <w:rPr>
          <w:rFonts w:cs="Arial"/>
          <w:szCs w:val="24"/>
        </w:rPr>
      </w:pPr>
      <w:r>
        <w:t>Reviewing the proposed audit plan with the external (independent) auditor, PPL SC’s Chief Risk Officer, and senior management personnel</w:t>
      </w:r>
    </w:p>
    <w:p w:rsidR="008305C3" w:rsidRDefault="008305C3" w:rsidP="00A60C12">
      <w:pPr>
        <w:pStyle w:val="Normal-aftertable"/>
      </w:pPr>
      <w:r>
        <w:t>The proposed annual audit plan is presented to the PPL Audit Committee at its January meeting for review and approval.</w:t>
      </w:r>
    </w:p>
    <w:p w:rsidR="008305C3" w:rsidRDefault="008305C3" w:rsidP="00A60C12">
      <w:r>
        <w:t xml:space="preserve">Before the CA&amp;BE Vice President assumed leadership in early 2015, the group worked from a two-year audit plan.  However, now the group is now using a one-year rolling quarterly schedule with use of data analytics.  Often, PPL Corporation executives request specific audits.  CA&amp;BE works with management to ensure that such audits are focused on key areas of risk as opposed to general audit areas.  Access to audit reports is restricted to senior management and those employees with a business need-to-know. </w:t>
      </w:r>
    </w:p>
    <w:p w:rsidR="008305C3" w:rsidRDefault="008305C3" w:rsidP="00A60C12">
      <w:pPr>
        <w:pStyle w:val="Heading40"/>
      </w:pPr>
      <w:r>
        <w:t>Conduct of Internal Audits</w:t>
      </w:r>
    </w:p>
    <w:p w:rsidR="008305C3" w:rsidRDefault="008305C3" w:rsidP="00A60C12">
      <w:r w:rsidRPr="00032BA8">
        <w:t xml:space="preserve">The </w:t>
      </w:r>
      <w:r>
        <w:t>CA&amp;BE</w:t>
      </w:r>
      <w:r w:rsidRPr="00032BA8">
        <w:t xml:space="preserve"> group audits the activities of subsidiaries including regulatory compliance, N</w:t>
      </w:r>
      <w:r>
        <w:t xml:space="preserve">orth American </w:t>
      </w:r>
      <w:r w:rsidRPr="00032BA8">
        <w:t>E</w:t>
      </w:r>
      <w:r>
        <w:t xml:space="preserve">lectric </w:t>
      </w:r>
      <w:r w:rsidRPr="00032BA8">
        <w:t>R</w:t>
      </w:r>
      <w:r>
        <w:t xml:space="preserve">eliability </w:t>
      </w:r>
      <w:r w:rsidRPr="00032BA8">
        <w:t>C</w:t>
      </w:r>
      <w:r>
        <w:t xml:space="preserve">orporation (NERC) and </w:t>
      </w:r>
      <w:r w:rsidRPr="00032BA8">
        <w:t>F</w:t>
      </w:r>
      <w:r>
        <w:t xml:space="preserve">ederal </w:t>
      </w:r>
      <w:r w:rsidRPr="00032BA8">
        <w:t>E</w:t>
      </w:r>
      <w:r>
        <w:t xml:space="preserve">nergy </w:t>
      </w:r>
      <w:r w:rsidRPr="00032BA8">
        <w:t>R</w:t>
      </w:r>
      <w:r>
        <w:t xml:space="preserve">egulatory </w:t>
      </w:r>
      <w:r w:rsidRPr="00032BA8">
        <w:t>C</w:t>
      </w:r>
      <w:r>
        <w:t>ommission (FERC)</w:t>
      </w:r>
      <w:r w:rsidRPr="00032BA8">
        <w:t xml:space="preserve"> compliance</w:t>
      </w:r>
      <w:r>
        <w:t>, expense accounts,</w:t>
      </w:r>
      <w:r w:rsidRPr="00032BA8">
        <w:t xml:space="preserve"> and other activities.</w:t>
      </w:r>
      <w:r>
        <w:t xml:space="preserve"> </w:t>
      </w:r>
      <w:r w:rsidRPr="002F60BF">
        <w:t xml:space="preserve"> </w:t>
      </w:r>
      <w:r>
        <w:t xml:space="preserve">The estimated average number of audits conducted each year is 40; the average size of each audit is 200 hours, typically staffed with one auditor.  Approximately 40% of the audits conducted are focused on PPL EU.  The main risk areas for PPL EU are </w:t>
      </w:r>
      <w:r>
        <w:lastRenderedPageBreak/>
        <w:t>cybersecurity (IT) and procurement.</w:t>
      </w:r>
      <w:r w:rsidRPr="002F60BF">
        <w:t xml:space="preserve"> </w:t>
      </w:r>
      <w:r>
        <w:t xml:space="preserve"> The trend is toward more data analytics for audits and greater focus on technology and accounting for regulated operations.    </w:t>
      </w:r>
    </w:p>
    <w:p w:rsidR="008305C3" w:rsidRDefault="008305C3" w:rsidP="00A60C12">
      <w:r>
        <w:t xml:space="preserve">CA&amp;BE follows up on key audit recommendations (“opportunities for improvement”).  Business unit management provides target dates for implementing </w:t>
      </w:r>
      <w:proofErr w:type="gramStart"/>
      <w:r>
        <w:t>recommendations,</w:t>
      </w:r>
      <w:proofErr w:type="gramEnd"/>
      <w:r>
        <w:t xml:space="preserve"> and CA&amp;BE reviews actions taken once the target dates have arrived.  There is usually limited testing performed.  In addition to opportunities for improvement, CA&amp;BE also provides management with observations for management’s consideration.  </w:t>
      </w:r>
      <w:r w:rsidRPr="005B2890">
        <w:t>Observations</w:t>
      </w:r>
      <w:r>
        <w:t xml:space="preserve"> are</w:t>
      </w:r>
      <w:r w:rsidRPr="00582F10">
        <w:t xml:space="preserve"> deviation</w:t>
      </w:r>
      <w:r>
        <w:t>s</w:t>
      </w:r>
      <w:r w:rsidRPr="00582F10">
        <w:t xml:space="preserve"> from standards (or from good business practices) that have a limited impact on the control environment.</w:t>
      </w:r>
    </w:p>
    <w:p w:rsidR="008305C3" w:rsidRDefault="008305C3" w:rsidP="00A60C12">
      <w:r>
        <w:t>In executing the Corporate Audit Plan and conducting risk assessments, certain circumstances can be discovered that require independent checks or further review.  Approximately 15% of available auditor time is reserved to address these contingent audit needs.</w:t>
      </w:r>
    </w:p>
    <w:p w:rsidR="008305C3" w:rsidRDefault="008305C3" w:rsidP="00A60C12">
      <w:r>
        <w:t>C</w:t>
      </w:r>
      <w:r w:rsidRPr="002D1F71">
        <w:t>A</w:t>
      </w:r>
      <w:r>
        <w:t>&amp;BE</w:t>
      </w:r>
      <w:r w:rsidRPr="002D1F71">
        <w:t xml:space="preserve">’s performance metrics include targeted completion dates met, percentage of </w:t>
      </w:r>
      <w:r>
        <w:t xml:space="preserve">recommended </w:t>
      </w:r>
      <w:r w:rsidRPr="002D1F71">
        <w:t>action</w:t>
      </w:r>
      <w:r>
        <w:t>s</w:t>
      </w:r>
      <w:r w:rsidRPr="002D1F71">
        <w:t xml:space="preserve"> taken on audits</w:t>
      </w:r>
      <w:r>
        <w:t>,</w:t>
      </w:r>
      <w:r w:rsidRPr="002D1F71">
        <w:t xml:space="preserve"> and safety measures.  </w:t>
      </w:r>
      <w:r>
        <w:t>The CA&amp;BE Vice President</w:t>
      </w:r>
      <w:r w:rsidRPr="002D1F71">
        <w:t xml:space="preserve"> plans to develop </w:t>
      </w:r>
      <w:r>
        <w:t xml:space="preserve">and implement </w:t>
      </w:r>
      <w:r w:rsidRPr="002D1F71">
        <w:t xml:space="preserve">new metrics for </w:t>
      </w:r>
      <w:r>
        <w:t>the</w:t>
      </w:r>
      <w:r w:rsidRPr="002D1F71">
        <w:t xml:space="preserve"> department </w:t>
      </w:r>
      <w:r>
        <w:t xml:space="preserve">in 2016 </w:t>
      </w:r>
      <w:r w:rsidRPr="002D1F71">
        <w:t xml:space="preserve">that are forward-looking and focused on value being created by the group.  </w:t>
      </w:r>
    </w:p>
    <w:p w:rsidR="008305C3" w:rsidRDefault="008305C3" w:rsidP="00A60C12">
      <w:r>
        <w:t xml:space="preserve">The CA&amp;BE Vice President coordinates the activities of Internal Audit around the activities of the external auditor and expects to follow a similar practice when the newly selected external auditor takes over external audit duties beginning in 2016.  </w:t>
      </w:r>
    </w:p>
    <w:p w:rsidR="008305C3" w:rsidRDefault="008305C3" w:rsidP="00A60C12">
      <w:pPr>
        <w:pStyle w:val="Heading30"/>
      </w:pPr>
      <w:r>
        <w:t>Enterprise risk management</w:t>
      </w:r>
    </w:p>
    <w:p w:rsidR="008305C3" w:rsidRDefault="008305C3" w:rsidP="00A60C12">
      <w:r w:rsidRPr="00A735F9">
        <w:t>Enterprise Risk Management (ERM) is a</w:t>
      </w:r>
      <w:r>
        <w:t xml:space="preserve"> function utilized by the Board to examine</w:t>
      </w:r>
      <w:r w:rsidRPr="00A735F9">
        <w:t xml:space="preserve"> major risks to the corporation, such as cyber security, environmental, PUC relations, </w:t>
      </w:r>
      <w:r>
        <w:t xml:space="preserve">and the </w:t>
      </w:r>
      <w:r w:rsidRPr="00A735F9">
        <w:t>economy.  Risks are displayed in a Risk Map</w:t>
      </w:r>
      <w:r>
        <w:t xml:space="preserve"> </w:t>
      </w:r>
      <w:r w:rsidRPr="00A735F9">
        <w:t>and presented to the Audit Committee of the B</w:t>
      </w:r>
      <w:r>
        <w:t>oard quarterly by the Vice President, Treasurer and Chief Risk Officer</w:t>
      </w:r>
      <w:r w:rsidRPr="00A735F9">
        <w:t xml:space="preserve">.  </w:t>
      </w:r>
      <w:r>
        <w:t>ERM r</w:t>
      </w:r>
      <w:r w:rsidRPr="00A735F9">
        <w:t>eport</w:t>
      </w:r>
      <w:r>
        <w:t>s</w:t>
      </w:r>
      <w:r w:rsidRPr="00A735F9">
        <w:t xml:space="preserve"> include earning</w:t>
      </w:r>
      <w:r>
        <w:t>s</w:t>
      </w:r>
      <w:r w:rsidRPr="00A735F9">
        <w:t xml:space="preserve"> per share (EPS) risks and </w:t>
      </w:r>
      <w:r>
        <w:t>identify</w:t>
      </w:r>
      <w:r w:rsidRPr="00A735F9">
        <w:t xml:space="preserve"> mitigation steps.</w:t>
      </w:r>
      <w:r>
        <w:t xml:space="preserve">  </w:t>
      </w:r>
      <w:r w:rsidRPr="00A735F9">
        <w:t xml:space="preserve">These quarterly </w:t>
      </w:r>
      <w:r>
        <w:t xml:space="preserve">Audit Committee </w:t>
      </w:r>
      <w:r w:rsidRPr="00A735F9">
        <w:t>meetings usually include:  financial report</w:t>
      </w:r>
      <w:r>
        <w:t>s</w:t>
      </w:r>
      <w:r w:rsidRPr="00A735F9">
        <w:t xml:space="preserve"> delivered by the Controller, report</w:t>
      </w:r>
      <w:r>
        <w:t>s</w:t>
      </w:r>
      <w:r w:rsidRPr="00A735F9">
        <w:t xml:space="preserve"> from the external auditors, and ERM report</w:t>
      </w:r>
      <w:r>
        <w:t>s</w:t>
      </w:r>
      <w:r w:rsidRPr="00A735F9">
        <w:t xml:space="preserve"> (Risk Map).  </w:t>
      </w:r>
      <w:r>
        <w:t>The ERM function is covered in Chapter V, Finance and Accounting of this audit report.</w:t>
      </w:r>
    </w:p>
    <w:p w:rsidR="008305C3" w:rsidRDefault="008305C3" w:rsidP="00A60C12">
      <w:pPr>
        <w:pStyle w:val="Heading30"/>
      </w:pPr>
      <w:r>
        <w:t xml:space="preserve">PPL EU internal controls, reports, and risk assessment </w:t>
      </w:r>
    </w:p>
    <w:p w:rsidR="008305C3" w:rsidRDefault="008305C3" w:rsidP="00A60C12">
      <w:pPr>
        <w:pStyle w:val="Heading40"/>
      </w:pPr>
      <w:r>
        <w:t>Risk Management</w:t>
      </w:r>
    </w:p>
    <w:p w:rsidR="008305C3" w:rsidRDefault="008305C3" w:rsidP="00A60C12">
      <w:r w:rsidRPr="00687A80">
        <w:t xml:space="preserve">PPL EU’s </w:t>
      </w:r>
      <w:r>
        <w:t xml:space="preserve">financial </w:t>
      </w:r>
      <w:r w:rsidRPr="00687A80">
        <w:t xml:space="preserve">risk management practices, as well as those of its affiliates, are governed by the PPL Corporation Financial Risk Management Policy (Risk Policy).  This policy applies to the management of risk exposures related to commodity prices and volumes, interest rates, foreign currency exchange rates, and counterparty credit in the business activities of PPL Corporation and its subsidiaries, including PPL EU. </w:t>
      </w:r>
    </w:p>
    <w:p w:rsidR="008305C3" w:rsidRPr="00A17935" w:rsidRDefault="008305C3" w:rsidP="00A60C12">
      <w:r w:rsidRPr="00687A80">
        <w:t xml:space="preserve">The Risk Management Committee (RMC) is tasked with providing oversight of risk management activities for all exposure areas as defined in the Financial Risk Management Policy.  The RMC reports to the Finance Committee of the </w:t>
      </w:r>
      <w:r>
        <w:t xml:space="preserve">PPL Corporation </w:t>
      </w:r>
      <w:r w:rsidRPr="00687A80">
        <w:t>Board of Directors through the CEO</w:t>
      </w:r>
      <w:r>
        <w:t xml:space="preserve">.  </w:t>
      </w:r>
      <w:r w:rsidRPr="00A17935">
        <w:t>The RMC’s responsibilities include:</w:t>
      </w:r>
    </w:p>
    <w:p w:rsidR="008305C3" w:rsidRPr="00C36A4E" w:rsidRDefault="008305C3" w:rsidP="00CF419C">
      <w:pPr>
        <w:pStyle w:val="Bullet"/>
        <w:keepNext/>
      </w:pPr>
      <w:r w:rsidRPr="00412B35">
        <w:lastRenderedPageBreak/>
        <w:t>Understanding the nature and magnitude of the risks in each exposure area</w:t>
      </w:r>
    </w:p>
    <w:p w:rsidR="008305C3" w:rsidRPr="00FB0007" w:rsidRDefault="008305C3" w:rsidP="00A60C12">
      <w:pPr>
        <w:pStyle w:val="Bullet"/>
      </w:pPr>
      <w:r w:rsidRPr="00DF2FC1">
        <w:t xml:space="preserve">Approving programs (and amendments or revisions thereto) for each of the </w:t>
      </w:r>
      <w:r w:rsidRPr="00FB0007">
        <w:t>exposure areas</w:t>
      </w:r>
    </w:p>
    <w:p w:rsidR="008305C3" w:rsidRPr="00BB780D" w:rsidRDefault="008305C3" w:rsidP="00A60C12">
      <w:pPr>
        <w:pStyle w:val="Bullet"/>
      </w:pPr>
      <w:r w:rsidRPr="00BB780D">
        <w:t>Approving all risk management products</w:t>
      </w:r>
    </w:p>
    <w:p w:rsidR="008305C3" w:rsidRPr="00412B35" w:rsidRDefault="008305C3" w:rsidP="00A60C12">
      <w:pPr>
        <w:pStyle w:val="Bullet"/>
      </w:pPr>
      <w:r>
        <w:t>Approving the delegation of authority structure</w:t>
      </w:r>
    </w:p>
    <w:p w:rsidR="008305C3" w:rsidRPr="00412B35" w:rsidRDefault="008305C3" w:rsidP="00A60C12">
      <w:pPr>
        <w:pStyle w:val="Bullet"/>
      </w:pPr>
      <w:r>
        <w:t>Approving all structured transactions that extend outside the current business plan</w:t>
      </w:r>
    </w:p>
    <w:p w:rsidR="008305C3" w:rsidRDefault="008305C3" w:rsidP="00A60C12">
      <w:pPr>
        <w:pStyle w:val="Bullet"/>
      </w:pPr>
      <w:r>
        <w:t>Approving the comprehensive risk limit structures for each of the exposure areas</w:t>
      </w:r>
    </w:p>
    <w:p w:rsidR="008305C3" w:rsidRDefault="008305C3" w:rsidP="00A60C12">
      <w:pPr>
        <w:pStyle w:val="Bullet"/>
      </w:pPr>
      <w:r>
        <w:t>Monitoring risk position, profit and loss, limit exceptions, and other unusual activity</w:t>
      </w:r>
    </w:p>
    <w:p w:rsidR="008305C3" w:rsidRDefault="008305C3" w:rsidP="00A60C12">
      <w:pPr>
        <w:pStyle w:val="Bullet"/>
      </w:pPr>
      <w:r>
        <w:t>Ensuring that adequate staffing and resources are devoted to risk management activities and that compensation policies for operations personnel do not conflict with risk tolerances</w:t>
      </w:r>
    </w:p>
    <w:p w:rsidR="008305C3" w:rsidRDefault="008305C3" w:rsidP="00A60C12">
      <w:pPr>
        <w:pStyle w:val="Bullet"/>
      </w:pPr>
      <w:r>
        <w:t>Reviewing corporate audit reports regarding compliance with the policy, programs, and procedures</w:t>
      </w:r>
    </w:p>
    <w:p w:rsidR="008305C3" w:rsidRDefault="008305C3" w:rsidP="00A60C12">
      <w:pPr>
        <w:pStyle w:val="Bullet"/>
      </w:pPr>
      <w:r>
        <w:t>Developing and recommending to the Finance Committee for its approval amendments to the Financial Risk Management Policy</w:t>
      </w:r>
    </w:p>
    <w:p w:rsidR="008305C3" w:rsidRDefault="008305C3" w:rsidP="00A60C12">
      <w:pPr>
        <w:pStyle w:val="Bullet"/>
      </w:pPr>
      <w:r>
        <w:t>Interfacing with the Finance Committee of the Board of Directors on risk management activities, policies, procedures, and any exceptions or violations to the Financial Risk Management</w:t>
      </w:r>
      <w:r w:rsidRPr="00DD0252">
        <w:t xml:space="preserve"> Policy.</w:t>
      </w:r>
    </w:p>
    <w:p w:rsidR="008305C3" w:rsidRDefault="008305C3" w:rsidP="00A60C12">
      <w:r>
        <w:t>A discussion of PPL Corporation and PPL EU risk management practices is contained in Chapter V, Finance and Accounting.</w:t>
      </w:r>
    </w:p>
    <w:p w:rsidR="008305C3" w:rsidRDefault="008305C3" w:rsidP="00A60C12">
      <w:pPr>
        <w:pStyle w:val="Heading40"/>
      </w:pPr>
      <w:r>
        <w:t>PPL EU Financial Planning Process</w:t>
      </w:r>
    </w:p>
    <w:p w:rsidR="008305C3" w:rsidRDefault="008305C3" w:rsidP="00A60C12">
      <w:r>
        <w:t>The PPL EU financial planning process is a “top down, bottom up” five year forecasting process.  The PPL Corporation Finance Committee approves a corporate five year capital plan in December of each year along with a corporate three year business plan that includes projected earnings, borrowing requirements, profit and loss projections, and other relevant financial information, including an annual financing plan.  In the second quarter of the year, when the approved business plan is five to six months old, management develops a reforecast of the plan that is used as the beginning point for planning for both the ensuing year’s O&amp;M and capital budgets.  Performance targets are set based on PPL Corporation Board input and updated conditions.  Methods to enhance revenues are considered as well as capital improvements.  Year end results are compared with corporate targets.</w:t>
      </w:r>
    </w:p>
    <w:p w:rsidR="008305C3" w:rsidRDefault="008305C3" w:rsidP="004F00E5">
      <w:pPr>
        <w:pStyle w:val="Heading2"/>
        <w:numPr>
          <w:ilvl w:val="0"/>
          <w:numId w:val="103"/>
        </w:numPr>
      </w:pPr>
      <w:bookmarkStart w:id="38" w:name="_Toc464551979"/>
      <w:r>
        <w:t>Findings</w:t>
      </w:r>
      <w:bookmarkEnd w:id="38"/>
    </w:p>
    <w:p w:rsidR="008305C3" w:rsidRDefault="008305C3" w:rsidP="004F00E5">
      <w:pPr>
        <w:pStyle w:val="Findings"/>
        <w:numPr>
          <w:ilvl w:val="0"/>
          <w:numId w:val="64"/>
        </w:numPr>
      </w:pPr>
      <w:r>
        <w:t>PPL Corporation is well governed.</w:t>
      </w:r>
    </w:p>
    <w:p w:rsidR="008305C3" w:rsidRDefault="008305C3" w:rsidP="00A60C12">
      <w:r>
        <w:t xml:space="preserve">There is considerable evidence to suggest that PPL Corporation and, by extension, </w:t>
      </w:r>
      <w:proofErr w:type="gramStart"/>
      <w:r>
        <w:t>its registrant subsidiary, PPL EU are</w:t>
      </w:r>
      <w:proofErr w:type="gramEnd"/>
      <w:r>
        <w:t xml:space="preserve"> well governed.  This includes a robust set of governing documents to direct corporate policies and practices.  These documents include PPL's Guidelines for Corporate Governance, Standards of Integrity, and Independence Guidelines. </w:t>
      </w:r>
      <w:r w:rsidRPr="006E1DAF">
        <w:t xml:space="preserve"> </w:t>
      </w:r>
    </w:p>
    <w:p w:rsidR="008305C3" w:rsidRDefault="008305C3" w:rsidP="00A60C12">
      <w:r>
        <w:lastRenderedPageBreak/>
        <w:t xml:space="preserve">The nine Directors of the PPL Corporation Board (one internal and eight independent) collectively have a broad range of experience that includes experience in international business, regulated industries, publicly traded companies, and other important skills.  Current Directors average over six years’ service on the PPL Board.  The graphic below indicates the areas of Director </w:t>
      </w:r>
      <w:proofErr w:type="gramStart"/>
      <w:r>
        <w:t>experience</w:t>
      </w:r>
      <w:proofErr w:type="gramEnd"/>
      <w:r>
        <w:t>.</w:t>
      </w:r>
    </w:p>
    <w:p w:rsidR="008305C3" w:rsidRPr="00B84010" w:rsidRDefault="00356110" w:rsidP="00356110">
      <w:pPr>
        <w:pStyle w:val="Caption"/>
      </w:pPr>
      <w:bookmarkStart w:id="39" w:name="_Toc464552942"/>
      <w:r>
        <w:t xml:space="preserve">Exhibit </w:t>
      </w:r>
      <w:r w:rsidR="00CB2B2A">
        <w:fldChar w:fldCharType="begin"/>
      </w:r>
      <w:r w:rsidR="00EC053E">
        <w:instrText xml:space="preserve"> STYLEREF 1 \s </w:instrText>
      </w:r>
      <w:r w:rsidR="00CB2B2A">
        <w:fldChar w:fldCharType="separate"/>
      </w:r>
      <w:r w:rsidR="00CA3BDB">
        <w:rPr>
          <w:noProof/>
        </w:rPr>
        <w:t>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241C4F">
        <w:br/>
      </w:r>
      <w:r w:rsidR="008305C3">
        <w:t>PPL Corporation Board Member Experience</w:t>
      </w:r>
      <w:bookmarkEnd w:id="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4896"/>
        <w:gridCol w:w="3330"/>
      </w:tblGrid>
      <w:tr w:rsidR="008305C3" w:rsidRPr="00BA001C" w:rsidTr="00241C4F">
        <w:trPr>
          <w:tblHeader/>
          <w:jc w:val="center"/>
        </w:trPr>
        <w:tc>
          <w:tcPr>
            <w:tcW w:w="4896" w:type="dxa"/>
            <w:shd w:val="clear" w:color="auto" w:fill="A5CD7E"/>
            <w:vAlign w:val="center"/>
          </w:tcPr>
          <w:p w:rsidR="008305C3" w:rsidRPr="00AC37C7" w:rsidRDefault="008305C3" w:rsidP="00241C4F">
            <w:pPr>
              <w:spacing w:before="80" w:after="80"/>
              <w:jc w:val="center"/>
              <w:rPr>
                <w:b/>
                <w:szCs w:val="24"/>
              </w:rPr>
            </w:pPr>
            <w:r>
              <w:rPr>
                <w:b/>
                <w:szCs w:val="24"/>
              </w:rPr>
              <w:t>Skills/Experience</w:t>
            </w:r>
          </w:p>
        </w:tc>
        <w:tc>
          <w:tcPr>
            <w:tcW w:w="3330" w:type="dxa"/>
            <w:shd w:val="clear" w:color="auto" w:fill="A5CD7E"/>
            <w:vAlign w:val="center"/>
          </w:tcPr>
          <w:p w:rsidR="008305C3" w:rsidRPr="00AC37C7" w:rsidRDefault="008305C3" w:rsidP="00241C4F">
            <w:pPr>
              <w:spacing w:before="80" w:after="80"/>
              <w:jc w:val="center"/>
              <w:rPr>
                <w:b/>
                <w:szCs w:val="24"/>
              </w:rPr>
            </w:pPr>
            <w:r>
              <w:rPr>
                <w:b/>
                <w:szCs w:val="24"/>
              </w:rPr>
              <w:t>Number of Directors</w:t>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International Business</w:t>
            </w:r>
          </w:p>
        </w:tc>
        <w:tc>
          <w:tcPr>
            <w:tcW w:w="3330" w:type="dxa"/>
            <w:vAlign w:val="center"/>
          </w:tcPr>
          <w:p w:rsidR="008305C3" w:rsidRPr="00AC37C7" w:rsidRDefault="008305C3" w:rsidP="00A60C12">
            <w:pPr>
              <w:spacing w:after="0"/>
              <w:jc w:val="left"/>
              <w:rPr>
                <w:szCs w:val="24"/>
              </w:rPr>
            </w:pPr>
            <w:r w:rsidRPr="00616381">
              <w:rPr>
                <w:b/>
                <w:szCs w:val="24"/>
              </w:rPr>
              <w:t xml:space="preserve">8 </w:t>
            </w:r>
            <w:r>
              <w:rPr>
                <w:noProof/>
                <w:szCs w:val="24"/>
              </w:rPr>
              <w:drawing>
                <wp:inline distT="0" distB="0" distL="0" distR="0">
                  <wp:extent cx="201168" cy="148689"/>
                  <wp:effectExtent l="19050" t="0" r="8382" b="0"/>
                  <wp:docPr id="2" name="Picture 2"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3"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4"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5"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18"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19"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8"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noProof/>
                <w:szCs w:val="24"/>
              </w:rPr>
              <w:drawing>
                <wp:inline distT="0" distB="0" distL="0" distR="0">
                  <wp:extent cx="201168" cy="148689"/>
                  <wp:effectExtent l="19050" t="0" r="8382" b="0"/>
                  <wp:docPr id="9"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Regulated Industry</w:t>
            </w:r>
          </w:p>
        </w:tc>
        <w:tc>
          <w:tcPr>
            <w:tcW w:w="3330" w:type="dxa"/>
            <w:vAlign w:val="center"/>
          </w:tcPr>
          <w:p w:rsidR="008305C3" w:rsidRPr="00616381" w:rsidRDefault="008305C3" w:rsidP="00A60C12">
            <w:pPr>
              <w:spacing w:after="0"/>
              <w:jc w:val="left"/>
              <w:rPr>
                <w:b/>
                <w:szCs w:val="24"/>
              </w:rPr>
            </w:pPr>
            <w:r>
              <w:rPr>
                <w:b/>
                <w:szCs w:val="24"/>
              </w:rPr>
              <w:t xml:space="preserve">5 </w:t>
            </w:r>
            <w:r w:rsidRPr="00616381">
              <w:rPr>
                <w:b/>
                <w:noProof/>
                <w:szCs w:val="24"/>
              </w:rPr>
              <w:drawing>
                <wp:inline distT="0" distB="0" distL="0" distR="0">
                  <wp:extent cx="201168" cy="148689"/>
                  <wp:effectExtent l="19050" t="0" r="8382" b="0"/>
                  <wp:docPr id="10"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11"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12"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13"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25"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Service on Publicly Traded Company Board</w:t>
            </w:r>
          </w:p>
        </w:tc>
        <w:tc>
          <w:tcPr>
            <w:tcW w:w="3330" w:type="dxa"/>
            <w:vAlign w:val="center"/>
          </w:tcPr>
          <w:p w:rsidR="008305C3" w:rsidRPr="00AC37C7" w:rsidRDefault="008305C3" w:rsidP="00A60C12">
            <w:pPr>
              <w:spacing w:after="0"/>
              <w:jc w:val="left"/>
              <w:rPr>
                <w:szCs w:val="24"/>
              </w:rPr>
            </w:pPr>
            <w:r>
              <w:rPr>
                <w:b/>
                <w:szCs w:val="24"/>
              </w:rPr>
              <w:t xml:space="preserve">5 </w:t>
            </w:r>
            <w:r w:rsidRPr="00616381">
              <w:rPr>
                <w:b/>
                <w:noProof/>
                <w:szCs w:val="24"/>
              </w:rPr>
              <w:drawing>
                <wp:inline distT="0" distB="0" distL="0" distR="0">
                  <wp:extent cx="201168" cy="148689"/>
                  <wp:effectExtent l="19050" t="0" r="8382" b="0"/>
                  <wp:docPr id="26"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27"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28"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29"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30"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Finance and Accounting</w:t>
            </w:r>
          </w:p>
        </w:tc>
        <w:tc>
          <w:tcPr>
            <w:tcW w:w="3330" w:type="dxa"/>
            <w:vAlign w:val="center"/>
          </w:tcPr>
          <w:p w:rsidR="008305C3" w:rsidRPr="00D93866" w:rsidRDefault="008305C3" w:rsidP="00A60C12">
            <w:pPr>
              <w:spacing w:after="0"/>
              <w:jc w:val="left"/>
              <w:rPr>
                <w:b/>
                <w:szCs w:val="24"/>
              </w:rPr>
            </w:pPr>
            <w:r>
              <w:rPr>
                <w:b/>
                <w:szCs w:val="24"/>
              </w:rPr>
              <w:t xml:space="preserve">3 </w:t>
            </w:r>
            <w:r w:rsidRPr="00616381">
              <w:rPr>
                <w:b/>
                <w:noProof/>
                <w:szCs w:val="24"/>
              </w:rPr>
              <w:drawing>
                <wp:inline distT="0" distB="0" distL="0" distR="0">
                  <wp:extent cx="201168" cy="148689"/>
                  <wp:effectExtent l="19050" t="0" r="8382" b="0"/>
                  <wp:docPr id="31"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41"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42"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Technology</w:t>
            </w:r>
          </w:p>
        </w:tc>
        <w:tc>
          <w:tcPr>
            <w:tcW w:w="3330" w:type="dxa"/>
            <w:vAlign w:val="center"/>
          </w:tcPr>
          <w:p w:rsidR="008305C3" w:rsidRPr="00D93866" w:rsidRDefault="008305C3" w:rsidP="00A60C12">
            <w:pPr>
              <w:spacing w:after="0"/>
              <w:jc w:val="left"/>
              <w:rPr>
                <w:b/>
                <w:szCs w:val="24"/>
              </w:rPr>
            </w:pPr>
            <w:r>
              <w:rPr>
                <w:b/>
                <w:szCs w:val="24"/>
              </w:rPr>
              <w:t xml:space="preserve">3 </w:t>
            </w:r>
            <w:r w:rsidRPr="00616381">
              <w:rPr>
                <w:b/>
                <w:noProof/>
                <w:szCs w:val="24"/>
              </w:rPr>
              <w:drawing>
                <wp:inline distT="0" distB="0" distL="0" distR="0">
                  <wp:extent cx="201168" cy="148689"/>
                  <wp:effectExtent l="19050" t="0" r="8382" b="0"/>
                  <wp:docPr id="54"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55"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56"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Default="008305C3" w:rsidP="00A60C12">
            <w:pPr>
              <w:spacing w:after="0"/>
              <w:jc w:val="center"/>
              <w:rPr>
                <w:szCs w:val="24"/>
              </w:rPr>
            </w:pPr>
            <w:r>
              <w:rPr>
                <w:szCs w:val="24"/>
              </w:rPr>
              <w:t>CEO</w:t>
            </w:r>
          </w:p>
        </w:tc>
        <w:tc>
          <w:tcPr>
            <w:tcW w:w="3330" w:type="dxa"/>
            <w:vAlign w:val="center"/>
          </w:tcPr>
          <w:p w:rsidR="008305C3" w:rsidRPr="00D93866" w:rsidRDefault="008305C3" w:rsidP="00A60C12">
            <w:pPr>
              <w:spacing w:after="0"/>
              <w:jc w:val="left"/>
              <w:rPr>
                <w:b/>
                <w:szCs w:val="24"/>
              </w:rPr>
            </w:pPr>
            <w:r>
              <w:rPr>
                <w:b/>
                <w:szCs w:val="24"/>
              </w:rPr>
              <w:t xml:space="preserve">3 </w:t>
            </w:r>
            <w:r w:rsidRPr="00616381">
              <w:rPr>
                <w:b/>
                <w:noProof/>
                <w:szCs w:val="24"/>
              </w:rPr>
              <w:drawing>
                <wp:inline distT="0" distB="0" distL="0" distR="0">
                  <wp:extent cx="201168" cy="148689"/>
                  <wp:effectExtent l="19050" t="0" r="8382" b="0"/>
                  <wp:docPr id="57"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58"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59"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Default="008305C3" w:rsidP="00A60C12">
            <w:pPr>
              <w:spacing w:after="0"/>
              <w:jc w:val="center"/>
              <w:rPr>
                <w:szCs w:val="24"/>
              </w:rPr>
            </w:pPr>
            <w:r>
              <w:rPr>
                <w:szCs w:val="24"/>
              </w:rPr>
              <w:t>Risk Management</w:t>
            </w:r>
          </w:p>
        </w:tc>
        <w:tc>
          <w:tcPr>
            <w:tcW w:w="3330" w:type="dxa"/>
            <w:vAlign w:val="center"/>
          </w:tcPr>
          <w:p w:rsidR="008305C3" w:rsidRPr="00D93866" w:rsidRDefault="008305C3" w:rsidP="00A60C12">
            <w:pPr>
              <w:spacing w:after="0"/>
              <w:jc w:val="left"/>
              <w:rPr>
                <w:b/>
                <w:szCs w:val="24"/>
              </w:rPr>
            </w:pPr>
            <w:r>
              <w:rPr>
                <w:b/>
                <w:szCs w:val="24"/>
              </w:rPr>
              <w:t xml:space="preserve">3 </w:t>
            </w:r>
            <w:r w:rsidRPr="00616381">
              <w:rPr>
                <w:b/>
                <w:noProof/>
                <w:szCs w:val="24"/>
              </w:rPr>
              <w:drawing>
                <wp:inline distT="0" distB="0" distL="0" distR="0">
                  <wp:extent cx="201168" cy="148689"/>
                  <wp:effectExtent l="19050" t="0" r="8382" b="0"/>
                  <wp:docPr id="60"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61"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62"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4896" w:type="dxa"/>
            <w:vAlign w:val="center"/>
          </w:tcPr>
          <w:p w:rsidR="008305C3" w:rsidRPr="00AC37C7" w:rsidRDefault="008305C3" w:rsidP="00A60C12">
            <w:pPr>
              <w:spacing w:after="0"/>
              <w:jc w:val="center"/>
              <w:rPr>
                <w:szCs w:val="24"/>
              </w:rPr>
            </w:pPr>
            <w:r>
              <w:rPr>
                <w:szCs w:val="24"/>
              </w:rPr>
              <w:t>Marketing</w:t>
            </w:r>
          </w:p>
        </w:tc>
        <w:tc>
          <w:tcPr>
            <w:tcW w:w="3330" w:type="dxa"/>
            <w:vAlign w:val="center"/>
          </w:tcPr>
          <w:p w:rsidR="008305C3" w:rsidRPr="00D93866" w:rsidRDefault="008305C3" w:rsidP="00A60C12">
            <w:pPr>
              <w:spacing w:after="0"/>
              <w:jc w:val="left"/>
              <w:rPr>
                <w:b/>
                <w:szCs w:val="24"/>
              </w:rPr>
            </w:pPr>
            <w:r>
              <w:rPr>
                <w:b/>
                <w:szCs w:val="24"/>
              </w:rPr>
              <w:t xml:space="preserve">2 </w:t>
            </w:r>
            <w:r w:rsidRPr="00616381">
              <w:rPr>
                <w:b/>
                <w:noProof/>
                <w:szCs w:val="24"/>
              </w:rPr>
              <w:drawing>
                <wp:inline distT="0" distB="0" distL="0" distR="0">
                  <wp:extent cx="201168" cy="148689"/>
                  <wp:effectExtent l="19050" t="0" r="8382" b="0"/>
                  <wp:docPr id="63"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r w:rsidRPr="00616381">
              <w:rPr>
                <w:b/>
                <w:noProof/>
                <w:szCs w:val="24"/>
              </w:rPr>
              <w:drawing>
                <wp:inline distT="0" distB="0" distL="0" distR="0">
                  <wp:extent cx="201168" cy="148689"/>
                  <wp:effectExtent l="19050" t="0" r="8382" b="0"/>
                  <wp:docPr id="64" name="Picture 1" descr="C:\Users\DWhitman\Documents\PA PUC\PPL Audit\Report\Task Reports\man-silhouette-clip-art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hitman\Documents\PA PUC\PPL Audit\Report\Task Reports\man-silhouette-clip-art_f.jpg"/>
                          <pic:cNvPicPr>
                            <a:picLocks noChangeAspect="1" noChangeArrowheads="1"/>
                          </pic:cNvPicPr>
                        </pic:nvPicPr>
                        <pic:blipFill>
                          <a:blip r:embed="rId18"/>
                          <a:srcRect/>
                          <a:stretch>
                            <a:fillRect/>
                          </a:stretch>
                        </pic:blipFill>
                        <pic:spPr bwMode="auto">
                          <a:xfrm>
                            <a:off x="0" y="0"/>
                            <a:ext cx="201168" cy="148689"/>
                          </a:xfrm>
                          <a:prstGeom prst="rect">
                            <a:avLst/>
                          </a:prstGeom>
                          <a:noFill/>
                          <a:ln w="9525">
                            <a:noFill/>
                            <a:miter lim="800000"/>
                            <a:headEnd/>
                            <a:tailEnd/>
                          </a:ln>
                        </pic:spPr>
                      </pic:pic>
                    </a:graphicData>
                  </a:graphic>
                </wp:inline>
              </w:drawing>
            </w:r>
          </w:p>
        </w:tc>
      </w:tr>
      <w:tr w:rsidR="008305C3" w:rsidRPr="00BA001C" w:rsidTr="00241C4F">
        <w:trPr>
          <w:jc w:val="center"/>
        </w:trPr>
        <w:tc>
          <w:tcPr>
            <w:tcW w:w="8226" w:type="dxa"/>
            <w:gridSpan w:val="2"/>
            <w:vAlign w:val="center"/>
          </w:tcPr>
          <w:p w:rsidR="008305C3" w:rsidRPr="00D93866" w:rsidRDefault="008305C3" w:rsidP="00A60C12">
            <w:pPr>
              <w:spacing w:after="0"/>
              <w:jc w:val="left"/>
              <w:rPr>
                <w:szCs w:val="24"/>
              </w:rPr>
            </w:pPr>
            <w:r>
              <w:rPr>
                <w:szCs w:val="24"/>
              </w:rPr>
              <w:t>Source:  DN 12-128</w:t>
            </w:r>
          </w:p>
        </w:tc>
      </w:tr>
    </w:tbl>
    <w:p w:rsidR="008305C3" w:rsidRPr="006E1DAF" w:rsidRDefault="008305C3" w:rsidP="00A60C12">
      <w:pPr>
        <w:pStyle w:val="Normal-aftertable"/>
      </w:pPr>
      <w:r>
        <w:t xml:space="preserve">Further, the PPL Corporation Board is supported by a robust committee structure comprised of an Executive Committee; the </w:t>
      </w:r>
      <w:r w:rsidRPr="00B955ED">
        <w:t>Compensation, Governance, and Nominating Committee</w:t>
      </w:r>
      <w:r>
        <w:t>; a Finance Committee; and an Audit Committee.</w:t>
      </w:r>
      <w:r w:rsidRPr="006E1DAF">
        <w:t xml:space="preserve"> </w:t>
      </w:r>
      <w:r>
        <w:t xml:space="preserve">This committee structure provides a means for the Board to ensure compliance with relevant laws and regulations, among other functions, and to more closely monitor the performance of PPL Corporation and its registrant subsidiaries.  The involvement of the PCAOB-registered external auditor who performs the annual integrated audit of PPL Corporation and its registrant subsidiaries, including PPL EU, along with the work of the internal audit staff that </w:t>
      </w:r>
      <w:proofErr w:type="gramStart"/>
      <w:r>
        <w:t>perform</w:t>
      </w:r>
      <w:proofErr w:type="gramEnd"/>
      <w:r>
        <w:t xml:space="preserve"> an average of 40 audits per year, helps to ensure consistent compliance and strong governance.  Overall, our review of PPL Corporation and PPL EU, a registrant subsidiary, has revealed no material concerns relating to the governance of these entities.</w:t>
      </w:r>
    </w:p>
    <w:p w:rsidR="008305C3" w:rsidRDefault="008305C3" w:rsidP="0049591B">
      <w:pPr>
        <w:pStyle w:val="Findings"/>
      </w:pPr>
      <w:r>
        <w:t>The PPL Corporation Audit Committee is effective.</w:t>
      </w:r>
    </w:p>
    <w:p w:rsidR="008305C3" w:rsidRDefault="008305C3" w:rsidP="00A60C12">
      <w:r>
        <w:t>The Audit Committee is comprised of five independent directors each</w:t>
      </w:r>
      <w:r w:rsidRPr="001C7EFA">
        <w:t xml:space="preserve"> </w:t>
      </w:r>
      <w:r>
        <w:t xml:space="preserve">of whom </w:t>
      </w:r>
      <w:r w:rsidRPr="00F12CE8">
        <w:t>the Board of Directors</w:t>
      </w:r>
      <w:r>
        <w:t xml:space="preserve"> </w:t>
      </w:r>
      <w:r w:rsidRPr="00F12CE8">
        <w:t>has determined has met the independence and expertise</w:t>
      </w:r>
      <w:r>
        <w:t xml:space="preserve"> </w:t>
      </w:r>
      <w:r w:rsidRPr="00F12CE8">
        <w:t>requirements of the NYSE, the rules of the SEC</w:t>
      </w:r>
      <w:r>
        <w:t>,</w:t>
      </w:r>
      <w:r w:rsidRPr="00F12CE8">
        <w:t xml:space="preserve"> and the </w:t>
      </w:r>
      <w:r>
        <w:t>C</w:t>
      </w:r>
      <w:r w:rsidRPr="00F12CE8">
        <w:t>ompany’s independence standards</w:t>
      </w:r>
      <w:r>
        <w:t>.  The members of the Audit Committee collectively have expertise in international business, banking, finance, accounting, risk management, emerging technologies, organizational and operational management and publicly traded companies.  The Audit Committee Chair has extensive experience in finance and accounting matters and is actively engaged with both the internal and external auditors.</w:t>
      </w:r>
    </w:p>
    <w:p w:rsidR="008305C3" w:rsidRDefault="008305C3" w:rsidP="00A60C12">
      <w:r>
        <w:t>During 2015, the Audit Committee met nine times which included four</w:t>
      </w:r>
      <w:r w:rsidRPr="00F13DC7">
        <w:t xml:space="preserve"> </w:t>
      </w:r>
      <w:r>
        <w:t xml:space="preserve">in-person meetings and five telephonic meetings.  In addition to Audit Committee members, these meetings are attended by pertinent PPL leadership and staff members, as well as internal and external auditors. During these meetings, the Audit Committee receives reports on key areas of risk, audit results, ethics issues (if any), performance metrics, </w:t>
      </w:r>
      <w:r>
        <w:lastRenderedPageBreak/>
        <w:t xml:space="preserve">and CA&amp;BE department budget status.  Reports on significant accounting topics and SOX status are also heard by the Committee. Other recent </w:t>
      </w:r>
      <w:proofErr w:type="gramStart"/>
      <w:r>
        <w:t>discussion</w:t>
      </w:r>
      <w:proofErr w:type="gramEnd"/>
      <w:r>
        <w:t xml:space="preserve"> topics include cybersecurity risk, IT risks with cloud computing, Critical Infrastructure Protection (CIP) Version 5 (NERC) and CIP Bootcamp for Auditors.  Enterprise Risk Management reports are also delivered to the Committee. Minutes of the Audit Committee Meetings are produced for the record.</w:t>
      </w:r>
    </w:p>
    <w:p w:rsidR="008305C3" w:rsidRDefault="008305C3" w:rsidP="00A60C12">
      <w:r>
        <w:t xml:space="preserve">The Audit Committee, largely through the Chair, directly oversees </w:t>
      </w:r>
      <w:r w:rsidRPr="00750599">
        <w:t xml:space="preserve">the work of both the </w:t>
      </w:r>
      <w:r>
        <w:t xml:space="preserve">CA&amp;BE </w:t>
      </w:r>
      <w:r w:rsidRPr="00750599">
        <w:t>Vice President and the external auditor.</w:t>
      </w:r>
      <w:r>
        <w:t xml:space="preserve"> This involvement includes oversight of the annual internal audit plan development, review of audit results, and the status of the audit plan execution along with the external auditor’s conduct of its integrated audit of PPL Corporation and its registrant subsidiaries, including PPL EU.</w:t>
      </w:r>
      <w:r w:rsidRPr="00750599">
        <w:t xml:space="preserve"> </w:t>
      </w:r>
    </w:p>
    <w:p w:rsidR="008305C3" w:rsidRDefault="008305C3" w:rsidP="00A60C12">
      <w:r>
        <w:t>Overall, our review of the Audit Committee and its activities has resulted in no material concerns regarding its practices or processes, or its effectiveness and compliance with prevailing statutes and regulations.</w:t>
      </w:r>
    </w:p>
    <w:p w:rsidR="008305C3" w:rsidRPr="00116F68" w:rsidRDefault="008305C3" w:rsidP="0049591B">
      <w:pPr>
        <w:pStyle w:val="Findings"/>
      </w:pPr>
      <w:r w:rsidRPr="00116F68">
        <w:t>PPL Electric Utilities Corporation (PPL EU) governance policies, practices, and procedures comply with the Sarbanes-Oxley Act of 2002.</w:t>
      </w:r>
    </w:p>
    <w:p w:rsidR="008305C3" w:rsidRDefault="008305C3" w:rsidP="00A60C12">
      <w:r w:rsidRPr="00AD3A2A">
        <w:t xml:space="preserve">During </w:t>
      </w:r>
      <w:r w:rsidRPr="002C39D4">
        <w:t>our review of PPL Corporation’s and PPL EU’s governance</w:t>
      </w:r>
      <w:r w:rsidRPr="00AD3A2A">
        <w:t xml:space="preserve"> policies, practices, and procedures</w:t>
      </w:r>
      <w:r>
        <w:t>, we found the following relating to SOX compliance:</w:t>
      </w:r>
    </w:p>
    <w:p w:rsidR="008305C3" w:rsidRDefault="008305C3" w:rsidP="00A60C12">
      <w:pPr>
        <w:pStyle w:val="Bullet"/>
      </w:pPr>
      <w:r>
        <w:t>The Company has engaged PCAOB registered firms to provide external audit services.</w:t>
      </w:r>
    </w:p>
    <w:p w:rsidR="008305C3" w:rsidRDefault="008305C3" w:rsidP="00A60C12">
      <w:pPr>
        <w:pStyle w:val="Bullet"/>
      </w:pPr>
      <w:r>
        <w:t>The Company has established formal corporate guidelines for ethical conduct, business integrity, and conflicts of interest for directors, officers, and employees of PPL Corporation and its subsidiaries.</w:t>
      </w:r>
    </w:p>
    <w:p w:rsidR="008305C3" w:rsidRDefault="008305C3" w:rsidP="00A60C12">
      <w:pPr>
        <w:pStyle w:val="Bullet"/>
      </w:pPr>
      <w:r>
        <w:t xml:space="preserve">Policies, procedures, and practices are in </w:t>
      </w:r>
      <w:proofErr w:type="gramStart"/>
      <w:r>
        <w:t>place that administratively ensure</w:t>
      </w:r>
      <w:proofErr w:type="gramEnd"/>
      <w:r>
        <w:t xml:space="preserve"> the independence of external auditors, including limitations on non-audit services provided, Audit Committee pre-approval of services to be provided, timely auditor rotation, timely audit partner rotation, and reporting requirements.</w:t>
      </w:r>
    </w:p>
    <w:p w:rsidR="008305C3" w:rsidRDefault="008305C3" w:rsidP="00A60C12">
      <w:pPr>
        <w:pStyle w:val="Bullet"/>
      </w:pPr>
      <w:r>
        <w:t xml:space="preserve">Policies, procedures, and practices are in </w:t>
      </w:r>
      <w:proofErr w:type="gramStart"/>
      <w:r>
        <w:t>place that administratively ensure</w:t>
      </w:r>
      <w:proofErr w:type="gramEnd"/>
      <w:r>
        <w:t xml:space="preserve"> the independence of the Board Audit Committee, establishment of a complaints mechanism, the certification of annual and quarterly financial statements by the principal executive officer, and against the improper influencing of auditors.</w:t>
      </w:r>
    </w:p>
    <w:p w:rsidR="008305C3" w:rsidRDefault="008305C3" w:rsidP="00A60C12">
      <w:pPr>
        <w:pStyle w:val="Bullet"/>
      </w:pPr>
      <w:r>
        <w:t>The Company utilizes generally accepted accounting principles (GAAP) and includes descriptions of off-balance sheet arrangements</w:t>
      </w:r>
      <w:r w:rsidRPr="00764351">
        <w:t xml:space="preserve"> </w:t>
      </w:r>
      <w:r>
        <w:t>in its financial reporting.  The Company reconciles the use of non-GAAP reporting with GAAP in its financial reporting.</w:t>
      </w:r>
    </w:p>
    <w:p w:rsidR="008305C3" w:rsidRDefault="008305C3" w:rsidP="00A60C12">
      <w:pPr>
        <w:pStyle w:val="Bullet"/>
      </w:pPr>
      <w:r>
        <w:t>The Company conducts and reports an assessment by management of the Company’s internal controls over its financial reporting and that of its subsidiaries. A similar assessment and report are provided by the external auditor.  The external auditor also provides its assessment of the Company’s internal controls assessment.</w:t>
      </w:r>
    </w:p>
    <w:p w:rsidR="00CF419C" w:rsidRDefault="008305C3" w:rsidP="00A60C12">
      <w:r>
        <w:t>Our review revealed no evidence of SOX non-compliance by PPL Corporation or its subsidiary, PPL EU</w:t>
      </w:r>
      <w:r w:rsidRPr="009E0E07">
        <w:t xml:space="preserve"> </w:t>
      </w:r>
      <w:r>
        <w:t xml:space="preserve">as it relates to </w:t>
      </w:r>
      <w:r w:rsidRPr="002C39D4">
        <w:t>governance</w:t>
      </w:r>
      <w:r w:rsidRPr="00AD3A2A">
        <w:t xml:space="preserve"> policies, practices, and procedures</w:t>
      </w:r>
      <w:r>
        <w:t>.</w:t>
      </w:r>
    </w:p>
    <w:p w:rsidR="008305C3" w:rsidRDefault="008305C3" w:rsidP="00A60C12">
      <w:pPr>
        <w:sectPr w:rsidR="008305C3" w:rsidSect="00B523CF">
          <w:footerReference w:type="default" r:id="rId19"/>
          <w:type w:val="continuous"/>
          <w:pgSz w:w="12240" w:h="15840"/>
          <w:pgMar w:top="1440" w:right="1440" w:bottom="1440" w:left="1440" w:header="720" w:footer="432" w:gutter="0"/>
          <w:cols w:space="720"/>
          <w:docGrid w:linePitch="360"/>
        </w:sectPr>
      </w:pPr>
    </w:p>
    <w:p w:rsidR="00CF419C" w:rsidRDefault="00CF419C" w:rsidP="00CF419C">
      <w:pPr>
        <w:pStyle w:val="Findings"/>
      </w:pPr>
      <w:r>
        <w:lastRenderedPageBreak/>
        <w:t xml:space="preserve">The </w:t>
      </w:r>
      <w:r w:rsidRPr="006B718F">
        <w:t>PPL</w:t>
      </w:r>
      <w:r>
        <w:t xml:space="preserve"> EU Board is closely associated with the PPL</w:t>
      </w:r>
      <w:r w:rsidRPr="006B718F">
        <w:t xml:space="preserve"> Corporation</w:t>
      </w:r>
      <w:r>
        <w:t xml:space="preserve"> Board and other PPL affiliates.</w:t>
      </w:r>
    </w:p>
    <w:p w:rsidR="00CF419C" w:rsidRDefault="00CF419C" w:rsidP="00CF419C">
      <w:r>
        <w:t xml:space="preserve">There are several instances of close association between the PPL EU Board, the parent company Board, and other PPL EU affiliates.  For example, as depicted in the following table, the Chairman of PPL Corporation Board is also on the PPL EU Board.  </w:t>
      </w:r>
    </w:p>
    <w:p w:rsidR="008305C3" w:rsidRDefault="00356110" w:rsidP="00356110">
      <w:pPr>
        <w:pStyle w:val="Caption"/>
      </w:pPr>
      <w:bookmarkStart w:id="40" w:name="_Toc464552943"/>
      <w:r>
        <w:t xml:space="preserve">Exhibit </w:t>
      </w:r>
      <w:r w:rsidR="00CB2B2A">
        <w:fldChar w:fldCharType="begin"/>
      </w:r>
      <w:r w:rsidR="00EC053E">
        <w:instrText xml:space="preserve"> STYLEREF 1 \s </w:instrText>
      </w:r>
      <w:r w:rsidR="00CB2B2A">
        <w:fldChar w:fldCharType="separate"/>
      </w:r>
      <w:r w:rsidR="00CA3BDB">
        <w:rPr>
          <w:noProof/>
        </w:rPr>
        <w:t>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241C4F">
        <w:br/>
      </w:r>
      <w:r w:rsidR="008305C3">
        <w:t xml:space="preserve">Members of the Board of Directors or Managers (B) and Officers (O) for </w:t>
      </w:r>
      <w:r>
        <w:br/>
      </w:r>
      <w:r w:rsidR="008305C3">
        <w:t>PPL EU and Each of PPL EU’s Affiliates</w:t>
      </w:r>
      <w:bookmarkEnd w:id="40"/>
    </w:p>
    <w:p w:rsidR="008305C3" w:rsidRPr="006B276A" w:rsidRDefault="008305C3" w:rsidP="00A60C12">
      <w:pPr>
        <w:jc w:val="center"/>
      </w:pPr>
      <w:r>
        <w:t>[Information is as of 12-31-15]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2045"/>
        <w:gridCol w:w="872"/>
        <w:gridCol w:w="705"/>
        <w:gridCol w:w="763"/>
        <w:gridCol w:w="724"/>
        <w:gridCol w:w="1857"/>
        <w:gridCol w:w="1791"/>
        <w:gridCol w:w="1434"/>
        <w:gridCol w:w="1555"/>
        <w:gridCol w:w="1444"/>
      </w:tblGrid>
      <w:tr w:rsidR="008305C3" w:rsidTr="006304A4">
        <w:trPr>
          <w:cantSplit/>
          <w:tblHeader/>
          <w:jc w:val="center"/>
        </w:trPr>
        <w:tc>
          <w:tcPr>
            <w:tcW w:w="2777" w:type="dxa"/>
            <w:shd w:val="clear" w:color="auto" w:fill="A5CD7E"/>
            <w:vAlign w:val="center"/>
          </w:tcPr>
          <w:p w:rsidR="008305C3" w:rsidRPr="002C39D4" w:rsidRDefault="008305C3" w:rsidP="006304A4">
            <w:pPr>
              <w:spacing w:before="120"/>
              <w:jc w:val="center"/>
              <w:rPr>
                <w:b/>
              </w:rPr>
            </w:pPr>
            <w:r w:rsidRPr="002C39D4">
              <w:rPr>
                <w:b/>
              </w:rPr>
              <w:t>Employer and Position</w:t>
            </w:r>
          </w:p>
        </w:tc>
        <w:tc>
          <w:tcPr>
            <w:tcW w:w="900" w:type="dxa"/>
            <w:shd w:val="clear" w:color="auto" w:fill="A5CD7E"/>
            <w:vAlign w:val="center"/>
          </w:tcPr>
          <w:p w:rsidR="008305C3" w:rsidRPr="002C39D4" w:rsidRDefault="008305C3" w:rsidP="006304A4">
            <w:pPr>
              <w:spacing w:before="120"/>
              <w:jc w:val="center"/>
              <w:rPr>
                <w:b/>
              </w:rPr>
            </w:pPr>
            <w:r w:rsidRPr="002C39D4">
              <w:rPr>
                <w:b/>
              </w:rPr>
              <w:t>PPL Corp.</w:t>
            </w:r>
          </w:p>
        </w:tc>
        <w:tc>
          <w:tcPr>
            <w:tcW w:w="720" w:type="dxa"/>
            <w:shd w:val="clear" w:color="auto" w:fill="A5CD7E"/>
            <w:vAlign w:val="center"/>
          </w:tcPr>
          <w:p w:rsidR="008305C3" w:rsidRPr="002C39D4" w:rsidRDefault="008305C3" w:rsidP="006304A4">
            <w:pPr>
              <w:spacing w:before="120"/>
              <w:jc w:val="center"/>
              <w:rPr>
                <w:b/>
              </w:rPr>
            </w:pPr>
            <w:r w:rsidRPr="002C39D4">
              <w:rPr>
                <w:b/>
              </w:rPr>
              <w:t>PPL EU</w:t>
            </w:r>
          </w:p>
        </w:tc>
        <w:tc>
          <w:tcPr>
            <w:tcW w:w="888" w:type="dxa"/>
            <w:shd w:val="clear" w:color="auto" w:fill="A5CD7E"/>
            <w:vAlign w:val="center"/>
          </w:tcPr>
          <w:p w:rsidR="008305C3" w:rsidRPr="002C39D4" w:rsidRDefault="008305C3" w:rsidP="006304A4">
            <w:pPr>
              <w:spacing w:before="120"/>
              <w:jc w:val="center"/>
              <w:rPr>
                <w:b/>
              </w:rPr>
            </w:pPr>
            <w:r w:rsidRPr="002C39D4">
              <w:rPr>
                <w:b/>
              </w:rPr>
              <w:t>PPL SC</w:t>
            </w:r>
          </w:p>
        </w:tc>
        <w:tc>
          <w:tcPr>
            <w:tcW w:w="710" w:type="dxa"/>
            <w:shd w:val="clear" w:color="auto" w:fill="A5CD7E"/>
            <w:vAlign w:val="center"/>
          </w:tcPr>
          <w:p w:rsidR="008305C3" w:rsidRPr="002C39D4" w:rsidRDefault="008305C3" w:rsidP="006304A4">
            <w:pPr>
              <w:spacing w:before="120"/>
              <w:jc w:val="center"/>
              <w:rPr>
                <w:b/>
              </w:rPr>
            </w:pPr>
            <w:r w:rsidRPr="002C39D4">
              <w:rPr>
                <w:b/>
              </w:rPr>
              <w:t>PPL EUS</w:t>
            </w:r>
          </w:p>
        </w:tc>
        <w:tc>
          <w:tcPr>
            <w:tcW w:w="1310" w:type="dxa"/>
            <w:shd w:val="clear" w:color="auto" w:fill="A5CD7E"/>
            <w:vAlign w:val="center"/>
          </w:tcPr>
          <w:p w:rsidR="008305C3" w:rsidRPr="002C39D4" w:rsidRDefault="008305C3" w:rsidP="006304A4">
            <w:pPr>
              <w:spacing w:before="120"/>
              <w:jc w:val="center"/>
              <w:rPr>
                <w:b/>
              </w:rPr>
            </w:pPr>
            <w:r w:rsidRPr="002C39D4">
              <w:rPr>
                <w:b/>
              </w:rPr>
              <w:t>PPLSolutions</w:t>
            </w:r>
            <w:r>
              <w:rPr>
                <w:b/>
              </w:rPr>
              <w:t>, LLC</w:t>
            </w:r>
          </w:p>
        </w:tc>
        <w:tc>
          <w:tcPr>
            <w:tcW w:w="1777" w:type="dxa"/>
            <w:shd w:val="clear" w:color="auto" w:fill="A5CD7E"/>
            <w:vAlign w:val="center"/>
          </w:tcPr>
          <w:p w:rsidR="008305C3" w:rsidRPr="002C39D4" w:rsidRDefault="008305C3" w:rsidP="006304A4">
            <w:pPr>
              <w:spacing w:before="120"/>
              <w:jc w:val="center"/>
              <w:rPr>
                <w:b/>
              </w:rPr>
            </w:pPr>
            <w:r w:rsidRPr="002C39D4">
              <w:rPr>
                <w:b/>
              </w:rPr>
              <w:t>PPL Infrastructure Services</w:t>
            </w:r>
            <w:r>
              <w:rPr>
                <w:b/>
              </w:rPr>
              <w:t>, LLC</w:t>
            </w:r>
          </w:p>
        </w:tc>
        <w:tc>
          <w:tcPr>
            <w:tcW w:w="1440" w:type="dxa"/>
            <w:shd w:val="clear" w:color="auto" w:fill="A5CD7E"/>
            <w:vAlign w:val="center"/>
          </w:tcPr>
          <w:p w:rsidR="008305C3" w:rsidRPr="002C39D4" w:rsidRDefault="008305C3" w:rsidP="006304A4">
            <w:pPr>
              <w:spacing w:before="120"/>
              <w:jc w:val="center"/>
              <w:rPr>
                <w:b/>
              </w:rPr>
            </w:pPr>
            <w:r w:rsidRPr="002C39D4">
              <w:rPr>
                <w:b/>
              </w:rPr>
              <w:t>PPL Power Insurance</w:t>
            </w:r>
            <w:r>
              <w:rPr>
                <w:b/>
              </w:rPr>
              <w:t>, Ltd.</w:t>
            </w:r>
          </w:p>
        </w:tc>
        <w:tc>
          <w:tcPr>
            <w:tcW w:w="1588" w:type="dxa"/>
            <w:shd w:val="clear" w:color="auto" w:fill="A5CD7E"/>
            <w:vAlign w:val="center"/>
          </w:tcPr>
          <w:p w:rsidR="008305C3" w:rsidRPr="002C39D4" w:rsidRDefault="008305C3" w:rsidP="006304A4">
            <w:pPr>
              <w:spacing w:before="120"/>
              <w:jc w:val="center"/>
              <w:rPr>
                <w:b/>
              </w:rPr>
            </w:pPr>
            <w:r w:rsidRPr="002C39D4">
              <w:rPr>
                <w:b/>
              </w:rPr>
              <w:t>CEP Commerce, LLC</w:t>
            </w:r>
          </w:p>
        </w:tc>
        <w:tc>
          <w:tcPr>
            <w:tcW w:w="1363" w:type="dxa"/>
            <w:shd w:val="clear" w:color="auto" w:fill="A5CD7E"/>
            <w:vAlign w:val="center"/>
          </w:tcPr>
          <w:p w:rsidR="008305C3" w:rsidRPr="002C39D4" w:rsidRDefault="008305C3" w:rsidP="006304A4">
            <w:pPr>
              <w:spacing w:before="120"/>
              <w:jc w:val="center"/>
              <w:rPr>
                <w:b/>
              </w:rPr>
            </w:pPr>
            <w:r>
              <w:rPr>
                <w:b/>
              </w:rPr>
              <w:t>PPL TransLink, Inc.</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CEO</w:t>
            </w:r>
          </w:p>
        </w:tc>
        <w:tc>
          <w:tcPr>
            <w:tcW w:w="900" w:type="dxa"/>
            <w:vAlign w:val="center"/>
          </w:tcPr>
          <w:p w:rsidR="008305C3" w:rsidRDefault="008305C3" w:rsidP="00A60C12">
            <w:pPr>
              <w:spacing w:after="0"/>
              <w:jc w:val="center"/>
            </w:pPr>
            <w:r>
              <w:t>B/O</w:t>
            </w:r>
          </w:p>
        </w:tc>
        <w:tc>
          <w:tcPr>
            <w:tcW w:w="720" w:type="dxa"/>
            <w:shd w:val="clear" w:color="auto" w:fill="auto"/>
            <w:vAlign w:val="center"/>
          </w:tcPr>
          <w:p w:rsidR="008305C3" w:rsidRDefault="008305C3" w:rsidP="00A60C12">
            <w:pPr>
              <w:spacing w:after="0"/>
              <w:jc w:val="center"/>
            </w:pPr>
            <w:r>
              <w:t>B</w:t>
            </w:r>
          </w:p>
        </w:tc>
        <w:tc>
          <w:tcPr>
            <w:tcW w:w="888" w:type="dxa"/>
            <w:shd w:val="clear" w:color="auto" w:fill="auto"/>
            <w:vAlign w:val="center"/>
          </w:tcPr>
          <w:p w:rsidR="008305C3" w:rsidRDefault="008305C3" w:rsidP="00A60C12">
            <w:pPr>
              <w:spacing w:after="0"/>
              <w:jc w:val="center"/>
            </w:pPr>
            <w:r>
              <w:t>B/O</w:t>
            </w:r>
          </w:p>
        </w:tc>
        <w:tc>
          <w:tcPr>
            <w:tcW w:w="710" w:type="dxa"/>
            <w:shd w:val="clear" w:color="auto" w:fill="auto"/>
            <w:vAlign w:val="center"/>
          </w:tcPr>
          <w:p w:rsidR="008305C3" w:rsidRDefault="008305C3" w:rsidP="00A60C12">
            <w:pPr>
              <w:spacing w:after="0"/>
              <w:jc w:val="center"/>
            </w:pPr>
            <w:r>
              <w:t>B</w:t>
            </w: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EVP &amp; CLO</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B</w:t>
            </w:r>
          </w:p>
        </w:tc>
        <w:tc>
          <w:tcPr>
            <w:tcW w:w="888" w:type="dxa"/>
            <w:shd w:val="clear" w:color="auto" w:fill="auto"/>
            <w:vAlign w:val="center"/>
          </w:tcPr>
          <w:p w:rsidR="008305C3" w:rsidRDefault="008305C3" w:rsidP="00A60C12">
            <w:pPr>
              <w:spacing w:after="0"/>
              <w:jc w:val="center"/>
            </w:pPr>
            <w:r>
              <w:t>B/O</w:t>
            </w:r>
          </w:p>
        </w:tc>
        <w:tc>
          <w:tcPr>
            <w:tcW w:w="710" w:type="dxa"/>
            <w:shd w:val="clear" w:color="auto" w:fill="auto"/>
            <w:vAlign w:val="center"/>
          </w:tcPr>
          <w:p w:rsidR="008305C3" w:rsidRDefault="008305C3" w:rsidP="00A60C12">
            <w:pPr>
              <w:spacing w:after="0"/>
              <w:jc w:val="center"/>
            </w:pPr>
            <w:r>
              <w:t>B</w:t>
            </w: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SVP &amp; CFO</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B</w:t>
            </w:r>
          </w:p>
        </w:tc>
        <w:tc>
          <w:tcPr>
            <w:tcW w:w="888" w:type="dxa"/>
            <w:shd w:val="clear" w:color="auto" w:fill="auto"/>
            <w:vAlign w:val="center"/>
          </w:tcPr>
          <w:p w:rsidR="008305C3" w:rsidRDefault="008305C3" w:rsidP="00A60C12">
            <w:pPr>
              <w:spacing w:after="0"/>
              <w:jc w:val="center"/>
            </w:pPr>
            <w:r>
              <w:t>B/O</w:t>
            </w:r>
          </w:p>
        </w:tc>
        <w:tc>
          <w:tcPr>
            <w:tcW w:w="710" w:type="dxa"/>
            <w:shd w:val="clear" w:color="auto" w:fill="auto"/>
            <w:vAlign w:val="center"/>
          </w:tcPr>
          <w:p w:rsidR="008305C3" w:rsidRDefault="008305C3" w:rsidP="00A60C12">
            <w:pPr>
              <w:spacing w:after="0"/>
              <w:jc w:val="center"/>
            </w:pPr>
            <w:r>
              <w:t>B</w:t>
            </w:r>
          </w:p>
        </w:tc>
        <w:tc>
          <w:tcPr>
            <w:tcW w:w="1310" w:type="dxa"/>
            <w:shd w:val="clear" w:color="auto" w:fill="auto"/>
            <w:vAlign w:val="center"/>
          </w:tcPr>
          <w:p w:rsidR="008305C3" w:rsidRDefault="008305C3" w:rsidP="00A60C12">
            <w:pPr>
              <w:spacing w:after="0"/>
              <w:jc w:val="center"/>
            </w:pPr>
            <w:r>
              <w:t>B</w:t>
            </w: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r>
              <w:t>B/O</w:t>
            </w:r>
          </w:p>
        </w:tc>
        <w:tc>
          <w:tcPr>
            <w:tcW w:w="1588" w:type="dxa"/>
            <w:shd w:val="clear" w:color="auto" w:fill="auto"/>
            <w:vAlign w:val="center"/>
          </w:tcPr>
          <w:p w:rsidR="008305C3" w:rsidRDefault="008305C3" w:rsidP="00A60C12">
            <w:pPr>
              <w:spacing w:after="0"/>
              <w:jc w:val="center"/>
            </w:pPr>
            <w:r>
              <w:t>B/O</w:t>
            </w:r>
          </w:p>
        </w:tc>
        <w:tc>
          <w:tcPr>
            <w:tcW w:w="1363" w:type="dxa"/>
          </w:tcPr>
          <w:p w:rsidR="008305C3" w:rsidRDefault="008305C3" w:rsidP="00A60C12">
            <w:pPr>
              <w:spacing w:after="0"/>
              <w:jc w:val="center"/>
            </w:pPr>
            <w:r>
              <w:t>B/O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SVP, GC &amp; Corp</w:t>
            </w:r>
            <w:r w:rsidR="00F1589B">
              <w:t>orate</w:t>
            </w:r>
            <w:r>
              <w:t xml:space="preserve"> Sec</w:t>
            </w:r>
            <w:r w:rsidR="00F1589B">
              <w:t>retary</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vAlign w:val="center"/>
          </w:tcPr>
          <w:p w:rsidR="008305C3" w:rsidRDefault="008305C3" w:rsidP="00A60C12">
            <w:pPr>
              <w:spacing w:after="0"/>
              <w:jc w:val="center"/>
            </w:pPr>
            <w:r>
              <w:t>B</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VP, Treas</w:t>
            </w:r>
            <w:r w:rsidR="00AE5A38">
              <w:t>urer</w:t>
            </w:r>
            <w:r>
              <w:t>, &amp; CRO</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B/O</w:t>
            </w:r>
          </w:p>
        </w:tc>
        <w:tc>
          <w:tcPr>
            <w:tcW w:w="1777" w:type="dxa"/>
            <w:shd w:val="clear" w:color="auto" w:fill="auto"/>
            <w:vAlign w:val="center"/>
          </w:tcPr>
          <w:p w:rsidR="008305C3" w:rsidRDefault="008305C3" w:rsidP="00A60C12">
            <w:pPr>
              <w:spacing w:after="0"/>
              <w:jc w:val="center"/>
            </w:pPr>
            <w:r>
              <w:t>B/O</w:t>
            </w:r>
          </w:p>
        </w:tc>
        <w:tc>
          <w:tcPr>
            <w:tcW w:w="1440" w:type="dxa"/>
            <w:shd w:val="clear" w:color="auto" w:fill="auto"/>
            <w:vAlign w:val="center"/>
          </w:tcPr>
          <w:p w:rsidR="008305C3" w:rsidRDefault="008305C3" w:rsidP="00A60C12">
            <w:pPr>
              <w:spacing w:after="0"/>
              <w:jc w:val="center"/>
            </w:pPr>
            <w:r>
              <w:t>B/O</w:t>
            </w:r>
          </w:p>
        </w:tc>
        <w:tc>
          <w:tcPr>
            <w:tcW w:w="1588" w:type="dxa"/>
            <w:shd w:val="clear" w:color="auto" w:fill="auto"/>
            <w:vAlign w:val="center"/>
          </w:tcPr>
          <w:p w:rsidR="008305C3" w:rsidRDefault="008305C3" w:rsidP="00A60C12">
            <w:pPr>
              <w:spacing w:after="0"/>
              <w:jc w:val="center"/>
            </w:pPr>
            <w:r>
              <w:t>B/O</w:t>
            </w:r>
          </w:p>
        </w:tc>
        <w:tc>
          <w:tcPr>
            <w:tcW w:w="1363" w:type="dxa"/>
            <w:vAlign w:val="center"/>
          </w:tcPr>
          <w:p w:rsidR="008305C3" w:rsidRDefault="008305C3" w:rsidP="00A60C12">
            <w:pPr>
              <w:spacing w:after="0"/>
              <w:jc w:val="center"/>
            </w:pPr>
            <w:r>
              <w:t>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VP &amp; Controller</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B</w:t>
            </w: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VP &amp; DGC</w:t>
            </w:r>
          </w:p>
        </w:tc>
        <w:tc>
          <w:tcPr>
            <w:tcW w:w="900" w:type="dxa"/>
            <w:shd w:val="clear" w:color="auto" w:fill="auto"/>
            <w:vAlign w:val="center"/>
          </w:tcPr>
          <w:p w:rsidR="008305C3" w:rsidRDefault="008305C3" w:rsidP="00A60C12">
            <w:pPr>
              <w:spacing w:after="0"/>
              <w:jc w:val="center"/>
            </w:pP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p>
        </w:tc>
      </w:tr>
      <w:tr w:rsidR="008305C3" w:rsidTr="006304A4">
        <w:trPr>
          <w:cantSplit/>
          <w:jc w:val="center"/>
        </w:trPr>
        <w:tc>
          <w:tcPr>
            <w:tcW w:w="2777" w:type="dxa"/>
            <w:shd w:val="clear" w:color="auto" w:fill="auto"/>
            <w:vAlign w:val="center"/>
          </w:tcPr>
          <w:p w:rsidR="008305C3" w:rsidRDefault="008305C3" w:rsidP="00A60C12">
            <w:pPr>
              <w:spacing w:after="0"/>
              <w:jc w:val="center"/>
            </w:pPr>
            <w:r>
              <w:lastRenderedPageBreak/>
              <w:t>PPL SC Assistant Treasurer (Tax VP)</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O</w:t>
            </w:r>
          </w:p>
        </w:tc>
        <w:tc>
          <w:tcPr>
            <w:tcW w:w="1777" w:type="dxa"/>
            <w:shd w:val="clear" w:color="auto" w:fill="auto"/>
            <w:vAlign w:val="center"/>
          </w:tcPr>
          <w:p w:rsidR="008305C3" w:rsidRDefault="008305C3" w:rsidP="00A60C12">
            <w:pPr>
              <w:spacing w:after="0"/>
              <w:jc w:val="center"/>
            </w:pPr>
            <w:r>
              <w:t>B/O</w:t>
            </w:r>
          </w:p>
        </w:tc>
        <w:tc>
          <w:tcPr>
            <w:tcW w:w="1440" w:type="dxa"/>
            <w:shd w:val="clear" w:color="auto" w:fill="auto"/>
            <w:vAlign w:val="center"/>
          </w:tcPr>
          <w:p w:rsidR="008305C3" w:rsidRDefault="008305C3" w:rsidP="00A60C12">
            <w:pPr>
              <w:spacing w:after="0"/>
              <w:jc w:val="center"/>
            </w:pPr>
            <w:r>
              <w:t>B/O</w:t>
            </w:r>
          </w:p>
        </w:tc>
        <w:tc>
          <w:tcPr>
            <w:tcW w:w="1588" w:type="dxa"/>
            <w:shd w:val="clear" w:color="auto" w:fill="auto"/>
            <w:vAlign w:val="center"/>
          </w:tcPr>
          <w:p w:rsidR="008305C3" w:rsidRDefault="008305C3" w:rsidP="00A60C12">
            <w:pPr>
              <w:spacing w:after="0"/>
              <w:jc w:val="center"/>
            </w:pPr>
            <w:r>
              <w:t>B/O</w:t>
            </w:r>
          </w:p>
        </w:tc>
        <w:tc>
          <w:tcPr>
            <w:tcW w:w="1363" w:type="dxa"/>
          </w:tcPr>
          <w:p w:rsidR="008305C3" w:rsidRDefault="008305C3" w:rsidP="00A60C12">
            <w:pPr>
              <w:spacing w:after="0"/>
              <w:jc w:val="center"/>
            </w:pPr>
            <w:r>
              <w:t>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AGC &amp; Ass</w:t>
            </w:r>
            <w:r w:rsidR="00AE5A38">
              <w:t>is</w:t>
            </w:r>
            <w:r>
              <w:t>t</w:t>
            </w:r>
            <w:r w:rsidR="00AE5A38">
              <w:t>ant</w:t>
            </w:r>
            <w:r>
              <w:t xml:space="preserve"> Sec</w:t>
            </w:r>
            <w:r w:rsidR="00AE5A38">
              <w:t>retary</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O</w:t>
            </w:r>
          </w:p>
        </w:tc>
        <w:tc>
          <w:tcPr>
            <w:tcW w:w="1777" w:type="dxa"/>
            <w:shd w:val="clear" w:color="auto" w:fill="auto"/>
            <w:vAlign w:val="center"/>
          </w:tcPr>
          <w:p w:rsidR="008305C3" w:rsidRDefault="008305C3" w:rsidP="00A60C12">
            <w:pPr>
              <w:spacing w:after="0"/>
              <w:jc w:val="center"/>
            </w:pPr>
            <w:r>
              <w:t>O</w:t>
            </w: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r>
              <w:t>O</w:t>
            </w:r>
          </w:p>
        </w:tc>
        <w:tc>
          <w:tcPr>
            <w:tcW w:w="1363" w:type="dxa"/>
            <w:vAlign w:val="center"/>
          </w:tcPr>
          <w:p w:rsidR="008305C3" w:rsidRDefault="008305C3" w:rsidP="00A60C12">
            <w:pPr>
              <w:spacing w:after="0"/>
              <w:jc w:val="center"/>
            </w:pPr>
            <w:r>
              <w:t>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Assistant Treasurer (Dir</w:t>
            </w:r>
            <w:r w:rsidR="00AE5A38">
              <w:t>ector</w:t>
            </w:r>
            <w:r>
              <w:t xml:space="preserve"> – Finance)</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O</w:t>
            </w:r>
          </w:p>
        </w:tc>
        <w:tc>
          <w:tcPr>
            <w:tcW w:w="1777" w:type="dxa"/>
            <w:shd w:val="clear" w:color="auto" w:fill="auto"/>
            <w:vAlign w:val="center"/>
          </w:tcPr>
          <w:p w:rsidR="008305C3" w:rsidRDefault="008305C3" w:rsidP="00A60C12">
            <w:pPr>
              <w:spacing w:after="0"/>
              <w:jc w:val="center"/>
            </w:pPr>
            <w:r>
              <w:t>O</w:t>
            </w:r>
          </w:p>
        </w:tc>
        <w:tc>
          <w:tcPr>
            <w:tcW w:w="1440" w:type="dxa"/>
            <w:shd w:val="clear" w:color="auto" w:fill="auto"/>
            <w:vAlign w:val="center"/>
          </w:tcPr>
          <w:p w:rsidR="008305C3" w:rsidRDefault="008305C3" w:rsidP="00A60C12">
            <w:pPr>
              <w:spacing w:after="0"/>
              <w:jc w:val="center"/>
            </w:pPr>
            <w:r>
              <w:t>O</w:t>
            </w:r>
          </w:p>
        </w:tc>
        <w:tc>
          <w:tcPr>
            <w:tcW w:w="1588" w:type="dxa"/>
            <w:shd w:val="clear" w:color="auto" w:fill="auto"/>
            <w:vAlign w:val="center"/>
          </w:tcPr>
          <w:p w:rsidR="008305C3" w:rsidRDefault="008305C3" w:rsidP="00A60C12">
            <w:pPr>
              <w:spacing w:after="0"/>
              <w:jc w:val="center"/>
            </w:pPr>
            <w:r>
              <w:t>O</w:t>
            </w:r>
          </w:p>
        </w:tc>
        <w:tc>
          <w:tcPr>
            <w:tcW w:w="1363" w:type="dxa"/>
          </w:tcPr>
          <w:p w:rsidR="008305C3" w:rsidRDefault="008305C3" w:rsidP="00A60C12">
            <w:pPr>
              <w:spacing w:after="0"/>
              <w:jc w:val="center"/>
            </w:pPr>
            <w:r>
              <w:t>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SC Ass</w:t>
            </w:r>
            <w:r w:rsidR="00AE5A38">
              <w:t>is</w:t>
            </w:r>
            <w:r>
              <w:t>t</w:t>
            </w:r>
            <w:r w:rsidR="00AE5A38">
              <w:t>ant</w:t>
            </w:r>
            <w:r>
              <w:t xml:space="preserve"> Sec</w:t>
            </w:r>
            <w:r w:rsidR="00AE5A38">
              <w:t>retary</w:t>
            </w:r>
            <w:r>
              <w:t xml:space="preserve"> – B</w:t>
            </w:r>
            <w:r w:rsidR="00AE5A38">
              <w:t>oard</w:t>
            </w:r>
            <w:r>
              <w:t xml:space="preserve"> Services</w:t>
            </w:r>
          </w:p>
        </w:tc>
        <w:tc>
          <w:tcPr>
            <w:tcW w:w="900" w:type="dxa"/>
            <w:shd w:val="clear" w:color="auto" w:fill="auto"/>
            <w:vAlign w:val="center"/>
          </w:tcPr>
          <w:p w:rsidR="008305C3" w:rsidRDefault="008305C3" w:rsidP="00A60C12">
            <w:pPr>
              <w:spacing w:after="0"/>
              <w:jc w:val="center"/>
            </w:pPr>
            <w:r>
              <w:t>O</w:t>
            </w: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r>
              <w:t>O</w:t>
            </w:r>
          </w:p>
        </w:tc>
        <w:tc>
          <w:tcPr>
            <w:tcW w:w="710" w:type="dxa"/>
            <w:shd w:val="clear" w:color="auto" w:fill="auto"/>
            <w:vAlign w:val="center"/>
          </w:tcPr>
          <w:p w:rsidR="008305C3" w:rsidRDefault="008305C3" w:rsidP="00A60C12">
            <w:pPr>
              <w:spacing w:after="0"/>
              <w:jc w:val="center"/>
            </w:pPr>
            <w:r>
              <w:t>O</w:t>
            </w:r>
          </w:p>
        </w:tc>
        <w:tc>
          <w:tcPr>
            <w:tcW w:w="1310" w:type="dxa"/>
            <w:shd w:val="clear" w:color="auto" w:fill="auto"/>
            <w:vAlign w:val="center"/>
          </w:tcPr>
          <w:p w:rsidR="008305C3" w:rsidRDefault="008305C3" w:rsidP="00A60C12">
            <w:pPr>
              <w:spacing w:after="0"/>
              <w:jc w:val="center"/>
            </w:pPr>
            <w:r>
              <w:t>O</w:t>
            </w:r>
          </w:p>
        </w:tc>
        <w:tc>
          <w:tcPr>
            <w:tcW w:w="1777" w:type="dxa"/>
            <w:shd w:val="clear" w:color="auto" w:fill="auto"/>
            <w:vAlign w:val="center"/>
          </w:tcPr>
          <w:p w:rsidR="008305C3" w:rsidRDefault="008305C3" w:rsidP="00A60C12">
            <w:pPr>
              <w:spacing w:after="0"/>
              <w:jc w:val="center"/>
            </w:pPr>
            <w:r>
              <w:t>O</w:t>
            </w: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r>
              <w:t>O</w:t>
            </w:r>
          </w:p>
        </w:tc>
        <w:tc>
          <w:tcPr>
            <w:tcW w:w="1363" w:type="dxa"/>
            <w:vAlign w:val="center"/>
          </w:tcPr>
          <w:p w:rsidR="008305C3" w:rsidRDefault="008305C3" w:rsidP="00A60C12">
            <w:pPr>
              <w:spacing w:after="0"/>
              <w:jc w:val="center"/>
            </w:pPr>
            <w:r>
              <w:t>O</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EU President</w:t>
            </w:r>
          </w:p>
        </w:tc>
        <w:tc>
          <w:tcPr>
            <w:tcW w:w="900" w:type="dxa"/>
            <w:shd w:val="clear" w:color="auto" w:fill="auto"/>
            <w:vAlign w:val="center"/>
          </w:tcPr>
          <w:p w:rsidR="008305C3" w:rsidRDefault="008305C3" w:rsidP="00A60C12">
            <w:pPr>
              <w:spacing w:after="0"/>
              <w:jc w:val="center"/>
            </w:pPr>
          </w:p>
        </w:tc>
        <w:tc>
          <w:tcPr>
            <w:tcW w:w="720" w:type="dxa"/>
            <w:shd w:val="clear" w:color="auto" w:fill="auto"/>
            <w:vAlign w:val="center"/>
          </w:tcPr>
          <w:p w:rsidR="008305C3" w:rsidRDefault="008305C3" w:rsidP="00A60C12">
            <w:pPr>
              <w:spacing w:after="0"/>
              <w:jc w:val="center"/>
            </w:pPr>
            <w:r>
              <w:t>B/O</w:t>
            </w:r>
          </w:p>
        </w:tc>
        <w:tc>
          <w:tcPr>
            <w:tcW w:w="888" w:type="dxa"/>
            <w:shd w:val="clear" w:color="auto" w:fill="auto"/>
            <w:vAlign w:val="center"/>
          </w:tcPr>
          <w:p w:rsidR="008305C3" w:rsidRDefault="008305C3" w:rsidP="00A60C12">
            <w:pPr>
              <w:spacing w:after="0"/>
              <w:jc w:val="center"/>
            </w:pPr>
          </w:p>
        </w:tc>
        <w:tc>
          <w:tcPr>
            <w:tcW w:w="710" w:type="dxa"/>
            <w:shd w:val="clear" w:color="auto" w:fill="auto"/>
            <w:vAlign w:val="center"/>
          </w:tcPr>
          <w:p w:rsidR="008305C3" w:rsidRDefault="008305C3" w:rsidP="00A60C12">
            <w:pPr>
              <w:spacing w:after="0"/>
              <w:jc w:val="center"/>
            </w:pPr>
            <w:r>
              <w:t>B/O</w:t>
            </w: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r>
              <w:t>B</w:t>
            </w:r>
          </w:p>
        </w:tc>
      </w:tr>
      <w:tr w:rsidR="008305C3" w:rsidTr="006304A4">
        <w:trPr>
          <w:cantSplit/>
          <w:jc w:val="center"/>
        </w:trPr>
        <w:tc>
          <w:tcPr>
            <w:tcW w:w="2777" w:type="dxa"/>
            <w:shd w:val="clear" w:color="auto" w:fill="auto"/>
            <w:vAlign w:val="center"/>
          </w:tcPr>
          <w:p w:rsidR="008305C3" w:rsidRDefault="008305C3" w:rsidP="00A60C12">
            <w:pPr>
              <w:spacing w:after="0"/>
              <w:jc w:val="center"/>
            </w:pPr>
            <w:r>
              <w:t>PPL EU VP – T</w:t>
            </w:r>
            <w:r w:rsidR="00AE5A38">
              <w:t>ransmission and Substations</w:t>
            </w:r>
          </w:p>
        </w:tc>
        <w:tc>
          <w:tcPr>
            <w:tcW w:w="900" w:type="dxa"/>
            <w:shd w:val="clear" w:color="auto" w:fill="auto"/>
            <w:vAlign w:val="center"/>
          </w:tcPr>
          <w:p w:rsidR="008305C3" w:rsidRDefault="008305C3" w:rsidP="00A60C12">
            <w:pPr>
              <w:spacing w:after="0"/>
              <w:jc w:val="center"/>
            </w:pPr>
          </w:p>
        </w:tc>
        <w:tc>
          <w:tcPr>
            <w:tcW w:w="720" w:type="dxa"/>
            <w:shd w:val="clear" w:color="auto" w:fill="auto"/>
            <w:vAlign w:val="center"/>
          </w:tcPr>
          <w:p w:rsidR="008305C3" w:rsidRDefault="008305C3" w:rsidP="00A60C12">
            <w:pPr>
              <w:spacing w:after="0"/>
              <w:jc w:val="center"/>
            </w:pPr>
            <w:r>
              <w:t>O</w:t>
            </w:r>
          </w:p>
        </w:tc>
        <w:tc>
          <w:tcPr>
            <w:tcW w:w="888" w:type="dxa"/>
            <w:shd w:val="clear" w:color="auto" w:fill="auto"/>
            <w:vAlign w:val="center"/>
          </w:tcPr>
          <w:p w:rsidR="008305C3" w:rsidRDefault="008305C3" w:rsidP="00A60C12">
            <w:pPr>
              <w:spacing w:after="0"/>
              <w:jc w:val="center"/>
            </w:pPr>
          </w:p>
        </w:tc>
        <w:tc>
          <w:tcPr>
            <w:tcW w:w="710" w:type="dxa"/>
            <w:shd w:val="clear" w:color="auto" w:fill="auto"/>
            <w:vAlign w:val="center"/>
          </w:tcPr>
          <w:p w:rsidR="008305C3" w:rsidRDefault="008305C3" w:rsidP="00A60C12">
            <w:pPr>
              <w:spacing w:after="0"/>
              <w:jc w:val="center"/>
            </w:pPr>
          </w:p>
        </w:tc>
        <w:tc>
          <w:tcPr>
            <w:tcW w:w="1310" w:type="dxa"/>
            <w:shd w:val="clear" w:color="auto" w:fill="auto"/>
            <w:vAlign w:val="center"/>
          </w:tcPr>
          <w:p w:rsidR="008305C3" w:rsidRDefault="008305C3" w:rsidP="00A60C12">
            <w:pPr>
              <w:spacing w:after="0"/>
              <w:jc w:val="center"/>
            </w:pPr>
          </w:p>
        </w:tc>
        <w:tc>
          <w:tcPr>
            <w:tcW w:w="1777" w:type="dxa"/>
            <w:shd w:val="clear" w:color="auto" w:fill="auto"/>
            <w:vAlign w:val="center"/>
          </w:tcPr>
          <w:p w:rsidR="008305C3" w:rsidRDefault="008305C3" w:rsidP="00A60C12">
            <w:pPr>
              <w:spacing w:after="0"/>
              <w:jc w:val="center"/>
            </w:pPr>
            <w:r>
              <w:t>B</w:t>
            </w:r>
          </w:p>
        </w:tc>
        <w:tc>
          <w:tcPr>
            <w:tcW w:w="1440" w:type="dxa"/>
            <w:shd w:val="clear" w:color="auto" w:fill="auto"/>
            <w:vAlign w:val="center"/>
          </w:tcPr>
          <w:p w:rsidR="008305C3" w:rsidRDefault="008305C3" w:rsidP="00A60C12">
            <w:pPr>
              <w:spacing w:after="0"/>
              <w:jc w:val="center"/>
            </w:pPr>
          </w:p>
        </w:tc>
        <w:tc>
          <w:tcPr>
            <w:tcW w:w="1588" w:type="dxa"/>
            <w:shd w:val="clear" w:color="auto" w:fill="auto"/>
            <w:vAlign w:val="center"/>
          </w:tcPr>
          <w:p w:rsidR="008305C3" w:rsidRDefault="008305C3" w:rsidP="00A60C12">
            <w:pPr>
              <w:spacing w:after="0"/>
              <w:jc w:val="center"/>
            </w:pPr>
          </w:p>
        </w:tc>
        <w:tc>
          <w:tcPr>
            <w:tcW w:w="1363" w:type="dxa"/>
          </w:tcPr>
          <w:p w:rsidR="008305C3" w:rsidRDefault="008305C3" w:rsidP="00A60C12">
            <w:pPr>
              <w:spacing w:after="0"/>
              <w:jc w:val="center"/>
            </w:pPr>
            <w:r>
              <w:t>B/O</w:t>
            </w:r>
          </w:p>
        </w:tc>
      </w:tr>
      <w:tr w:rsidR="008305C3" w:rsidTr="006304A4">
        <w:trPr>
          <w:cantSplit/>
          <w:jc w:val="center"/>
        </w:trPr>
        <w:tc>
          <w:tcPr>
            <w:tcW w:w="12110" w:type="dxa"/>
            <w:gridSpan w:val="9"/>
            <w:shd w:val="clear" w:color="auto" w:fill="auto"/>
            <w:vAlign w:val="center"/>
          </w:tcPr>
          <w:p w:rsidR="008305C3" w:rsidRDefault="008305C3" w:rsidP="00A60C12">
            <w:pPr>
              <w:spacing w:after="0"/>
              <w:jc w:val="left"/>
            </w:pPr>
            <w:r>
              <w:t>Source: DN 13A-168; DN 13A-169; DN 12-134</w:t>
            </w:r>
          </w:p>
        </w:tc>
        <w:tc>
          <w:tcPr>
            <w:tcW w:w="1363" w:type="dxa"/>
          </w:tcPr>
          <w:p w:rsidR="008305C3" w:rsidRDefault="008305C3" w:rsidP="00A60C12">
            <w:pPr>
              <w:spacing w:after="0"/>
              <w:jc w:val="left"/>
            </w:pPr>
          </w:p>
        </w:tc>
      </w:tr>
    </w:tbl>
    <w:p w:rsidR="008305C3" w:rsidRDefault="008305C3" w:rsidP="00A60C12">
      <w:pPr>
        <w:pStyle w:val="Heading30"/>
        <w:sectPr w:rsidR="008305C3" w:rsidSect="00A60C12">
          <w:footerReference w:type="default" r:id="rId20"/>
          <w:pgSz w:w="15840" w:h="12240" w:orient="landscape"/>
          <w:pgMar w:top="1440" w:right="1440" w:bottom="1440" w:left="1440" w:header="720" w:footer="576" w:gutter="0"/>
          <w:cols w:space="720"/>
          <w:docGrid w:linePitch="360"/>
        </w:sectPr>
      </w:pPr>
    </w:p>
    <w:p w:rsidR="008305C3" w:rsidRDefault="008305C3" w:rsidP="00A60C12">
      <w:r>
        <w:lastRenderedPageBreak/>
        <w:t xml:space="preserve">The Chairman, President and CEO of PPL Corporation also </w:t>
      </w:r>
      <w:proofErr w:type="gramStart"/>
      <w:r>
        <w:t>serves</w:t>
      </w:r>
      <w:proofErr w:type="gramEnd"/>
      <w:r>
        <w:t xml:space="preserve"> on the boards of PPL EU, PPL SC and PPL EUS.  Additionally, one of the PPL EU Board Members serves on the Boards of PPL SC, PPL EUS, PPLSolutions, PPL TransLink, Inc., PPL Power Insurance, Ltd. and CEP Commerce, LLC, a PPL EU subsidiary.  Further, three of the PPL EU Board Members are also officers of PPL Corporation.  Beyond these Board to Board level associations, four of the nine PPL EU officers serve as directors or officers on at least five PPL EU affiliates. </w:t>
      </w:r>
    </w:p>
    <w:p w:rsidR="008305C3" w:rsidRPr="00400120" w:rsidRDefault="008305C3" w:rsidP="0049591B">
      <w:pPr>
        <w:pStyle w:val="Findings"/>
      </w:pPr>
      <w:r w:rsidRPr="00400120">
        <w:t>PPL Corporation and PPL EU have taken reasonable steps to comply with the PUC’s regulations and Code of Conduct at 52 Pa. Code Sections 54.121-123 as to interactions with unregulated affiliates.</w:t>
      </w:r>
    </w:p>
    <w:p w:rsidR="008305C3" w:rsidRPr="00400120" w:rsidRDefault="008305C3" w:rsidP="00A60C12">
      <w:r w:rsidRPr="00400120">
        <w:t xml:space="preserve">52 Pa. Code §54.121-123, “Competitive Safeguards” address competitive safeguards for electric utilities. </w:t>
      </w:r>
      <w:r>
        <w:t xml:space="preserve"> </w:t>
      </w:r>
      <w:r w:rsidRPr="00400120">
        <w:t xml:space="preserve">The purpose of these competitive safeguards is to </w:t>
      </w:r>
      <w:r>
        <w:t>ensure</w:t>
      </w:r>
      <w:r w:rsidRPr="00400120">
        <w:t xml:space="preserve"> the provision of direct access on equal and nondiscriminatory terms to all customers and generation suppliers</w:t>
      </w:r>
      <w:r>
        <w:t>;</w:t>
      </w:r>
      <w:r w:rsidRPr="00400120">
        <w:t xml:space="preserve"> prevent discrimination in rates, terms</w:t>
      </w:r>
      <w:r>
        <w:t>,</w:t>
      </w:r>
      <w:r w:rsidRPr="00400120">
        <w:t xml:space="preserve"> or conditions of service by electric distribution companies</w:t>
      </w:r>
      <w:r>
        <w:t>;</w:t>
      </w:r>
      <w:r w:rsidRPr="00400120">
        <w:t xml:space="preserve"> prevent the cross</w:t>
      </w:r>
      <w:r>
        <w:t>-</w:t>
      </w:r>
      <w:r w:rsidRPr="00400120">
        <w:t>subsidization of service amongst customers, customer classes</w:t>
      </w:r>
      <w:r>
        <w:t>,</w:t>
      </w:r>
      <w:r w:rsidRPr="00400120">
        <w:t xml:space="preserve"> or between related electric distribution companies and electric generation suppliers</w:t>
      </w:r>
      <w:r>
        <w:t>;</w:t>
      </w:r>
      <w:r w:rsidRPr="00400120">
        <w:t xml:space="preserve"> to forbid unfair or deceptive practices by electric generation companies and electric generation suppliers</w:t>
      </w:r>
      <w:r>
        <w:t>;</w:t>
      </w:r>
      <w:r w:rsidRPr="00400120">
        <w:t xml:space="preserve"> and to establish and maintain an effective and vibrant competitive market in the purchase and sale o</w:t>
      </w:r>
      <w:r>
        <w:t>f retail electric energy in the</w:t>
      </w:r>
      <w:r w:rsidRPr="00400120">
        <w:t xml:space="preserve"> Commonwealth.  Electric generation suppliers and electric distribution companies must comply with certain requirements that address items such as:</w:t>
      </w:r>
    </w:p>
    <w:p w:rsidR="008305C3" w:rsidRPr="00400120" w:rsidRDefault="008305C3" w:rsidP="00A60C12">
      <w:pPr>
        <w:pStyle w:val="Bullet"/>
      </w:pPr>
      <w:r w:rsidRPr="00400120">
        <w:t>Preferential treatment in the processing of retail generation supply service requests</w:t>
      </w:r>
    </w:p>
    <w:p w:rsidR="008305C3" w:rsidRPr="00400120" w:rsidRDefault="008305C3" w:rsidP="00A60C12">
      <w:pPr>
        <w:pStyle w:val="Bullet"/>
      </w:pPr>
      <w:r w:rsidRPr="00400120">
        <w:t>Dissemination or disclosure of customer information</w:t>
      </w:r>
    </w:p>
    <w:p w:rsidR="008305C3" w:rsidRDefault="008305C3" w:rsidP="00A60C12">
      <w:pPr>
        <w:pStyle w:val="Bullet"/>
        <w:rPr>
          <w:b/>
        </w:rPr>
      </w:pPr>
      <w:r w:rsidRPr="00400120">
        <w:t>False or deceptive advertising</w:t>
      </w:r>
    </w:p>
    <w:p w:rsidR="008305C3" w:rsidRPr="00400120" w:rsidRDefault="008305C3" w:rsidP="00A60C12">
      <w:pPr>
        <w:pStyle w:val="Bullet"/>
      </w:pPr>
      <w:r w:rsidRPr="00400120">
        <w:t>Dispu</w:t>
      </w:r>
      <w:r>
        <w:t>te resolution process</w:t>
      </w:r>
    </w:p>
    <w:p w:rsidR="008305C3" w:rsidRPr="00A90BFF" w:rsidRDefault="008305C3" w:rsidP="00A60C12">
      <w:pPr>
        <w:pStyle w:val="Normal-aftertable"/>
      </w:pPr>
      <w:r w:rsidRPr="00400120">
        <w:t>PPL Corporation has adopted the Standard</w:t>
      </w:r>
      <w:r>
        <w:t>s of Integrity discussed in the Background section above</w:t>
      </w:r>
      <w:r w:rsidRPr="00400120">
        <w:t xml:space="preserve"> to help guide Directors, Officers, </w:t>
      </w:r>
      <w:r>
        <w:t xml:space="preserve">employees, </w:t>
      </w:r>
      <w:r w:rsidRPr="00400120">
        <w:t>and all representatives of the Company and its subsidiaries in fulfilling their fiduciary duties while following all applicable ethical and legal standards.</w:t>
      </w:r>
      <w:r>
        <w:t xml:space="preserve"> </w:t>
      </w:r>
      <w:r w:rsidRPr="00400120">
        <w:t xml:space="preserve"> The Standards set forth the Company’s core values and focus on providing the necessary information to enable all PPL Corporation and subsidiary employees to identify situations that may raise et</w:t>
      </w:r>
      <w:r>
        <w:t>hical and/or legal issues.  Section</w:t>
      </w:r>
      <w:r w:rsidRPr="00400120">
        <w:t>s of the Standards discuss codes of conduct, antitrust laws, unfair competition, marketing competitive practices, anti-manipulation, insider trading, etc.</w:t>
      </w:r>
      <w:r>
        <w:t xml:space="preserve"> </w:t>
      </w:r>
      <w:r w:rsidRPr="00400120">
        <w:t xml:space="preserve"> The Standards of Integrity </w:t>
      </w:r>
      <w:r>
        <w:t xml:space="preserve">also </w:t>
      </w:r>
      <w:r w:rsidRPr="00400120">
        <w:t>provide gu</w:t>
      </w:r>
      <w:r>
        <w:t>idelines for decision-making in uncertain or</w:t>
      </w:r>
      <w:r w:rsidRPr="00400120">
        <w:t xml:space="preserve"> questiona</w:t>
      </w:r>
      <w:r>
        <w:t>ble circumstances and identify</w:t>
      </w:r>
      <w:r w:rsidRPr="00400120">
        <w:t xml:space="preserve"> who to contact with questions and how to report violations of the Standards or law. </w:t>
      </w:r>
      <w:r>
        <w:t xml:space="preserve"> </w:t>
      </w:r>
    </w:p>
    <w:p w:rsidR="008305C3" w:rsidRDefault="008305C3" w:rsidP="0049591B">
      <w:pPr>
        <w:pStyle w:val="Findings"/>
      </w:pPr>
      <w:r>
        <w:t>The PPL EU Board operated for a substantial period of time with fewer Directors than required by the PPL EU Bylaws.</w:t>
      </w:r>
    </w:p>
    <w:p w:rsidR="008305C3" w:rsidRDefault="008305C3" w:rsidP="00A60C12">
      <w:r>
        <w:t xml:space="preserve">The Bylaws of PPL EU require a Board of not less than six and not more than twenty Directors.  Our review of PPL EU Board minutes for meetings recorded for 18 months prior to the commencement of the audit indicated that the Board was comprised of only four Directors during that period. It should be noted, however, that on October 27, 2015, </w:t>
      </w:r>
      <w:r>
        <w:lastRenderedPageBreak/>
        <w:t>the PPL EU Board amended its Bylaws so that the number of directors are fixed from time to time by resolution of the PPL EU Board</w:t>
      </w:r>
      <w:r w:rsidRPr="00456B5D">
        <w:t>.</w:t>
      </w:r>
      <w:r>
        <w:t xml:space="preserve">    </w:t>
      </w:r>
    </w:p>
    <w:p w:rsidR="008305C3" w:rsidRDefault="008305C3" w:rsidP="0049591B">
      <w:pPr>
        <w:pStyle w:val="Findings"/>
      </w:pPr>
      <w:r>
        <w:t>Substantial emphasis is placed on ethics and conflict of interest policies and enforcement by the PPL Corporation and PPL EU Boards.</w:t>
      </w:r>
    </w:p>
    <w:p w:rsidR="008305C3" w:rsidRDefault="008305C3" w:rsidP="00A60C12">
      <w:r>
        <w:t>The PPL Corporation Board is deeply involved in ethics, compliance, conflict of interest, and enforcement activities.  In addition to the activities previously discussed, the Board, largely through its Audit Committee, reviews key material and receives a wide range of reports that focus on these areas.  These include the following:</w:t>
      </w:r>
    </w:p>
    <w:p w:rsidR="008305C3" w:rsidRDefault="008305C3" w:rsidP="00A60C12">
      <w:pPr>
        <w:pStyle w:val="Bullet"/>
      </w:pPr>
      <w:r>
        <w:t>Report of the timing of key financial activities and reports</w:t>
      </w:r>
    </w:p>
    <w:p w:rsidR="008305C3" w:rsidRDefault="008305C3" w:rsidP="00A60C12">
      <w:pPr>
        <w:pStyle w:val="Bullet"/>
      </w:pPr>
      <w:r>
        <w:t>Report of out of period adjustments, if any, and assessments of their materiality</w:t>
      </w:r>
    </w:p>
    <w:p w:rsidR="008305C3" w:rsidRDefault="008305C3" w:rsidP="00A60C12">
      <w:pPr>
        <w:pStyle w:val="Bullet"/>
      </w:pPr>
      <w:r>
        <w:t>Reports of SOX deficiencies, if any, and impending regulatory changes that have the potential to impact internal controls</w:t>
      </w:r>
    </w:p>
    <w:p w:rsidR="008305C3" w:rsidRDefault="008305C3" w:rsidP="00A60C12">
      <w:pPr>
        <w:pStyle w:val="Bullet"/>
      </w:pPr>
      <w:r>
        <w:t>Review of SEC reports prior to filing</w:t>
      </w:r>
    </w:p>
    <w:p w:rsidR="008305C3" w:rsidRDefault="008305C3" w:rsidP="00A60C12">
      <w:pPr>
        <w:pStyle w:val="Bullet"/>
      </w:pPr>
      <w:r>
        <w:t>Review of earnings news releases and quarterly analyst slides prior to filing</w:t>
      </w:r>
    </w:p>
    <w:p w:rsidR="008305C3" w:rsidRDefault="008305C3" w:rsidP="00A60C12">
      <w:pPr>
        <w:pStyle w:val="Bullet"/>
      </w:pPr>
      <w:r>
        <w:t>Review of the Materiality and Disclosure Committee Report</w:t>
      </w:r>
    </w:p>
    <w:p w:rsidR="008305C3" w:rsidRDefault="008305C3" w:rsidP="00A60C12">
      <w:pPr>
        <w:pStyle w:val="Bullet"/>
      </w:pPr>
      <w:r>
        <w:t>Review of external auditor Recently Approved Services Report</w:t>
      </w:r>
    </w:p>
    <w:p w:rsidR="008305C3" w:rsidRDefault="008305C3" w:rsidP="00A60C12">
      <w:pPr>
        <w:pStyle w:val="Bullet"/>
      </w:pPr>
      <w:r>
        <w:t>Review of Enterprise Risk Management Update</w:t>
      </w:r>
    </w:p>
    <w:p w:rsidR="008305C3" w:rsidRDefault="008305C3" w:rsidP="00A60C12">
      <w:pPr>
        <w:pStyle w:val="Bullet"/>
      </w:pPr>
      <w:r>
        <w:t xml:space="preserve">Report of Employee Concerns </w:t>
      </w:r>
    </w:p>
    <w:p w:rsidR="008305C3" w:rsidRDefault="008305C3" w:rsidP="00A60C12">
      <w:pPr>
        <w:pStyle w:val="Normal-aftertable"/>
      </w:pPr>
      <w:r>
        <w:t xml:space="preserve">The CA&amp;BE Vice President and the PPL Corporation Controller are actively involved in supporting the Audit Committee with its reviews and activities.  </w:t>
      </w:r>
    </w:p>
    <w:p w:rsidR="008305C3" w:rsidRDefault="008305C3" w:rsidP="0049591B">
      <w:pPr>
        <w:pStyle w:val="Findings"/>
      </w:pPr>
      <w:r>
        <w:t>PPL Corporation places considerable emphasis on employee safety and has achieved improvement in its safety record.</w:t>
      </w:r>
    </w:p>
    <w:p w:rsidR="008305C3" w:rsidRDefault="008305C3" w:rsidP="00A60C12">
      <w:r>
        <w:t>PPL Corporation has articulated its emphasis on safety from the Board, throughout the company through management and supervision to the individual worker.  The PPL Corporation Standards of Integrity, and the PPL EU Health and Safety Program Manual describe work place safety in the following statement:</w:t>
      </w:r>
    </w:p>
    <w:p w:rsidR="008305C3" w:rsidRDefault="008305C3" w:rsidP="00A60C12">
      <w:pPr>
        <w:pStyle w:val="Quotation-Sage"/>
      </w:pPr>
      <w:r>
        <w:t>One of PPL’s primary goals is to provide and maintain a work environment that promotes the health and safety of our employees and the general public. No job is too important or so urgent that precautions, laws or regulations concerning health and safety can be bypassed. The goal is very simple: zero accidents or incidents adversely impacting employees, contractors or the public.</w:t>
      </w:r>
    </w:p>
    <w:p w:rsidR="008305C3" w:rsidRDefault="008305C3" w:rsidP="00A60C12">
      <w:pPr>
        <w:pStyle w:val="Quotation-Sage"/>
      </w:pPr>
      <w:r>
        <w:t>The Company is committed to providing a safe work environment. Each of us is accountable for safe work behaviors and must work with internal and external stakeholders to reduce hazards within the working environment.</w:t>
      </w:r>
    </w:p>
    <w:p w:rsidR="008305C3" w:rsidRDefault="008305C3" w:rsidP="00A60C12">
      <w:pPr>
        <w:pStyle w:val="Quotation-Sage"/>
      </w:pPr>
      <w:r>
        <w:t>Employees must take workplace safety very seriously. Attending training, implementing safe work practices and taking appropriate security precautions are all examples of ways to reduce risk. You must be alert to potential safety hazards or unsafe work practices and immediately report dangerous conditions or situations so that workplace accidents and injuries can be avoided.</w:t>
      </w:r>
    </w:p>
    <w:p w:rsidR="008305C3" w:rsidRDefault="008305C3" w:rsidP="00A60C12">
      <w:r>
        <w:lastRenderedPageBreak/>
        <w:t xml:space="preserve">The Board and the Executive Corporate Leadership Team (key executives reporting to the CEO) regularly review reports on safety performance at their meetings.  </w:t>
      </w:r>
    </w:p>
    <w:p w:rsidR="008305C3" w:rsidRPr="0000286A" w:rsidRDefault="008305C3" w:rsidP="00A60C12">
      <w:r>
        <w:t xml:space="preserve">At the PPL EU entity level, </w:t>
      </w:r>
      <w:r w:rsidRPr="001F10F2">
        <w:rPr>
          <w:szCs w:val="24"/>
        </w:rPr>
        <w:t>training courses</w:t>
      </w:r>
      <w:r>
        <w:rPr>
          <w:szCs w:val="24"/>
        </w:rPr>
        <w:t xml:space="preserve"> for PPL EU employees have been developed to enhance</w:t>
      </w:r>
      <w:r w:rsidRPr="001F10F2">
        <w:rPr>
          <w:szCs w:val="24"/>
        </w:rPr>
        <w:t xml:space="preserve"> workplace safety including</w:t>
      </w:r>
      <w:r>
        <w:rPr>
          <w:szCs w:val="24"/>
        </w:rPr>
        <w:t xml:space="preserve"> the following courses</w:t>
      </w:r>
      <w:r w:rsidRPr="001F10F2">
        <w:rPr>
          <w:szCs w:val="24"/>
        </w:rPr>
        <w:t xml:space="preserve">: </w:t>
      </w:r>
      <w:r w:rsidRPr="001F10F2">
        <w:rPr>
          <w:rFonts w:eastAsia="Arial" w:cs="Arial"/>
          <w:szCs w:val="24"/>
        </w:rPr>
        <w:t>Safety</w:t>
      </w:r>
      <w:r w:rsidRPr="001F10F2">
        <w:rPr>
          <w:rFonts w:eastAsia="Arial" w:cs="Arial"/>
          <w:spacing w:val="-6"/>
          <w:szCs w:val="24"/>
        </w:rPr>
        <w:t xml:space="preserve"> </w:t>
      </w:r>
      <w:r w:rsidRPr="001F10F2">
        <w:rPr>
          <w:rFonts w:eastAsia="Arial" w:cs="Arial"/>
          <w:szCs w:val="24"/>
        </w:rPr>
        <w:t>Cul</w:t>
      </w:r>
      <w:r w:rsidRPr="001F10F2">
        <w:rPr>
          <w:rFonts w:eastAsia="Arial" w:cs="Arial"/>
          <w:spacing w:val="1"/>
          <w:szCs w:val="24"/>
        </w:rPr>
        <w:t>t</w:t>
      </w:r>
      <w:r w:rsidRPr="001F10F2">
        <w:rPr>
          <w:rFonts w:eastAsia="Arial" w:cs="Arial"/>
          <w:szCs w:val="24"/>
        </w:rPr>
        <w:t>ure</w:t>
      </w:r>
      <w:r w:rsidRPr="001F10F2">
        <w:rPr>
          <w:rFonts w:eastAsia="Arial" w:cs="Arial"/>
          <w:spacing w:val="-7"/>
          <w:szCs w:val="24"/>
        </w:rPr>
        <w:t xml:space="preserve"> </w:t>
      </w:r>
      <w:r w:rsidRPr="001F10F2">
        <w:rPr>
          <w:rFonts w:eastAsia="Arial" w:cs="Arial"/>
          <w:szCs w:val="24"/>
        </w:rPr>
        <w:t>Initiativ</w:t>
      </w:r>
      <w:r w:rsidRPr="001F10F2">
        <w:rPr>
          <w:rFonts w:eastAsia="Arial" w:cs="Arial"/>
          <w:spacing w:val="-1"/>
          <w:szCs w:val="24"/>
        </w:rPr>
        <w:t>e</w:t>
      </w:r>
      <w:r w:rsidRPr="001F10F2">
        <w:rPr>
          <w:rFonts w:eastAsia="Arial" w:cs="Arial"/>
          <w:szCs w:val="24"/>
        </w:rPr>
        <w:t>, Safety</w:t>
      </w:r>
      <w:r w:rsidRPr="001F10F2">
        <w:rPr>
          <w:rFonts w:eastAsia="Arial" w:cs="Arial"/>
          <w:spacing w:val="-6"/>
          <w:szCs w:val="24"/>
        </w:rPr>
        <w:t xml:space="preserve"> </w:t>
      </w:r>
      <w:r w:rsidRPr="001F10F2">
        <w:rPr>
          <w:rFonts w:eastAsia="Arial" w:cs="Arial"/>
          <w:szCs w:val="24"/>
        </w:rPr>
        <w:t>Beh</w:t>
      </w:r>
      <w:r w:rsidRPr="001F10F2">
        <w:rPr>
          <w:rFonts w:eastAsia="Arial" w:cs="Arial"/>
          <w:spacing w:val="1"/>
          <w:szCs w:val="24"/>
        </w:rPr>
        <w:t>a</w:t>
      </w:r>
      <w:r w:rsidRPr="001F10F2">
        <w:rPr>
          <w:rFonts w:eastAsia="Arial" w:cs="Arial"/>
          <w:szCs w:val="24"/>
        </w:rPr>
        <w:t>vior Observations</w:t>
      </w:r>
      <w:r w:rsidRPr="001F10F2">
        <w:rPr>
          <w:rFonts w:eastAsia="Arial" w:cs="Arial"/>
          <w:spacing w:val="-13"/>
          <w:szCs w:val="24"/>
        </w:rPr>
        <w:t xml:space="preserve"> </w:t>
      </w:r>
      <w:r>
        <w:rPr>
          <w:rFonts w:eastAsia="Arial" w:cs="Arial"/>
          <w:szCs w:val="24"/>
        </w:rPr>
        <w:t>and</w:t>
      </w:r>
      <w:r w:rsidRPr="001F10F2">
        <w:rPr>
          <w:rFonts w:eastAsia="Arial" w:cs="Arial"/>
          <w:spacing w:val="-1"/>
          <w:szCs w:val="24"/>
        </w:rPr>
        <w:t xml:space="preserve"> </w:t>
      </w:r>
      <w:r w:rsidRPr="001F10F2">
        <w:rPr>
          <w:rFonts w:eastAsia="Arial" w:cs="Arial"/>
          <w:szCs w:val="24"/>
        </w:rPr>
        <w:t>Feedback</w:t>
      </w:r>
      <w:r>
        <w:rPr>
          <w:rFonts w:eastAsia="Arial" w:cs="Arial"/>
          <w:szCs w:val="24"/>
        </w:rPr>
        <w:t>,</w:t>
      </w:r>
      <w:r w:rsidRPr="001F10F2">
        <w:rPr>
          <w:rFonts w:eastAsia="Arial" w:cs="Arial"/>
          <w:szCs w:val="24"/>
        </w:rPr>
        <w:t xml:space="preserve"> and Safety</w:t>
      </w:r>
      <w:r w:rsidRPr="001F10F2">
        <w:rPr>
          <w:rFonts w:eastAsia="Arial" w:cs="Arial"/>
          <w:spacing w:val="-6"/>
          <w:szCs w:val="24"/>
        </w:rPr>
        <w:t xml:space="preserve"> </w:t>
      </w:r>
      <w:r w:rsidRPr="001F10F2">
        <w:rPr>
          <w:rFonts w:eastAsia="Arial" w:cs="Arial"/>
          <w:szCs w:val="24"/>
        </w:rPr>
        <w:t>Ri</w:t>
      </w:r>
      <w:r w:rsidRPr="001F10F2">
        <w:rPr>
          <w:rFonts w:eastAsia="Arial" w:cs="Arial"/>
          <w:spacing w:val="1"/>
          <w:szCs w:val="24"/>
        </w:rPr>
        <w:t>d</w:t>
      </w:r>
      <w:r>
        <w:rPr>
          <w:rFonts w:eastAsia="Arial" w:cs="Arial"/>
          <w:szCs w:val="24"/>
        </w:rPr>
        <w:t>e-A</w:t>
      </w:r>
      <w:r w:rsidRPr="001F10F2">
        <w:rPr>
          <w:rFonts w:eastAsia="Arial" w:cs="Arial"/>
          <w:szCs w:val="24"/>
        </w:rPr>
        <w:t>long</w:t>
      </w:r>
      <w:r w:rsidRPr="001F10F2">
        <w:rPr>
          <w:szCs w:val="24"/>
        </w:rPr>
        <w:t>.</w:t>
      </w:r>
      <w:r>
        <w:rPr>
          <w:szCs w:val="24"/>
        </w:rPr>
        <w:t xml:space="preserve"> Additionally, specific PPL EU OneQ actions underway relating to safety </w:t>
      </w:r>
      <w:proofErr w:type="gramStart"/>
      <w:r>
        <w:rPr>
          <w:szCs w:val="24"/>
        </w:rPr>
        <w:t>include</w:t>
      </w:r>
      <w:proofErr w:type="gramEnd"/>
      <w:r>
        <w:rPr>
          <w:szCs w:val="24"/>
        </w:rPr>
        <w:t>:</w:t>
      </w:r>
      <w:r w:rsidRPr="001F10F2">
        <w:rPr>
          <w:szCs w:val="24"/>
        </w:rPr>
        <w:t xml:space="preserve">   </w:t>
      </w:r>
    </w:p>
    <w:p w:rsidR="008305C3" w:rsidRPr="005F4769" w:rsidRDefault="008305C3" w:rsidP="00A60C12">
      <w:pPr>
        <w:pStyle w:val="Bullet"/>
      </w:pPr>
      <w:r>
        <w:t>The formation of the Technical Development and Improvement organization four years ago which includes the Safety function</w:t>
      </w:r>
    </w:p>
    <w:p w:rsidR="008305C3" w:rsidRDefault="008305C3" w:rsidP="00A60C12">
      <w:pPr>
        <w:pStyle w:val="Bullet"/>
      </w:pPr>
      <w:r>
        <w:t>Emphasizing ownership of safety among employees</w:t>
      </w:r>
    </w:p>
    <w:p w:rsidR="008305C3" w:rsidRDefault="008305C3" w:rsidP="00A60C12">
      <w:pPr>
        <w:pStyle w:val="Bullet"/>
      </w:pPr>
      <w:r>
        <w:t>Analysis of injuries (for high risk situations and use of human performance tools)</w:t>
      </w:r>
    </w:p>
    <w:p w:rsidR="008305C3" w:rsidRDefault="008305C3" w:rsidP="00A60C12">
      <w:pPr>
        <w:pStyle w:val="Bullet"/>
      </w:pPr>
      <w:r>
        <w:t xml:space="preserve">Presenting injuries at the physician the same day as occurrence (to assure prompt treatment) </w:t>
      </w:r>
    </w:p>
    <w:p w:rsidR="008305C3" w:rsidRDefault="008305C3" w:rsidP="00A60C12">
      <w:pPr>
        <w:pStyle w:val="Bullet"/>
      </w:pPr>
      <w:r w:rsidRPr="00920F92">
        <w:t>The formation of a tiered structure of Safety Committees</w:t>
      </w:r>
    </w:p>
    <w:p w:rsidR="008305C3" w:rsidRPr="00920F92" w:rsidRDefault="008305C3" w:rsidP="00A60C12">
      <w:pPr>
        <w:pStyle w:val="Normal-aftertable"/>
        <w:rPr>
          <w:rFonts w:cs="Arial"/>
        </w:rPr>
      </w:pPr>
      <w:r>
        <w:t>Worker safety is one of PPL EU’s top priorities from a management planning perspective, and is a central theme in the 2015 PPL EU Business Plan.  And, while all categories of safety measurement have improved over the past four years, PPL EU is still performing in the third quartile when measured against industry peers in studies sponsored by Edison Electric Institute, Public Service Electric and Gas, and the Southeast Electric Exchange.  As mentioned above, t</w:t>
      </w:r>
      <w:r w:rsidRPr="006E2C55">
        <w:t>he</w:t>
      </w:r>
      <w:r>
        <w:t xml:space="preserve"> </w:t>
      </w:r>
      <w:r w:rsidRPr="006E2C55">
        <w:t xml:space="preserve">OneQ initiative was introduced </w:t>
      </w:r>
      <w:r>
        <w:t xml:space="preserve">in 2014 with the </w:t>
      </w:r>
      <w:r w:rsidRPr="006E2C55">
        <w:t xml:space="preserve">objective to </w:t>
      </w:r>
      <w:r>
        <w:t xml:space="preserve">move PPL EU to </w:t>
      </w:r>
      <w:r w:rsidRPr="006E2C55">
        <w:t>be</w:t>
      </w:r>
      <w:r>
        <w:t>come</w:t>
      </w:r>
      <w:r w:rsidRPr="006E2C55">
        <w:t xml:space="preserve"> an industry leader (first quartile ranking) in safety, </w:t>
      </w:r>
      <w:r>
        <w:t xml:space="preserve">among other areas.  Aggressive PPL EU improvement targets were set in March 2015 for safety performance in 2015 and 2016. These appear to be achievable with the emphasis being placed on them.  </w:t>
      </w:r>
    </w:p>
    <w:p w:rsidR="008305C3" w:rsidRDefault="008305C3" w:rsidP="0049591B">
      <w:pPr>
        <w:pStyle w:val="Findings"/>
      </w:pPr>
      <w:r>
        <w:t>The Company has an effective policy in place for selection and rotation of its external auditor.</w:t>
      </w:r>
    </w:p>
    <w:p w:rsidR="008305C3" w:rsidRDefault="008305C3" w:rsidP="00A60C12">
      <w:r>
        <w:t>As provided in the Audit Committee Charter, the Audit Committee has the sole authority to select, evaluate, and replace the Company’s independent auditor.  The Audit Committee requires the solicitation of proposals for the independent integrated financial statement audits by the Principal Auditor at least once every ten years.  Regardless, the Audit Committee may at any time, at its sole discretion, require the rotation of an independent auditing firm, or the lead or concurring partners, or make a determination to solicit proposals for the engagement of a new independent auditor.</w:t>
      </w:r>
    </w:p>
    <w:p w:rsidR="008305C3" w:rsidRDefault="008305C3" w:rsidP="00A60C12">
      <w:r>
        <w:t>As a result of the solicitation policy discussed, above, a</w:t>
      </w:r>
      <w:r w:rsidRPr="00D60C20">
        <w:t xml:space="preserve"> new external audit firm</w:t>
      </w:r>
      <w:r>
        <w:t>, Deloitte &amp; Touche LLC,</w:t>
      </w:r>
      <w:r w:rsidRPr="00D60C20">
        <w:t xml:space="preserve"> was selected and replaces </w:t>
      </w:r>
      <w:r>
        <w:t>the incumbent audit firm, Ernst &amp; Young LLC,</w:t>
      </w:r>
      <w:r w:rsidRPr="00D60C20">
        <w:t xml:space="preserve"> at the beginning of 2016.  All four national accounting firms were considered and interviewed for this assignment.  </w:t>
      </w:r>
      <w:r>
        <w:t>Key management personnel from both PPL SC and PPL EUS</w:t>
      </w:r>
      <w:r w:rsidRPr="00D60C20">
        <w:t xml:space="preserve"> were involved in the selection process.  </w:t>
      </w:r>
      <w:r>
        <w:t>The newly selected firm</w:t>
      </w:r>
      <w:r w:rsidRPr="00D60C20">
        <w:t xml:space="preserve"> had previously provided tax accounting services but</w:t>
      </w:r>
      <w:r>
        <w:t>,</w:t>
      </w:r>
      <w:r w:rsidRPr="00D60C20">
        <w:t xml:space="preserve"> as PPL</w:t>
      </w:r>
      <w:r>
        <w:t xml:space="preserve"> Corporation</w:t>
      </w:r>
      <w:r w:rsidRPr="00D60C20">
        <w:t>’s external auditor</w:t>
      </w:r>
      <w:r>
        <w:t>,</w:t>
      </w:r>
      <w:r w:rsidRPr="00D60C20">
        <w:t xml:space="preserve"> will no longer be able to without approval of the </w:t>
      </w:r>
      <w:r>
        <w:t xml:space="preserve">PPL </w:t>
      </w:r>
      <w:r w:rsidRPr="00D60C20">
        <w:t>Audit Committee.</w:t>
      </w:r>
    </w:p>
    <w:p w:rsidR="008305C3" w:rsidRDefault="008305C3" w:rsidP="00A60C12">
      <w:r w:rsidRPr="00C16B27">
        <w:t>In connection with the SEC’s auditor independence rules,</w:t>
      </w:r>
      <w:r>
        <w:t xml:space="preserve"> the lead partner and concurring or reviewing partners assigned by the independent auditor to the Company’s audit engagement shall be required to rotate after five years of service.  Upon rotation, </w:t>
      </w:r>
      <w:r>
        <w:lastRenderedPageBreak/>
        <w:t>the lead partner and the concurring or reviewing partners must then take at least five years off the engagement before resuming an audit partner role.</w:t>
      </w:r>
    </w:p>
    <w:p w:rsidR="008305C3" w:rsidRDefault="008305C3" w:rsidP="00A60C12">
      <w:r>
        <w:t>Any other audit partner on the audit engagement team (other than the lead and concurring or reviewing partners) who (1) provides more than ten hours of audit, review, or attest services in connection with the annual or interim consolidated financial statements of the Company or (2) serves as the “lead partner” in connection with any audit or review related to the annual or interim financial statements of a subsidiary of the Company whose assets or revenues constitute 20% or more of the assets or revenues of the Company’s respective consolidated assets or revenues shall be required to rotate after seven years of service and must then take at least two years off the engagement before resuming an audit partner role.</w:t>
      </w:r>
    </w:p>
    <w:p w:rsidR="008305C3" w:rsidRPr="0065061B" w:rsidRDefault="008305C3" w:rsidP="0049591B">
      <w:pPr>
        <w:pStyle w:val="Findings"/>
      </w:pPr>
      <w:r>
        <w:t>The Company has an effective policy in place for the control of audit and non-audit services provided by the external audit firm and other audit firms.</w:t>
      </w:r>
    </w:p>
    <w:p w:rsidR="008305C3" w:rsidRDefault="008305C3" w:rsidP="00A60C12">
      <w:r>
        <w:t>The Company’s policy controlling the independent auditor precludes the auditor that provides external auditing services from providing certain other services to the Company including:</w:t>
      </w:r>
    </w:p>
    <w:p w:rsidR="008305C3" w:rsidRDefault="008305C3" w:rsidP="00A60C12">
      <w:pPr>
        <w:pStyle w:val="Bullet"/>
      </w:pPr>
      <w:r>
        <w:t>Bookkeeping or other services related to the accounting records or financial statements</w:t>
      </w:r>
    </w:p>
    <w:p w:rsidR="008305C3" w:rsidRDefault="008305C3" w:rsidP="00A60C12">
      <w:pPr>
        <w:pStyle w:val="Bullet"/>
      </w:pPr>
      <w:r>
        <w:t>Financial information systems design and implementation</w:t>
      </w:r>
    </w:p>
    <w:p w:rsidR="008305C3" w:rsidRDefault="008305C3" w:rsidP="00A60C12">
      <w:pPr>
        <w:pStyle w:val="Bullet"/>
      </w:pPr>
      <w:r>
        <w:t>Appraisal or valuation services, fairness opinions, or contribution of in-kind reports</w:t>
      </w:r>
    </w:p>
    <w:p w:rsidR="008305C3" w:rsidRDefault="008305C3" w:rsidP="00A60C12">
      <w:pPr>
        <w:pStyle w:val="Bullet"/>
      </w:pPr>
      <w:r>
        <w:t>Actuarial services</w:t>
      </w:r>
    </w:p>
    <w:p w:rsidR="008305C3" w:rsidRDefault="008305C3" w:rsidP="00A60C12">
      <w:pPr>
        <w:pStyle w:val="Bullet"/>
      </w:pPr>
      <w:r>
        <w:t>Internal audit outsourcing services</w:t>
      </w:r>
    </w:p>
    <w:p w:rsidR="008305C3" w:rsidRDefault="008305C3" w:rsidP="00A60C12">
      <w:pPr>
        <w:pStyle w:val="Bullet"/>
      </w:pPr>
      <w:r>
        <w:t>Management or human resource functions</w:t>
      </w:r>
    </w:p>
    <w:p w:rsidR="008305C3" w:rsidRDefault="008305C3" w:rsidP="00A60C12">
      <w:pPr>
        <w:pStyle w:val="Bullet"/>
      </w:pPr>
      <w:r>
        <w:t>Broker or dealer, investment adviser, or investment banking services</w:t>
      </w:r>
    </w:p>
    <w:p w:rsidR="008305C3" w:rsidRDefault="008305C3" w:rsidP="00A60C12">
      <w:pPr>
        <w:pStyle w:val="Bullet"/>
      </w:pPr>
      <w:r>
        <w:t>Legal services and expert services unrelated to the audit</w:t>
      </w:r>
    </w:p>
    <w:p w:rsidR="008305C3" w:rsidRDefault="008305C3" w:rsidP="00A60C12">
      <w:pPr>
        <w:pStyle w:val="Bullet"/>
      </w:pPr>
      <w:r>
        <w:t>Any other service that the PCAOB determines, by regulation, is impermissible.</w:t>
      </w:r>
    </w:p>
    <w:p w:rsidR="008305C3" w:rsidRDefault="008305C3" w:rsidP="00A60C12">
      <w:pPr>
        <w:pStyle w:val="Normal-aftertable"/>
      </w:pPr>
      <w:r>
        <w:t>In those cases where an independent auditor can be used for permitted services, the Audit Committee of the Board must approve the use of the independent auditor for that specific service.</w:t>
      </w:r>
    </w:p>
    <w:p w:rsidR="008305C3" w:rsidRDefault="008305C3" w:rsidP="00A60C12">
      <w:r>
        <w:t>All audit services, regardless of whether the independent auditor performing the services is the Company's Principal Auditor, must be pre-approved by the Audit Committee.  Annually, the Audit Committee reviews and approves certain categories of audit and non-audit services and associated authorization levels.  Also, annually, the Audit Committee Chair is authorized by the Audit Committee to serve as its designee to approve future requests for audit and non-audit services that are not included as a pre-approved category of service or that exceed the annual authorization level for the pre-approved category of service in a given year.</w:t>
      </w:r>
    </w:p>
    <w:p w:rsidR="008305C3" w:rsidRDefault="008305C3" w:rsidP="00A60C12">
      <w:r>
        <w:t xml:space="preserve">The use of such independent auditors is prohibited unless specifically approved in advance by the PPL Corporation Vice President and Controller (or the alternate – the Director-Financial Reporting &amp; Consolidations) and the CA&amp;BE Vice President.  All </w:t>
      </w:r>
      <w:r>
        <w:lastRenderedPageBreak/>
        <w:t>services from an independent auditor that provides audit services, including each and every recurring and non-recurring audit and non-audit service requested, must be individually pre-approved.</w:t>
      </w:r>
    </w:p>
    <w:p w:rsidR="008305C3" w:rsidRDefault="008305C3" w:rsidP="00A60C12">
      <w:r>
        <w:t>If management requests an independent auditor to perform a non-tax related service that is within those pre-approved categories of services and associated authorization levels, then approval is needed from the CA&amp;BE Vice President and the PPL Corporation Vice President and Controller for those services.  If a requested service is not within the pre-approved categories of services and/or authorization levels, then approval by the Chair of the Audit Committee is required.</w:t>
      </w:r>
    </w:p>
    <w:p w:rsidR="008305C3" w:rsidRDefault="008305C3" w:rsidP="00A60C12">
      <w:r>
        <w:t>If the service being requested is a tax service, there are several levels of pre-approval needed: the CA&amp;BE Vice President, the PPL Corporation Vice President and Controller, the CFO, and the Chair of the Audit Committee (acting as the Committee designee).</w:t>
      </w:r>
      <w:r w:rsidRPr="00032BA8">
        <w:t xml:space="preserve">Tax work performed by </w:t>
      </w:r>
      <w:r>
        <w:t>the external auditor</w:t>
      </w:r>
      <w:r w:rsidRPr="00032BA8">
        <w:t xml:space="preserve"> is approved in advance by the PPL Audit Committee.  Additionally</w:t>
      </w:r>
      <w:r>
        <w:t>,</w:t>
      </w:r>
      <w:r w:rsidRPr="00032BA8">
        <w:t xml:space="preserve"> </w:t>
      </w:r>
      <w:r>
        <w:t>the external auditor</w:t>
      </w:r>
      <w:r w:rsidRPr="00032BA8">
        <w:t xml:space="preserve"> cannot be retained for other work without the approval of the PPL Corporation Controller and the CA</w:t>
      </w:r>
      <w:r>
        <w:t>&amp;</w:t>
      </w:r>
      <w:r w:rsidRPr="00032BA8">
        <w:t>BE</w:t>
      </w:r>
      <w:r>
        <w:t xml:space="preserve"> Vice President</w:t>
      </w:r>
      <w:r w:rsidRPr="00032BA8">
        <w:t>.</w:t>
      </w:r>
      <w:r>
        <w:t xml:space="preserve"> The</w:t>
      </w:r>
      <w:r w:rsidRPr="00CA32B4">
        <w:t xml:space="preserve"> permitted non-audit services (outside of tax services) includ</w:t>
      </w:r>
      <w:r>
        <w:t>e</w:t>
      </w:r>
      <w:r w:rsidRPr="00CA32B4">
        <w:t>, but</w:t>
      </w:r>
      <w:r>
        <w:t xml:space="preserve"> are</w:t>
      </w:r>
      <w:r w:rsidRPr="00CA32B4">
        <w:t xml:space="preserve"> not limited to, services in connection with Agreed Upon Procedures, services in connection with Due Diligence for Mergers/Acquisitions, Employee Benefit P</w:t>
      </w:r>
      <w:r>
        <w:t>lan Audits, and SSAE 16 reports</w:t>
      </w:r>
      <w:r w:rsidRPr="00CA32B4">
        <w:t>.  If a non-audit service would be requested, the request would follow the Company’s pre-approval process.</w:t>
      </w:r>
    </w:p>
    <w:p w:rsidR="008305C3" w:rsidRDefault="008305C3" w:rsidP="00A60C12">
      <w:r>
        <w:t>The full Audit Committee is provided information related to approved services at the next Audit Committee meeting.</w:t>
      </w:r>
    </w:p>
    <w:p w:rsidR="008305C3" w:rsidRPr="007152A8" w:rsidRDefault="008305C3" w:rsidP="0049591B">
      <w:pPr>
        <w:pStyle w:val="Findings"/>
      </w:pPr>
      <w:r>
        <w:t>The internal audit function effectively supports the Board and management in identifying risks and concerns.</w:t>
      </w:r>
    </w:p>
    <w:p w:rsidR="008305C3" w:rsidRDefault="008305C3" w:rsidP="00A60C12">
      <w:r>
        <w:t xml:space="preserve">The CA&amp;BE Vice President attends each Board Audit Committee meeting. </w:t>
      </w:r>
      <w:r w:rsidRPr="003873FB">
        <w:t xml:space="preserve">In 2015, </w:t>
      </w:r>
      <w:r>
        <w:t>this included four</w:t>
      </w:r>
      <w:r w:rsidRPr="003873FB">
        <w:t xml:space="preserve"> in-person meetings and </w:t>
      </w:r>
      <w:r>
        <w:t>five</w:t>
      </w:r>
      <w:r w:rsidRPr="003873FB">
        <w:t xml:space="preserve"> conference call meetings held.  In 2016, there </w:t>
      </w:r>
      <w:r>
        <w:t>have been three</w:t>
      </w:r>
      <w:r w:rsidRPr="003873FB">
        <w:t xml:space="preserve"> in</w:t>
      </w:r>
      <w:r>
        <w:t>-</w:t>
      </w:r>
      <w:r w:rsidRPr="003873FB">
        <w:t xml:space="preserve">person meetings scheduled and </w:t>
      </w:r>
      <w:r>
        <w:t>four</w:t>
      </w:r>
      <w:r w:rsidRPr="003873FB">
        <w:t xml:space="preserve"> telephone calls.</w:t>
      </w:r>
      <w:r>
        <w:t xml:space="preserve">  During these meetings, CA&amp;BE Vice President reports on key areas of risk, audit results, ethics issues (if any), performance metrics, and the budget status of the CA&amp;BE work group.  The CA&amp;BE Vice President actively </w:t>
      </w:r>
      <w:r w:rsidDel="00EF3C1B">
        <w:t xml:space="preserve">works with the PPL Audit Committee Chair </w:t>
      </w:r>
      <w:r>
        <w:t xml:space="preserve">to prepare for </w:t>
      </w:r>
      <w:r w:rsidDel="00EF3C1B">
        <w:t>Audit Committee meetings</w:t>
      </w:r>
      <w:r>
        <w:t xml:space="preserve"> including the development of the meeting agenda.  She oversees development of the annual internal audit plan, presents audit results, and reports on the status of the audit plan execution.  She also coordinates assessment efforts with the external auditor. </w:t>
      </w:r>
      <w:r w:rsidRPr="00750599">
        <w:t xml:space="preserve"> </w:t>
      </w:r>
      <w:r>
        <w:t xml:space="preserve">In addition, the CA&amp;BE Vice President oversees the Business Ethics Program and regularly reports to the Audit Committee the status of allegations and their disposition, as well as any trends around employee concerns and inquiries.  She also serves on the ERM Committee which is discussed above and in Chapter V, Finance and Accounting.  Overall, the internal audit function, led by the CA&amp;BE Vice President, is actively engaged in identifying risks and concerns, and provides effective support for the Board and management in this regard.   </w:t>
      </w:r>
    </w:p>
    <w:p w:rsidR="008305C3" w:rsidRDefault="008305C3" w:rsidP="009A3E36">
      <w:pPr>
        <w:pStyle w:val="Findings"/>
        <w:keepNext/>
      </w:pPr>
      <w:r>
        <w:lastRenderedPageBreak/>
        <w:t>Since the Talen spinoff and the accompanying sale of the generation assets and functions, risk to PPL has been diminished greatly.</w:t>
      </w:r>
    </w:p>
    <w:p w:rsidR="008305C3" w:rsidRDefault="008305C3" w:rsidP="00FD5611">
      <w:pPr>
        <w:rPr>
          <w:vertAlign w:val="superscript"/>
        </w:rPr>
      </w:pPr>
      <w:r w:rsidRPr="006056D1">
        <w:t xml:space="preserve">The rationale for spinning off the PPL </w:t>
      </w:r>
      <w:r>
        <w:t xml:space="preserve">competitive </w:t>
      </w:r>
      <w:r w:rsidRPr="006056D1">
        <w:t xml:space="preserve">generation </w:t>
      </w:r>
      <w:r>
        <w:t>business</w:t>
      </w:r>
      <w:r w:rsidRPr="006056D1">
        <w:t xml:space="preserve"> </w:t>
      </w:r>
      <w:r>
        <w:t xml:space="preserve">as of June 1, 2015, </w:t>
      </w:r>
      <w:r w:rsidRPr="006056D1">
        <w:t xml:space="preserve">was generally to separate the </w:t>
      </w:r>
      <w:r>
        <w:t xml:space="preserve">higher </w:t>
      </w:r>
      <w:r w:rsidRPr="006056D1">
        <w:t xml:space="preserve">risk </w:t>
      </w:r>
      <w:r>
        <w:t>competitive</w:t>
      </w:r>
      <w:r w:rsidRPr="006056D1">
        <w:t xml:space="preserve"> generation </w:t>
      </w:r>
      <w:r>
        <w:t>business</w:t>
      </w:r>
      <w:r w:rsidRPr="006056D1">
        <w:t xml:space="preserve"> from the relatively stable </w:t>
      </w:r>
      <w:r>
        <w:t xml:space="preserve">and lower risk </w:t>
      </w:r>
      <w:r w:rsidRPr="006056D1">
        <w:t xml:space="preserve">regulated electric </w:t>
      </w:r>
      <w:r>
        <w:t xml:space="preserve">utility </w:t>
      </w:r>
      <w:r w:rsidRPr="006056D1">
        <w:t xml:space="preserve">business.  </w:t>
      </w:r>
      <w:r>
        <w:t>Prior to the spinoff</w:t>
      </w:r>
      <w:r w:rsidRPr="006056D1">
        <w:t>, PPL and its subsidiaries</w:t>
      </w:r>
      <w:r>
        <w:t>, including PPL EU,</w:t>
      </w:r>
      <w:r w:rsidRPr="006056D1">
        <w:t xml:space="preserve"> faced greater risk</w:t>
      </w:r>
      <w:r>
        <w:t xml:space="preserve"> with the combination of high-risk and low-risk businesses together.  However, once separated, the risk to PPL Corporation and its remaining subsidiaries has been diminished greatly.</w:t>
      </w:r>
      <w:r w:rsidRPr="00705344">
        <w:rPr>
          <w:vertAlign w:val="superscript"/>
        </w:rPr>
        <w:t xml:space="preserve"> </w:t>
      </w:r>
    </w:p>
    <w:p w:rsidR="00541D50" w:rsidRDefault="00541D50" w:rsidP="004F00E5">
      <w:pPr>
        <w:pStyle w:val="Heading2"/>
        <w:numPr>
          <w:ilvl w:val="0"/>
          <w:numId w:val="103"/>
        </w:numPr>
      </w:pPr>
      <w:bookmarkStart w:id="41" w:name="_Toc464551980"/>
      <w:r>
        <w:t>RECOMMENDATIONS</w:t>
      </w:r>
      <w:bookmarkEnd w:id="41"/>
    </w:p>
    <w:p w:rsidR="00541D50" w:rsidRPr="00541D50" w:rsidRDefault="00541D50" w:rsidP="00541D50">
      <w:proofErr w:type="gramStart"/>
      <w:r w:rsidRPr="00234825">
        <w:t>None</w:t>
      </w:r>
      <w:r>
        <w:t>.</w:t>
      </w:r>
      <w:proofErr w:type="gramEnd"/>
    </w:p>
    <w:p w:rsidR="00991912" w:rsidRPr="00991912" w:rsidRDefault="00991912" w:rsidP="00FD5611"/>
    <w:p w:rsidR="00991912" w:rsidRDefault="00991912" w:rsidP="00FD5611">
      <w:pPr>
        <w:sectPr w:rsidR="00991912" w:rsidSect="00A426C4">
          <w:headerReference w:type="default" r:id="rId21"/>
          <w:footerReference w:type="default" r:id="rId22"/>
          <w:type w:val="continuous"/>
          <w:pgSz w:w="12240" w:h="15840"/>
          <w:pgMar w:top="1440" w:right="1440" w:bottom="1440" w:left="1440" w:header="720" w:footer="576" w:gutter="0"/>
          <w:cols w:space="720"/>
          <w:docGrid w:linePitch="360"/>
        </w:sectPr>
      </w:pPr>
    </w:p>
    <w:p w:rsidR="00A426C4" w:rsidRDefault="00A426C4" w:rsidP="00E142EC">
      <w:pPr>
        <w:pStyle w:val="Heading1"/>
      </w:pPr>
      <w:bookmarkStart w:id="42" w:name="_Toc464551981"/>
      <w:r>
        <w:lastRenderedPageBreak/>
        <w:t>AFFILIATE Relationships</w:t>
      </w:r>
      <w:bookmarkEnd w:id="42"/>
    </w:p>
    <w:p w:rsidR="00A426C4" w:rsidRDefault="00A426C4" w:rsidP="00A426C4">
      <w:r>
        <w:t>This chapter addresses the relationships</w:t>
      </w:r>
      <w:r w:rsidRPr="00747F66">
        <w:t xml:space="preserve"> </w:t>
      </w:r>
      <w:r>
        <w:t xml:space="preserve">and transactions of PPL Electric Utilities Corporation (PPL EU) with its affiliates.  Many regulated utilities are now part of holding company structures in which the utility receives products and services from affiliated companies within the holding company structure.  This is the case with PPL EU, as it is a part of the PPL Corporation family of companies and has transactions with several affiliated entities.  </w:t>
      </w:r>
    </w:p>
    <w:p w:rsidR="00A426C4" w:rsidRDefault="00A426C4" w:rsidP="00A426C4">
      <w:r>
        <w:t xml:space="preserve">In Pennsylvania, affiliate costs can be disallowed for ratemaking purposes if the utility does not meet its burden of proof that the affiliate payment amounts were not in excess of the reasonable price and that the services are reasonable and proper.   </w:t>
      </w:r>
    </w:p>
    <w:p w:rsidR="00A426C4" w:rsidRDefault="00A426C4" w:rsidP="00A426C4">
      <w:r>
        <w:t>This chapter is organized in the following sections that each addresses an important aspect of affiliate relationships and transactions:</w:t>
      </w:r>
    </w:p>
    <w:p w:rsidR="00A426C4" w:rsidRDefault="00A426C4" w:rsidP="00A426C4">
      <w:pPr>
        <w:ind w:left="720"/>
      </w:pPr>
      <w:r>
        <w:t>A. PPL EU Affiliate Relationships</w:t>
      </w:r>
    </w:p>
    <w:p w:rsidR="00A426C4" w:rsidRDefault="00A426C4" w:rsidP="00A426C4">
      <w:pPr>
        <w:ind w:left="720"/>
      </w:pPr>
      <w:r>
        <w:t>B. Affiliate Governance</w:t>
      </w:r>
    </w:p>
    <w:p w:rsidR="00A426C4" w:rsidRDefault="00A426C4" w:rsidP="00A426C4">
      <w:pPr>
        <w:ind w:left="720"/>
      </w:pPr>
      <w:r>
        <w:t xml:space="preserve">C. Affiliate Transactions </w:t>
      </w:r>
    </w:p>
    <w:p w:rsidR="00A426C4" w:rsidRDefault="00A426C4" w:rsidP="00A426C4">
      <w:pPr>
        <w:ind w:left="720"/>
      </w:pPr>
      <w:r>
        <w:t>D. Service Level Agreements with Affiliates</w:t>
      </w:r>
    </w:p>
    <w:p w:rsidR="00A426C4" w:rsidRDefault="00A426C4" w:rsidP="00A426C4">
      <w:pPr>
        <w:ind w:left="720"/>
      </w:pPr>
      <w:r>
        <w:t>E. Standards of Integrity</w:t>
      </w:r>
    </w:p>
    <w:p w:rsidR="00A426C4" w:rsidRDefault="00A426C4" w:rsidP="00A426C4">
      <w:pPr>
        <w:ind w:left="720"/>
      </w:pPr>
      <w:r>
        <w:t>F. Pricing of Affiliate Transactions</w:t>
      </w:r>
    </w:p>
    <w:p w:rsidR="00A426C4" w:rsidRDefault="00A426C4" w:rsidP="00A426C4">
      <w:pPr>
        <w:ind w:left="720"/>
      </w:pPr>
      <w:r>
        <w:t>G. Value of Affiliate Relationships</w:t>
      </w:r>
    </w:p>
    <w:p w:rsidR="00A426C4" w:rsidRDefault="00A426C4" w:rsidP="00A426C4">
      <w:pPr>
        <w:ind w:left="720"/>
      </w:pPr>
      <w:r>
        <w:t>H. Ring Fencing</w:t>
      </w:r>
    </w:p>
    <w:p w:rsidR="00A426C4" w:rsidRDefault="00A426C4" w:rsidP="00A426C4">
      <w:pPr>
        <w:ind w:left="720"/>
      </w:pPr>
      <w:r>
        <w:t>I. Indirect Affiliate Transactions</w:t>
      </w:r>
    </w:p>
    <w:p w:rsidR="00A426C4" w:rsidRDefault="00A426C4" w:rsidP="00A426C4">
      <w:pPr>
        <w:ind w:left="720"/>
      </w:pPr>
      <w:r>
        <w:t>J. Internal Audits</w:t>
      </w:r>
    </w:p>
    <w:p w:rsidR="00A426C4" w:rsidRDefault="00A426C4" w:rsidP="00A426C4">
      <w:r>
        <w:t>Each section includes relevant background information and findings and recommendations as appropriate.</w:t>
      </w:r>
    </w:p>
    <w:p w:rsidR="00A426C4" w:rsidRDefault="00A426C4" w:rsidP="00B86FA4">
      <w:pPr>
        <w:pStyle w:val="Heading2"/>
        <w:numPr>
          <w:ilvl w:val="0"/>
          <w:numId w:val="15"/>
        </w:numPr>
      </w:pPr>
      <w:bookmarkStart w:id="43" w:name="_Toc464551982"/>
      <w:r>
        <w:t>PPL EU aFFILIATE relationships</w:t>
      </w:r>
      <w:bookmarkEnd w:id="43"/>
    </w:p>
    <w:p w:rsidR="00A426C4" w:rsidRDefault="00A426C4" w:rsidP="005123A6">
      <w:pPr>
        <w:pStyle w:val="Heading-forToC"/>
      </w:pPr>
      <w:bookmarkStart w:id="44" w:name="_Toc464551983"/>
      <w:r>
        <w:t>Background</w:t>
      </w:r>
      <w:bookmarkEnd w:id="44"/>
    </w:p>
    <w:p w:rsidR="00A426C4" w:rsidRDefault="00A426C4" w:rsidP="00A426C4">
      <w:r>
        <w:t>This section identifies and describes PPL EU’s affiliate relationships.</w:t>
      </w:r>
    </w:p>
    <w:p w:rsidR="00A426C4" w:rsidRDefault="00A426C4" w:rsidP="00A426C4">
      <w:pPr>
        <w:pStyle w:val="Heading40"/>
      </w:pPr>
      <w:r>
        <w:t>Pennsylvania Affiliate Definition</w:t>
      </w:r>
    </w:p>
    <w:p w:rsidR="00A426C4" w:rsidRDefault="00A426C4" w:rsidP="00A426C4">
      <w:r>
        <w:t>The Pennsylvania Public Utility Code Section 2101 defines affiliated interests.  PPL Corporation is a utility holding company as it owns PPL EU, other utility operating companies, and other entities.  According to Section 2101, any entity in which a utility holding company, has five percent or more ownership is an affiliate of the utility operating company.  Therefore, all of the 85 legal entity subsidiaries of PPL Corporation are defined as PPL EU affiliates in Pennsylvania.  (See Chapter II Executive Management, for a description of PPL Corporation and its subsidiaries.)</w:t>
      </w:r>
    </w:p>
    <w:p w:rsidR="00A426C4" w:rsidRDefault="00A426C4" w:rsidP="00A426C4">
      <w:r>
        <w:t xml:space="preserve">However, while all of the PPL Corporation subsidiary legal entities are defined as affiliates of PPL EU, there are only material transactions (sales of goods or services to </w:t>
      </w:r>
      <w:r>
        <w:lastRenderedPageBreak/>
        <w:t>or from PPL EU by the affiliate) with a subset of them.  Although all affiliates with transactions with PPL EU where the amount of consideration exceeds $10,000 (or 5% of the par value of outstanding common stock, if smaller) are required to file affiliated agreements with the Commission as provided in Commonwealth 66 Pa. C.S. § 2102(a),</w:t>
      </w:r>
      <w:r w:rsidRPr="007863C9">
        <w:t xml:space="preserve"> (b)</w:t>
      </w:r>
      <w:r>
        <w:t>, and</w:t>
      </w:r>
      <w:r w:rsidRPr="007863C9">
        <w:t xml:space="preserve"> (d)</w:t>
      </w:r>
      <w:r>
        <w:t>, for the purposes of this audit, material transactions were defined as those exceeding $100,000 in a calendar year.</w:t>
      </w:r>
    </w:p>
    <w:p w:rsidR="00A426C4" w:rsidRDefault="00A426C4" w:rsidP="00A426C4">
      <w:pPr>
        <w:pStyle w:val="Heading40"/>
      </w:pPr>
      <w:r>
        <w:t>PPL Corporation Subsidiaries with Material Transactions with PPL EU</w:t>
      </w:r>
    </w:p>
    <w:p w:rsidR="00A426C4" w:rsidRDefault="00A426C4" w:rsidP="00A426C4">
      <w:r>
        <w:t xml:space="preserve">Prior to PPL Corporation’s spinoff of its generation and related assets to form Talen Energy Corporation, (Talen), PPL EU identified 18 affiliates with which it had material transactions (selling to or buying from PPL EU at least $100,000 in a year) within the last three full calendar years (2012, 2013, and 2014) </w:t>
      </w:r>
      <w:r w:rsidRPr="00757EE7">
        <w:t xml:space="preserve">and </w:t>
      </w:r>
      <w:r>
        <w:t xml:space="preserve">through June 1, </w:t>
      </w:r>
      <w:r w:rsidRPr="00757EE7">
        <w:t xml:space="preserve">2015 </w:t>
      </w:r>
      <w:r>
        <w:t>(date the Talen spinoff was completed)</w:t>
      </w:r>
      <w:r w:rsidRPr="00757EE7">
        <w:t>:</w:t>
      </w:r>
    </w:p>
    <w:p w:rsidR="00A426C4" w:rsidRDefault="00A426C4" w:rsidP="00A426C4">
      <w:pPr>
        <w:pStyle w:val="Bullet"/>
      </w:pPr>
      <w:r>
        <w:t>H.</w:t>
      </w:r>
      <w:r w:rsidR="00876A9D">
        <w:t xml:space="preserve"> </w:t>
      </w:r>
      <w:r>
        <w:t>T. Lyons, Inc.</w:t>
      </w:r>
    </w:p>
    <w:p w:rsidR="00A426C4" w:rsidRDefault="00A426C4" w:rsidP="00A426C4">
      <w:pPr>
        <w:pStyle w:val="Bullet"/>
      </w:pPr>
      <w:r>
        <w:t>McCarl’s Inc.</w:t>
      </w:r>
    </w:p>
    <w:p w:rsidR="00A426C4" w:rsidRDefault="00A426C4" w:rsidP="00A426C4">
      <w:pPr>
        <w:pStyle w:val="Bullet"/>
      </w:pPr>
      <w:r>
        <w:t>McClure Company</w:t>
      </w:r>
    </w:p>
    <w:p w:rsidR="00A426C4" w:rsidRDefault="00A426C4" w:rsidP="00A426C4">
      <w:pPr>
        <w:pStyle w:val="Bullet"/>
      </w:pPr>
      <w:r>
        <w:t>PPL Services Corporation</w:t>
      </w:r>
    </w:p>
    <w:p w:rsidR="00A426C4" w:rsidRDefault="00A426C4" w:rsidP="00A426C4">
      <w:pPr>
        <w:pStyle w:val="Bullet"/>
      </w:pPr>
      <w:r>
        <w:t>PPL EU Services Corporation</w:t>
      </w:r>
    </w:p>
    <w:p w:rsidR="00A426C4" w:rsidRDefault="00A426C4" w:rsidP="00A426C4">
      <w:pPr>
        <w:pStyle w:val="Bullet"/>
      </w:pPr>
      <w:r>
        <w:t xml:space="preserve">PPLSolutions, LLC </w:t>
      </w:r>
    </w:p>
    <w:p w:rsidR="00A426C4" w:rsidRDefault="00A426C4" w:rsidP="00A426C4">
      <w:pPr>
        <w:pStyle w:val="Bullet"/>
      </w:pPr>
      <w:r>
        <w:t xml:space="preserve">PPL Infrastructure Services, LLC </w:t>
      </w:r>
    </w:p>
    <w:p w:rsidR="00A426C4" w:rsidRDefault="00A426C4" w:rsidP="00A426C4">
      <w:pPr>
        <w:pStyle w:val="Bullet"/>
      </w:pPr>
      <w:r>
        <w:t>PPL Power Insurance Ltd.</w:t>
      </w:r>
    </w:p>
    <w:p w:rsidR="00A426C4" w:rsidRDefault="00A426C4" w:rsidP="00A426C4">
      <w:pPr>
        <w:pStyle w:val="Bullet"/>
      </w:pPr>
      <w:r>
        <w:t>PPL Receivables Corporation</w:t>
      </w:r>
    </w:p>
    <w:p w:rsidR="00A426C4" w:rsidRPr="007A2BED" w:rsidRDefault="00A426C4" w:rsidP="00A426C4">
      <w:pPr>
        <w:pStyle w:val="Bullet"/>
      </w:pPr>
      <w:r w:rsidRPr="007A2BED">
        <w:t>PPL Montour</w:t>
      </w:r>
      <w:r>
        <w:t>,</w:t>
      </w:r>
      <w:r w:rsidRPr="007A2BED">
        <w:t xml:space="preserve"> LLC</w:t>
      </w:r>
    </w:p>
    <w:p w:rsidR="00A426C4" w:rsidRPr="007A2BED" w:rsidRDefault="00A426C4" w:rsidP="00A426C4">
      <w:pPr>
        <w:pStyle w:val="Bullet"/>
      </w:pPr>
      <w:r w:rsidRPr="007A2BED">
        <w:t>PPL Generation</w:t>
      </w:r>
      <w:r>
        <w:t>,</w:t>
      </w:r>
      <w:r w:rsidRPr="007A2BED">
        <w:t xml:space="preserve"> LLC</w:t>
      </w:r>
    </w:p>
    <w:p w:rsidR="00A426C4" w:rsidRPr="007A2BED" w:rsidRDefault="00A426C4" w:rsidP="00A426C4">
      <w:pPr>
        <w:pStyle w:val="Bullet"/>
      </w:pPr>
      <w:r w:rsidRPr="007A2BED">
        <w:t>PPL Martins Creek</w:t>
      </w:r>
      <w:r>
        <w:t>,</w:t>
      </w:r>
      <w:r w:rsidRPr="007A2BED">
        <w:t xml:space="preserve"> LLC</w:t>
      </w:r>
    </w:p>
    <w:p w:rsidR="00A426C4" w:rsidRPr="007A2BED" w:rsidRDefault="00A426C4" w:rsidP="00A426C4">
      <w:pPr>
        <w:pStyle w:val="Bullet"/>
      </w:pPr>
      <w:r w:rsidRPr="007A2BED">
        <w:t>PPL Susquehanna</w:t>
      </w:r>
      <w:r>
        <w:t>,</w:t>
      </w:r>
      <w:r w:rsidRPr="007A2BED">
        <w:t xml:space="preserve"> LLC</w:t>
      </w:r>
    </w:p>
    <w:p w:rsidR="00A426C4" w:rsidRPr="007A2BED" w:rsidRDefault="00A426C4" w:rsidP="00A426C4">
      <w:pPr>
        <w:pStyle w:val="Bullet"/>
      </w:pPr>
      <w:r w:rsidRPr="007A2BED">
        <w:t>PPL EnergyPlus</w:t>
      </w:r>
      <w:r>
        <w:t>,</w:t>
      </w:r>
      <w:r w:rsidRPr="007A2BED">
        <w:t xml:space="preserve"> LLC</w:t>
      </w:r>
    </w:p>
    <w:p w:rsidR="00A426C4" w:rsidRPr="007A2BED" w:rsidRDefault="00A426C4" w:rsidP="00A426C4">
      <w:pPr>
        <w:pStyle w:val="Bullet"/>
      </w:pPr>
      <w:r w:rsidRPr="007A2BED">
        <w:t>PPL Renewable Energy</w:t>
      </w:r>
      <w:r>
        <w:t>,</w:t>
      </w:r>
      <w:r w:rsidRPr="007A2BED">
        <w:t xml:space="preserve"> LLC</w:t>
      </w:r>
    </w:p>
    <w:p w:rsidR="00A426C4" w:rsidRPr="007A2BED" w:rsidRDefault="00A426C4" w:rsidP="00A426C4">
      <w:pPr>
        <w:pStyle w:val="Bullet"/>
      </w:pPr>
      <w:r w:rsidRPr="007A2BED">
        <w:t>PPL Brun</w:t>
      </w:r>
      <w:r>
        <w:t>n</w:t>
      </w:r>
      <w:r w:rsidRPr="007A2BED">
        <w:t>er Island</w:t>
      </w:r>
      <w:r>
        <w:t>,</w:t>
      </w:r>
      <w:r w:rsidRPr="007A2BED">
        <w:t xml:space="preserve"> LLC</w:t>
      </w:r>
    </w:p>
    <w:p w:rsidR="00A426C4" w:rsidRPr="007A2BED" w:rsidRDefault="00A426C4" w:rsidP="00A426C4">
      <w:pPr>
        <w:pStyle w:val="Bullet"/>
      </w:pPr>
      <w:r w:rsidRPr="007A2BED">
        <w:t>PPL Holtwood</w:t>
      </w:r>
      <w:r>
        <w:t>,</w:t>
      </w:r>
      <w:r w:rsidRPr="007A2BED">
        <w:t xml:space="preserve"> LLC</w:t>
      </w:r>
    </w:p>
    <w:p w:rsidR="00A426C4" w:rsidRPr="007A2BED" w:rsidRDefault="00A426C4" w:rsidP="00A426C4">
      <w:pPr>
        <w:pStyle w:val="Bullet"/>
      </w:pPr>
      <w:r w:rsidRPr="007A2BED">
        <w:t>PPL EnergyPlus Retail</w:t>
      </w:r>
      <w:r>
        <w:t>,</w:t>
      </w:r>
      <w:r w:rsidRPr="007A2BED">
        <w:t xml:space="preserve"> LLC</w:t>
      </w:r>
    </w:p>
    <w:p w:rsidR="00A426C4" w:rsidRDefault="00A426C4" w:rsidP="00A426C4">
      <w:pPr>
        <w:pStyle w:val="Normal-aftertable"/>
      </w:pPr>
      <w:r>
        <w:t>However, eleven of the 18 identified affiliates became subsidiaries of Talen in the spinoff and another one was sold to a third party.  The affiliates that were spun-off to Talen were:</w:t>
      </w:r>
    </w:p>
    <w:p w:rsidR="00A426C4" w:rsidRDefault="00A426C4" w:rsidP="00A426C4">
      <w:pPr>
        <w:pStyle w:val="Bullet"/>
      </w:pPr>
      <w:r>
        <w:t>H.</w:t>
      </w:r>
      <w:r w:rsidR="00876A9D">
        <w:t xml:space="preserve"> </w:t>
      </w:r>
      <w:r>
        <w:t>T. Lyons, Inc.</w:t>
      </w:r>
    </w:p>
    <w:p w:rsidR="00A426C4" w:rsidRDefault="00A426C4" w:rsidP="00A426C4">
      <w:pPr>
        <w:pStyle w:val="Bullet"/>
      </w:pPr>
      <w:r>
        <w:t>McCarl’s Inc.</w:t>
      </w:r>
    </w:p>
    <w:p w:rsidR="00A426C4" w:rsidRDefault="00A426C4" w:rsidP="00A426C4">
      <w:pPr>
        <w:pStyle w:val="Bullet"/>
      </w:pPr>
      <w:r>
        <w:t>McClure Company</w:t>
      </w:r>
    </w:p>
    <w:p w:rsidR="00A426C4" w:rsidRDefault="00A426C4" w:rsidP="00A426C4">
      <w:pPr>
        <w:pStyle w:val="Bullet"/>
      </w:pPr>
      <w:r>
        <w:t>PPL Montour</w:t>
      </w:r>
      <w:r w:rsidR="00876A9D">
        <w:t>,</w:t>
      </w:r>
      <w:r>
        <w:t xml:space="preserve"> LLC</w:t>
      </w:r>
    </w:p>
    <w:p w:rsidR="00A426C4" w:rsidRDefault="00A426C4" w:rsidP="00A426C4">
      <w:pPr>
        <w:pStyle w:val="Bullet"/>
      </w:pPr>
      <w:r>
        <w:t>PPL Generation</w:t>
      </w:r>
      <w:r w:rsidR="00876A9D">
        <w:t>,</w:t>
      </w:r>
      <w:r>
        <w:t xml:space="preserve"> LLC</w:t>
      </w:r>
    </w:p>
    <w:p w:rsidR="00A426C4" w:rsidRDefault="00A426C4" w:rsidP="00A426C4">
      <w:pPr>
        <w:pStyle w:val="Bullet"/>
      </w:pPr>
      <w:r>
        <w:t>PPL Martins Creek</w:t>
      </w:r>
      <w:r w:rsidR="00876A9D">
        <w:t>,</w:t>
      </w:r>
      <w:r>
        <w:t xml:space="preserve"> LLC</w:t>
      </w:r>
    </w:p>
    <w:p w:rsidR="00A426C4" w:rsidRDefault="00A426C4" w:rsidP="00A426C4">
      <w:pPr>
        <w:pStyle w:val="Bullet"/>
      </w:pPr>
      <w:r>
        <w:lastRenderedPageBreak/>
        <w:t>PPL Susquehanna</w:t>
      </w:r>
      <w:r w:rsidR="00876A9D">
        <w:t>,</w:t>
      </w:r>
      <w:r>
        <w:t xml:space="preserve"> LLC</w:t>
      </w:r>
    </w:p>
    <w:p w:rsidR="00A426C4" w:rsidRDefault="00A426C4" w:rsidP="00A426C4">
      <w:pPr>
        <w:pStyle w:val="Bullet"/>
      </w:pPr>
      <w:r>
        <w:t>PPL EnergyPlus</w:t>
      </w:r>
      <w:r w:rsidR="00876A9D">
        <w:t>,</w:t>
      </w:r>
      <w:r>
        <w:t xml:space="preserve"> LLC</w:t>
      </w:r>
    </w:p>
    <w:p w:rsidR="00A426C4" w:rsidRDefault="00A426C4" w:rsidP="00A426C4">
      <w:pPr>
        <w:pStyle w:val="Bullet"/>
      </w:pPr>
      <w:r>
        <w:t>PPL Brunner Island</w:t>
      </w:r>
      <w:r w:rsidR="00876A9D">
        <w:t>,</w:t>
      </w:r>
      <w:r>
        <w:t xml:space="preserve"> LLC</w:t>
      </w:r>
    </w:p>
    <w:p w:rsidR="00A426C4" w:rsidRDefault="00A426C4" w:rsidP="00A426C4">
      <w:pPr>
        <w:pStyle w:val="Bullet"/>
      </w:pPr>
      <w:r>
        <w:t>PPL Holtwood</w:t>
      </w:r>
      <w:r w:rsidR="00876A9D">
        <w:t>,</w:t>
      </w:r>
      <w:r>
        <w:t xml:space="preserve"> LLC</w:t>
      </w:r>
    </w:p>
    <w:p w:rsidR="00A426C4" w:rsidRDefault="00A426C4" w:rsidP="00A426C4">
      <w:pPr>
        <w:pStyle w:val="Bullet"/>
      </w:pPr>
      <w:r>
        <w:t>PPL Renewable Energy</w:t>
      </w:r>
      <w:r w:rsidR="00876A9D">
        <w:t>,</w:t>
      </w:r>
      <w:r>
        <w:t xml:space="preserve"> LLC</w:t>
      </w:r>
    </w:p>
    <w:p w:rsidR="00A426C4" w:rsidRDefault="00A426C4" w:rsidP="00234825">
      <w:pPr>
        <w:pStyle w:val="Bullet"/>
        <w:numPr>
          <w:ilvl w:val="0"/>
          <w:numId w:val="0"/>
        </w:numPr>
        <w:spacing w:before="120" w:after="120"/>
      </w:pPr>
      <w:r>
        <w:t xml:space="preserve">PPL EnergyPlus Retail, LLC was sold to a third party on May 1, 2015.  </w:t>
      </w:r>
    </w:p>
    <w:p w:rsidR="00A426C4" w:rsidRDefault="00A426C4" w:rsidP="00A426C4">
      <w:pPr>
        <w:pStyle w:val="Normal-aftertable"/>
      </w:pPr>
      <w:r>
        <w:t>Because this management audit is forward looking, the eleven affiliates that have been spun off and the one that was sold are no longer within the scope of this audit.</w:t>
      </w:r>
    </w:p>
    <w:p w:rsidR="00A426C4" w:rsidRDefault="00A426C4" w:rsidP="00A426C4">
      <w:proofErr w:type="gramStart"/>
      <w:r w:rsidRPr="002C26F9">
        <w:rPr>
          <w:b/>
        </w:rPr>
        <w:t>Additional Affiliates.</w:t>
      </w:r>
      <w:proofErr w:type="gramEnd"/>
      <w:r>
        <w:t xml:space="preserve">  Further, PPL EU did not identify Louisville Gas and Electric Company (LG&amp;E) and Kentucky Utilities Company (KU) as affiliates.  However, PPL EU has had material transactions in some years with both of these affiliates for mutual aid assistance during storm restoration and both are included as affiliates in this management audit.</w:t>
      </w:r>
    </w:p>
    <w:p w:rsidR="00A426C4" w:rsidRDefault="00A426C4" w:rsidP="00A426C4">
      <w:r>
        <w:t>Additionally, PPL EU did not identify transactions with its subsidiary, CEP Commerce, LLC and its subsidiary, CEP Lending, Inc., as affiliates.  However, CEP Commerce, LLC has material affiliate transactions with PPL EU and CEP Lending, Inc., in turn, has material transactions with CEP Commerce, LLC relevant to PPL EU.  The direct CEP Commerce, LLC and indirect CEP Lending, Inc. affiliate transactions are also included in this management audit.</w:t>
      </w:r>
    </w:p>
    <w:p w:rsidR="00A426C4" w:rsidRDefault="00A426C4">
      <w:pPr>
        <w:rPr>
          <w:rFonts w:cs="Arial"/>
          <w:szCs w:val="24"/>
        </w:rPr>
      </w:pPr>
      <w:proofErr w:type="gramStart"/>
      <w:r>
        <w:rPr>
          <w:b/>
        </w:rPr>
        <w:t>Prior Affiliates.</w:t>
      </w:r>
      <w:proofErr w:type="gramEnd"/>
      <w:r w:rsidRPr="00A92C94">
        <w:t xml:space="preserve">  </w:t>
      </w:r>
      <w:r>
        <w:t xml:space="preserve">PPL Receivables Corporation (PPL Receivables) was a wholly owned subsidiary of PPL EU.  </w:t>
      </w:r>
      <w:r>
        <w:rPr>
          <w:rFonts w:cs="Arial"/>
          <w:szCs w:val="24"/>
        </w:rPr>
        <w:t xml:space="preserve">PPL Receivables </w:t>
      </w:r>
      <w:r>
        <w:t xml:space="preserve">has had material transactions with PPL EU in the past three years.  </w:t>
      </w:r>
      <w:r>
        <w:rPr>
          <w:rFonts w:cs="Arial"/>
          <w:szCs w:val="24"/>
        </w:rPr>
        <w:t xml:space="preserve">PPL Receivables bought PPL EU receivables and unbilled revenue from 2005 through 2015 under a Receivables Sale Agreement.  </w:t>
      </w:r>
      <w:r>
        <w:t>However, the principal relationship between PPL EU and PPL Receivables concluded in January 2015 and PPL EU received approval from the Pennsylvania Public Utility Commission (PUC) to merge PPL Receivables into PPL EU during February 2016.  It is not considered an affiliate in this forward looking management audit.</w:t>
      </w:r>
    </w:p>
    <w:p w:rsidR="00A426C4" w:rsidRDefault="00A426C4" w:rsidP="00A426C4">
      <w:pPr>
        <w:rPr>
          <w:rFonts w:cs="Arial"/>
          <w:szCs w:val="24"/>
        </w:rPr>
      </w:pPr>
      <w:r>
        <w:rPr>
          <w:rFonts w:cs="Arial"/>
          <w:szCs w:val="24"/>
        </w:rPr>
        <w:t>The Receivables Sale Agreement was terminated effective on January 19, 2015</w:t>
      </w:r>
      <w:r w:rsidRPr="00FA25C3">
        <w:rPr>
          <w:rFonts w:cs="Arial"/>
          <w:szCs w:val="24"/>
        </w:rPr>
        <w:t xml:space="preserve"> </w:t>
      </w:r>
      <w:r>
        <w:rPr>
          <w:rFonts w:cs="Arial"/>
          <w:szCs w:val="24"/>
        </w:rPr>
        <w:t xml:space="preserve">and no new receivables sales have been made since.  The only remaining activity is the collections on the receivables purchased previously.  At the peak, approximately $400 million of receivables were purchased.  Approximately $20 million were left at the end of 2015.  </w:t>
      </w:r>
    </w:p>
    <w:p w:rsidR="00A426C4" w:rsidRDefault="00A426C4" w:rsidP="00A426C4">
      <w:proofErr w:type="gramStart"/>
      <w:r>
        <w:rPr>
          <w:rFonts w:cs="Arial"/>
          <w:b/>
          <w:szCs w:val="24"/>
        </w:rPr>
        <w:t>New Affiliate.</w:t>
      </w:r>
      <w:proofErr w:type="gramEnd"/>
      <w:r>
        <w:rPr>
          <w:rFonts w:cs="Arial"/>
          <w:b/>
          <w:szCs w:val="24"/>
        </w:rPr>
        <w:t xml:space="preserve">  </w:t>
      </w:r>
      <w:r>
        <w:rPr>
          <w:rFonts w:cs="Arial"/>
          <w:szCs w:val="24"/>
        </w:rPr>
        <w:t xml:space="preserve">PPL TransLink, Inc. (TransLink) was incorporated in Pennsylvania on December 4, 2015.  </w:t>
      </w:r>
    </w:p>
    <w:p w:rsidR="00A426C4" w:rsidRDefault="00A426C4" w:rsidP="00A426C4">
      <w:pPr>
        <w:rPr>
          <w:rFonts w:cs="Arial"/>
          <w:szCs w:val="24"/>
        </w:rPr>
      </w:pPr>
      <w:r>
        <w:rPr>
          <w:rFonts w:cs="Arial"/>
          <w:szCs w:val="24"/>
        </w:rPr>
        <w:t xml:space="preserve">TransLink has been incorporated as a first tier subsidiary of PPL Corporation.  It will engage in the development and operation of new competitive transmission lines.  There is no approved business plan for </w:t>
      </w:r>
      <w:r>
        <w:t xml:space="preserve">TransLink but it is expected to be a $4 to $6 billion dollar line of business.  </w:t>
      </w:r>
      <w:r>
        <w:rPr>
          <w:rFonts w:cs="Arial"/>
          <w:szCs w:val="24"/>
        </w:rPr>
        <w:t>The 2016 goal is to have ten viable projects in the TransLink business development pipeline.  TransLink is a for-profit venture and is expected to have affiliate transactions with PPL EU.  PPL EU will provide services to TransLink and PPL EU will charge TransLink for the services using the miscellaneous billing system.</w:t>
      </w:r>
    </w:p>
    <w:p w:rsidR="00A426C4" w:rsidRPr="0018688D" w:rsidRDefault="00A426C4" w:rsidP="00A426C4">
      <w:pPr>
        <w:rPr>
          <w:rFonts w:cs="Arial"/>
          <w:szCs w:val="24"/>
        </w:rPr>
      </w:pPr>
      <w:r>
        <w:rPr>
          <w:rFonts w:cs="Arial"/>
          <w:szCs w:val="24"/>
        </w:rPr>
        <w:lastRenderedPageBreak/>
        <w:t>As TransLink is a new PPL EU affiliate with no affiliate transactions prior to 2016, it is not considered an affiliate for the purposes of this management audit, with the exception of its planned governance, which is addressed in Section B, Affiliate Governance.</w:t>
      </w:r>
    </w:p>
    <w:p w:rsidR="00A426C4" w:rsidRDefault="00A426C4" w:rsidP="00A426C4">
      <w:proofErr w:type="gramStart"/>
      <w:r w:rsidRPr="002C26F9">
        <w:rPr>
          <w:b/>
        </w:rPr>
        <w:t>PPL EU Affiliates.</w:t>
      </w:r>
      <w:proofErr w:type="gramEnd"/>
      <w:r>
        <w:t xml:space="preserve">  Following the changes outlined above, the remaining PPL EU affiliates that are covered as part of this management audit review are:</w:t>
      </w:r>
    </w:p>
    <w:p w:rsidR="00A426C4" w:rsidRDefault="00A426C4" w:rsidP="00A426C4">
      <w:pPr>
        <w:pStyle w:val="Bullet"/>
      </w:pPr>
      <w:r>
        <w:t xml:space="preserve">PPL Services Corporation </w:t>
      </w:r>
    </w:p>
    <w:p w:rsidR="00A426C4" w:rsidRDefault="00A426C4" w:rsidP="00A426C4">
      <w:pPr>
        <w:pStyle w:val="Bullet"/>
      </w:pPr>
      <w:r>
        <w:t>PPL EU Services Corporation</w:t>
      </w:r>
    </w:p>
    <w:p w:rsidR="00A426C4" w:rsidRDefault="00A426C4" w:rsidP="00A426C4">
      <w:pPr>
        <w:pStyle w:val="Bullet"/>
      </w:pPr>
      <w:r>
        <w:t>PPLSolutions, LLC</w:t>
      </w:r>
    </w:p>
    <w:p w:rsidR="00A426C4" w:rsidRDefault="00A426C4" w:rsidP="00A426C4">
      <w:pPr>
        <w:pStyle w:val="Bullet"/>
      </w:pPr>
      <w:r>
        <w:t>PPL Infrastructure Services, LLC</w:t>
      </w:r>
    </w:p>
    <w:p w:rsidR="00A426C4" w:rsidRDefault="00A426C4" w:rsidP="00A426C4">
      <w:pPr>
        <w:pStyle w:val="Bullet"/>
      </w:pPr>
      <w:r>
        <w:t>PPL Power Insurance Ltd.</w:t>
      </w:r>
    </w:p>
    <w:p w:rsidR="00A426C4" w:rsidRDefault="00A426C4" w:rsidP="00A426C4">
      <w:pPr>
        <w:pStyle w:val="Bullet"/>
      </w:pPr>
      <w:r>
        <w:t>CEP Commerce, LLC and its subsidiary, CEP Lending, Inc.</w:t>
      </w:r>
    </w:p>
    <w:p w:rsidR="00A426C4" w:rsidRDefault="00A426C4" w:rsidP="00A426C4">
      <w:pPr>
        <w:pStyle w:val="Bullet"/>
      </w:pPr>
      <w:r>
        <w:t>Louisville Gas and Electric Company</w:t>
      </w:r>
    </w:p>
    <w:p w:rsidR="00A426C4" w:rsidRDefault="00A426C4" w:rsidP="00A426C4">
      <w:pPr>
        <w:pStyle w:val="Bullet"/>
      </w:pPr>
      <w:r>
        <w:t>Kentucky Utilities Company</w:t>
      </w:r>
    </w:p>
    <w:p w:rsidR="00A426C4" w:rsidRDefault="00A426C4" w:rsidP="00A426C4">
      <w:pPr>
        <w:pStyle w:val="Bullet"/>
      </w:pPr>
      <w:r>
        <w:t>LG&amp;E and KU Services Company</w:t>
      </w:r>
    </w:p>
    <w:p w:rsidR="00A426C4" w:rsidRDefault="00A426C4" w:rsidP="00A426C4">
      <w:pPr>
        <w:pStyle w:val="Normal-aftertable"/>
      </w:pPr>
      <w:r>
        <w:t>In addition, Section J of this chapter addresses PPL EU indirect affiliate relationships with other PPL Corporation entities.</w:t>
      </w:r>
    </w:p>
    <w:p w:rsidR="00A426C4" w:rsidRDefault="00A426C4" w:rsidP="00A426C4">
      <w:pPr>
        <w:pStyle w:val="Heading40"/>
      </w:pPr>
      <w:r>
        <w:t>Legal Entity Affiliate Organization Structure</w:t>
      </w:r>
    </w:p>
    <w:p w:rsidR="00A426C4" w:rsidRDefault="00A426C4" w:rsidP="00A426C4">
      <w:r>
        <w:t>PPL Corporation is the holding company for all PPL Corporation subsidiaries.  The following exhibit shows the PPL Corporation legal entity structure and its major operating subsidiaries.</w:t>
      </w:r>
    </w:p>
    <w:p w:rsidR="00A426C4" w:rsidRDefault="00356110" w:rsidP="00356110">
      <w:pPr>
        <w:pStyle w:val="Caption"/>
      </w:pPr>
      <w:bookmarkStart w:id="45" w:name="_Toc464552944"/>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D10053">
        <w:br/>
      </w:r>
      <w:r w:rsidR="00A426C4">
        <w:t>PPL Corporation Legal Entity Structure</w:t>
      </w:r>
      <w:bookmarkEnd w:id="45"/>
    </w:p>
    <w:p w:rsidR="00A426C4" w:rsidRDefault="00A426C4" w:rsidP="00A426C4">
      <w:r>
        <w:rPr>
          <w:noProof/>
        </w:rPr>
        <w:drawing>
          <wp:inline distT="0" distB="0" distL="0" distR="0">
            <wp:extent cx="5943600" cy="3133346"/>
            <wp:effectExtent l="0" t="0" r="0" b="0"/>
            <wp:docPr id="20" name="Picture 20" descr="C:\Users\Dave\Documents\Dave - Portable\PAPUC PPL\Report\Affiliate Relationships\PPL-Corp_13102_Principal-Subsidiaries_page1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e\Documents\Dave - Portable\PAPUC PPL\Report\Affiliate Relationships\PPL-Corp_13102_Principal-Subsidiaries_page1_v2.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133346"/>
                    </a:xfrm>
                    <a:prstGeom prst="rect">
                      <a:avLst/>
                    </a:prstGeom>
                    <a:noFill/>
                    <a:ln>
                      <a:noFill/>
                    </a:ln>
                  </pic:spPr>
                </pic:pic>
              </a:graphicData>
            </a:graphic>
          </wp:inline>
        </w:drawing>
      </w:r>
    </w:p>
    <w:p w:rsidR="00A426C4" w:rsidRDefault="00A426C4" w:rsidP="00A426C4">
      <w:r>
        <w:t>Source: DN 13-102</w:t>
      </w:r>
    </w:p>
    <w:p w:rsidR="00A426C4" w:rsidRDefault="00A426C4" w:rsidP="00A426C4">
      <w:r>
        <w:lastRenderedPageBreak/>
        <w:t xml:space="preserve">With regard to affiliate relationships, PPL EU is a first tier subsidiary (owned directly by PPL Corporation) as are its affiliates PPL Services Corporation, PPL EU Services Corporation, and PPL Power Insurance Ltd.  PPL Energy Funding Corporation is a first tier sub-holding company that directly owns PPL EU affiliates PPLSolutions, LLC and PPL Infrastructure Services, LLC.  LG&amp;E and KU Energy LLC (LKE) </w:t>
      </w:r>
      <w:proofErr w:type="gramStart"/>
      <w:r>
        <w:t>is</w:t>
      </w:r>
      <w:proofErr w:type="gramEnd"/>
      <w:r>
        <w:t xml:space="preserve"> a first tier sub-holding company that owns Louisville Gas and Electric Company, Kentucky Utilities Company, and LG&amp;E and KU Services Company.  CEP Commerce, LLC is a subsidiary of PPL EU.  CEP Lending, Inc. is a wholly owned subsidiary of CEP Commerce, LLC.</w:t>
      </w:r>
    </w:p>
    <w:p w:rsidR="00A426C4" w:rsidRDefault="00A426C4" w:rsidP="00A426C4">
      <w:r>
        <w:t xml:space="preserve">PPL Corporation’s four regulated utility </w:t>
      </w:r>
      <w:r w:rsidR="00876A9D">
        <w:t>WPD Midlands</w:t>
      </w:r>
      <w:r>
        <w:t xml:space="preserve"> enterprises in the United Kingdom (UK) are subsidiaries of a series of sub-holding companies under PPL Global LLC.  </w:t>
      </w:r>
    </w:p>
    <w:p w:rsidR="00A426C4" w:rsidRDefault="00A426C4" w:rsidP="00A426C4">
      <w:r>
        <w:t>Each of the current PPL EU affiliate relationships with material transactions is described in a separate section below.</w:t>
      </w:r>
    </w:p>
    <w:p w:rsidR="00A426C4" w:rsidRDefault="00A426C4" w:rsidP="00A426C4">
      <w:pPr>
        <w:pStyle w:val="Heading40"/>
      </w:pPr>
      <w:r w:rsidRPr="00A661FE">
        <w:t>PPL Services Corporation</w:t>
      </w:r>
    </w:p>
    <w:p w:rsidR="00A426C4" w:rsidRDefault="00A426C4" w:rsidP="00A426C4">
      <w:r>
        <w:t xml:space="preserve">PPL Services Corporation (PPL SC) is one of three PPL Corporation legal entity service companies (centralized services companies each serving multiple affiliated companies).  The other two are the LG&amp;E and KU Services Company (LKE SC) and PPL EU Services Corporation (PPL EUS).  PPL SC primarily serves Pennsylvania based entities including PPL </w:t>
      </w:r>
      <w:proofErr w:type="gramStart"/>
      <w:r>
        <w:t>Corporation,</w:t>
      </w:r>
      <w:proofErr w:type="gramEnd"/>
      <w:r>
        <w:t xml:space="preserve"> PPL Corporation Pennsylvania headquartered subsidiaries, PPL Global, and PPL EU</w:t>
      </w:r>
      <w:r w:rsidR="00876A9D">
        <w:t>, as well as LKE</w:t>
      </w:r>
      <w:r>
        <w:t xml:space="preserve">.  LKE SC serves the Kentucky operations, and PPL EUS primarily serves PPL EU.  In addition, there is a centralized support services organization in the UK for the </w:t>
      </w:r>
      <w:r w:rsidR="00876A9D">
        <w:t>WPD Midlands</w:t>
      </w:r>
      <w:r>
        <w:t xml:space="preserve"> operations.  </w:t>
      </w:r>
    </w:p>
    <w:p w:rsidR="00A426C4" w:rsidRPr="00272ED2" w:rsidRDefault="00A426C4" w:rsidP="00A426C4">
      <w:r>
        <w:rPr>
          <w:rFonts w:eastAsia="Calibri"/>
        </w:rPr>
        <w:t>PPL SC was</w:t>
      </w:r>
      <w:r w:rsidRPr="00505B67">
        <w:rPr>
          <w:rFonts w:eastAsia="Calibri"/>
        </w:rPr>
        <w:t xml:space="preserve"> formed on July 1, 2000 as the result of </w:t>
      </w:r>
      <w:r>
        <w:rPr>
          <w:rFonts w:eastAsia="Calibri"/>
        </w:rPr>
        <w:t xml:space="preserve">a PPL Corporation realignment, which occurred before the acquisition of the LKE and </w:t>
      </w:r>
      <w:r w:rsidR="00876A9D">
        <w:rPr>
          <w:rFonts w:eastAsia="Calibri"/>
        </w:rPr>
        <w:t>WPD Midlands</w:t>
      </w:r>
      <w:r>
        <w:rPr>
          <w:rFonts w:eastAsia="Calibri"/>
        </w:rPr>
        <w:t xml:space="preserve"> entities in the UK.</w:t>
      </w:r>
      <w:r w:rsidRPr="00505B67">
        <w:rPr>
          <w:rFonts w:eastAsia="Calibri"/>
        </w:rPr>
        <w:t xml:space="preserve">  </w:t>
      </w:r>
    </w:p>
    <w:p w:rsidR="00A426C4" w:rsidRDefault="00A426C4" w:rsidP="00A426C4">
      <w:r>
        <w:t>PPL SC is composed of four departments reporting to the Chairman, President, and Chief Executive Officer (CEO) of PPL SC</w:t>
      </w:r>
      <w:r w:rsidRPr="00505B67">
        <w:t>:</w:t>
      </w:r>
    </w:p>
    <w:p w:rsidR="00A426C4" w:rsidRDefault="00A426C4" w:rsidP="00A426C4">
      <w:pPr>
        <w:pStyle w:val="Bullet"/>
      </w:pPr>
      <w:r>
        <w:t>Corporate Audit and Business Ethics</w:t>
      </w:r>
    </w:p>
    <w:p w:rsidR="00A426C4" w:rsidRDefault="00A426C4" w:rsidP="00A426C4">
      <w:pPr>
        <w:pStyle w:val="Bullet"/>
      </w:pPr>
      <w:r>
        <w:t>Financial</w:t>
      </w:r>
    </w:p>
    <w:p w:rsidR="00A426C4" w:rsidRDefault="00A426C4" w:rsidP="00A426C4">
      <w:pPr>
        <w:pStyle w:val="Bullet"/>
      </w:pPr>
      <w:r>
        <w:t>Human Resources</w:t>
      </w:r>
    </w:p>
    <w:p w:rsidR="00A426C4" w:rsidRDefault="00A426C4" w:rsidP="00A426C4">
      <w:pPr>
        <w:pStyle w:val="Bullet"/>
      </w:pPr>
      <w:r>
        <w:t>Office of General Counsel</w:t>
      </w:r>
    </w:p>
    <w:p w:rsidR="00A426C4" w:rsidRDefault="00A426C4" w:rsidP="00A426C4">
      <w:pPr>
        <w:pStyle w:val="Normal-aftertable"/>
      </w:pPr>
      <w:r>
        <w:t xml:space="preserve">Further, there is an Information Technology department made up of PPL SC employees.  However, the Chief Information Officer is an LKE SC employee who reports directly to the Chief Financial Officer of LKE SC rather than the PPL SC CEO.  This function is included under the PPL SC report section because its employees are PPL SC employees. </w:t>
      </w:r>
    </w:p>
    <w:p w:rsidR="00A426C4" w:rsidRDefault="00A426C4" w:rsidP="00A426C4">
      <w:r>
        <w:t xml:space="preserve">Each of the PPL SC departments </w:t>
      </w:r>
      <w:proofErr w:type="gramStart"/>
      <w:r>
        <w:t>are</w:t>
      </w:r>
      <w:proofErr w:type="gramEnd"/>
      <w:r>
        <w:t xml:space="preserve"> briefly described below.</w:t>
      </w:r>
    </w:p>
    <w:p w:rsidR="00A426C4" w:rsidRDefault="00A426C4" w:rsidP="00A426C4">
      <w:proofErr w:type="gramStart"/>
      <w:r w:rsidRPr="00113992">
        <w:rPr>
          <w:b/>
        </w:rPr>
        <w:t>Corporate Audit and Business Ethics.</w:t>
      </w:r>
      <w:proofErr w:type="gramEnd"/>
      <w:r>
        <w:rPr>
          <w:b/>
        </w:rPr>
        <w:t xml:space="preserve">  </w:t>
      </w:r>
      <w:r>
        <w:t>This unit p</w:t>
      </w:r>
      <w:r w:rsidRPr="00505B67">
        <w:t>rovides assessments, consultative services, and i</w:t>
      </w:r>
      <w:r>
        <w:t xml:space="preserve">nvestigations.  This unit has primary responsibility for performing audit-related work and investigations for PPL Corporation’s Pennsylvania-based operations.  To provide independence, the heads of internal audit in Kentucky and the UK) have a dual-reporting relationship to the Corporate Audit and Business Ethics Vice President </w:t>
      </w:r>
      <w:r>
        <w:lastRenderedPageBreak/>
        <w:t xml:space="preserve">and to their respective Company’s CEO.  The Kentucky and UK internal auditors report directly to the heads of internal audit in Kentucky and </w:t>
      </w:r>
      <w:r w:rsidR="00876A9D">
        <w:t xml:space="preserve">the </w:t>
      </w:r>
      <w:r>
        <w:t>UK</w:t>
      </w:r>
      <w:r w:rsidR="00876A9D">
        <w:t>,</w:t>
      </w:r>
      <w:r>
        <w:t xml:space="preserve"> respectively. </w:t>
      </w:r>
    </w:p>
    <w:p w:rsidR="00A426C4" w:rsidRDefault="00A426C4" w:rsidP="00A426C4">
      <w:proofErr w:type="gramStart"/>
      <w:r w:rsidRPr="00113992">
        <w:rPr>
          <w:b/>
        </w:rPr>
        <w:t>Financial.</w:t>
      </w:r>
      <w:proofErr w:type="gramEnd"/>
      <w:r>
        <w:rPr>
          <w:b/>
        </w:rPr>
        <w:t xml:space="preserve">  </w:t>
      </w:r>
      <w:r>
        <w:t>This unit p</w:t>
      </w:r>
      <w:r w:rsidRPr="00505B67">
        <w:t>rovides corporate accounting, tax, financing, financial planning, receipts and disbursements</w:t>
      </w:r>
      <w:r>
        <w:t>,</w:t>
      </w:r>
      <w:r w:rsidRPr="00505B67">
        <w:t xml:space="preserve"> and pension plan services as well as risk management oversight and credit and</w:t>
      </w:r>
      <w:r>
        <w:t xml:space="preserve"> insurance services. Additional information is provided in Chapter V, Finance and Accounting.</w:t>
      </w:r>
    </w:p>
    <w:p w:rsidR="00A426C4" w:rsidRDefault="00A426C4" w:rsidP="00A426C4">
      <w:proofErr w:type="gramStart"/>
      <w:r w:rsidRPr="00113992">
        <w:rPr>
          <w:b/>
        </w:rPr>
        <w:t>Human Resources.</w:t>
      </w:r>
      <w:proofErr w:type="gramEnd"/>
      <w:r>
        <w:rPr>
          <w:b/>
        </w:rPr>
        <w:t xml:space="preserve">  </w:t>
      </w:r>
      <w:r>
        <w:t>This Human Resources (HR) group provides</w:t>
      </w:r>
      <w:r w:rsidRPr="00505B67">
        <w:t xml:space="preserve"> corporate human resource functions, including succession planning, talent development, recruiting, executive compensation, performance management, strategic workforce planning, employee and labor relations, compensation and benefit administration, diversity initiatives, corporate security, emergency managem</w:t>
      </w:r>
      <w:r>
        <w:t>ent, and HR systems</w:t>
      </w:r>
      <w:r w:rsidR="00876A9D">
        <w:t xml:space="preserve">. </w:t>
      </w:r>
      <w:r>
        <w:t xml:space="preserve"> Additional information is provided in Chapter XII, Human Resources.</w:t>
      </w:r>
    </w:p>
    <w:p w:rsidR="00A426C4" w:rsidRDefault="00A426C4" w:rsidP="00A426C4">
      <w:proofErr w:type="gramStart"/>
      <w:r>
        <w:rPr>
          <w:b/>
        </w:rPr>
        <w:t>Office of General Counsel.</w:t>
      </w:r>
      <w:proofErr w:type="gramEnd"/>
      <w:r>
        <w:rPr>
          <w:b/>
        </w:rPr>
        <w:t xml:space="preserve">  </w:t>
      </w:r>
      <w:r>
        <w:t>This group provides services for PPL Corporation and its subsidiaries regarding</w:t>
      </w:r>
      <w:r w:rsidRPr="00750950">
        <w:t xml:space="preserve"> </w:t>
      </w:r>
      <w:r>
        <w:t>all legal and corporate secretary matters, including areas such as corporate governance, securities, financing, corporate compliance, environmental matters, litigation, mergers and acquisitions, contracts, benefits, employee and labor law, regulated utility matters, trademarks, and cybersecurity issues.  The group also manages outside counsel retained for any matter.</w:t>
      </w:r>
    </w:p>
    <w:p w:rsidR="00A426C4" w:rsidRDefault="00A426C4" w:rsidP="00A426C4">
      <w:pPr>
        <w:rPr>
          <w:rFonts w:cs="Arial"/>
          <w:szCs w:val="24"/>
        </w:rPr>
      </w:pPr>
      <w:r>
        <w:rPr>
          <w:rFonts w:cs="Arial"/>
          <w:szCs w:val="24"/>
        </w:rPr>
        <w:t>There is an Associate General Counsel and two attorneys who serve as the PPL EU regulatory legal staff.  Their principal PPL EU and PPL EUS clients are:</w:t>
      </w:r>
    </w:p>
    <w:p w:rsidR="00A426C4" w:rsidRPr="008F648F" w:rsidRDefault="00A426C4" w:rsidP="00A426C4">
      <w:pPr>
        <w:pStyle w:val="Bullet"/>
      </w:pPr>
      <w:r w:rsidRPr="008F648F">
        <w:t>PPL EUS Regulatory group for PUC matters</w:t>
      </w:r>
    </w:p>
    <w:p w:rsidR="00A426C4" w:rsidRPr="008F648F" w:rsidRDefault="00A426C4" w:rsidP="00A426C4">
      <w:pPr>
        <w:pStyle w:val="Bullet"/>
      </w:pPr>
      <w:r w:rsidRPr="008F648F">
        <w:t>PPL EU Energy Efficiency and Conservation (Act 129) group</w:t>
      </w:r>
    </w:p>
    <w:p w:rsidR="00A426C4" w:rsidRPr="008F648F" w:rsidRDefault="00A426C4" w:rsidP="00A426C4">
      <w:pPr>
        <w:pStyle w:val="Bullet"/>
      </w:pPr>
      <w:r w:rsidRPr="008F648F">
        <w:t>PPL EU Transmission group for FERC matters</w:t>
      </w:r>
    </w:p>
    <w:p w:rsidR="00A426C4" w:rsidRDefault="00A426C4" w:rsidP="00A426C4">
      <w:pPr>
        <w:pStyle w:val="Normal-aftertable"/>
      </w:pPr>
      <w:r>
        <w:t>This group utilizes outside counsel as well.</w:t>
      </w:r>
    </w:p>
    <w:p w:rsidR="00A426C4" w:rsidRDefault="00A426C4" w:rsidP="00A426C4">
      <w:proofErr w:type="gramStart"/>
      <w:r w:rsidRPr="00113992">
        <w:rPr>
          <w:b/>
        </w:rPr>
        <w:t>Information Technology</w:t>
      </w:r>
      <w:r>
        <w:t>.</w:t>
      </w:r>
      <w:proofErr w:type="gramEnd"/>
      <w:r>
        <w:t xml:space="preserve">  There is also a large Information Technology (IT) function in PPL SC.  However, it is not shown on the organization chart because the Chief Information Officer (CIO) reports only indirectly to the PPL EU President rather than the PPL SC CEO.  He is an LKE SC employee and reports directly to the LKE SC CFO.  The Pennsylvania IT staff members are all PPL SC employees and IT is effectively another PPL SC unit for affiliate relations purposes.  IT provides information t</w:t>
      </w:r>
      <w:r w:rsidRPr="00505B67">
        <w:t>echnology, computer hardware and software, and telecommu</w:t>
      </w:r>
      <w:r>
        <w:t>nications support to PPL EU.</w:t>
      </w:r>
    </w:p>
    <w:p w:rsidR="00A426C4" w:rsidRPr="001E505C" w:rsidRDefault="00A426C4" w:rsidP="00A426C4">
      <w:pPr>
        <w:spacing w:after="200"/>
        <w:rPr>
          <w:rFonts w:cs="Arial"/>
          <w:color w:val="000000"/>
        </w:rPr>
      </w:pPr>
      <w:r>
        <w:rPr>
          <w:rFonts w:cs="Arial"/>
          <w:color w:val="000000"/>
        </w:rPr>
        <w:t>There is a LKE Services which essentially is dedicated to LKE.  The CIO manages both the Pennsylvania and Kentucky IT organizations.   For additional information, see Chapter XI, Information Technology and Systems.</w:t>
      </w:r>
    </w:p>
    <w:p w:rsidR="00A426C4" w:rsidRDefault="00A426C4" w:rsidP="00A426C4">
      <w:pPr>
        <w:pStyle w:val="Heading40"/>
      </w:pPr>
      <w:r>
        <w:t>PPL EU Services Corporation</w:t>
      </w:r>
    </w:p>
    <w:p w:rsidR="00A426C4" w:rsidRDefault="00A426C4" w:rsidP="00A426C4">
      <w:r w:rsidRPr="00505B67">
        <w:t xml:space="preserve">On October 1, 2014, in preparation </w:t>
      </w:r>
      <w:r w:rsidR="00876A9D">
        <w:t>to</w:t>
      </w:r>
      <w:r w:rsidR="00876A9D" w:rsidRPr="00505B67">
        <w:t xml:space="preserve"> </w:t>
      </w:r>
      <w:r w:rsidRPr="00505B67">
        <w:t xml:space="preserve">spin off PPL Corporation’s </w:t>
      </w:r>
      <w:r>
        <w:t>competitive generation</w:t>
      </w:r>
      <w:r w:rsidRPr="00505B67">
        <w:t xml:space="preserve"> business in 2015</w:t>
      </w:r>
      <w:r>
        <w:t xml:space="preserve"> to form Talen</w:t>
      </w:r>
      <w:r w:rsidRPr="00505B67">
        <w:t xml:space="preserve"> and realigning certain support group functi</w:t>
      </w:r>
      <w:r>
        <w:t>ons closely tied to PPL EU</w:t>
      </w:r>
      <w:r w:rsidRPr="00505B67">
        <w:t>, PPL EU Ser</w:t>
      </w:r>
      <w:r>
        <w:t>vices Corporation (PPL EUS) was formed.  PPL EUS</w:t>
      </w:r>
      <w:r w:rsidRPr="00505B67">
        <w:t>, which be</w:t>
      </w:r>
      <w:r>
        <w:t>gan operating on</w:t>
      </w:r>
      <w:r w:rsidRPr="00505B67">
        <w:t xml:space="preserve"> January 1, 2015, provides various administrative and general services primarily</w:t>
      </w:r>
      <w:r>
        <w:t xml:space="preserve"> for the benefit of PPL EU</w:t>
      </w:r>
      <w:r w:rsidRPr="00505B67">
        <w:t xml:space="preserve">.    </w:t>
      </w:r>
    </w:p>
    <w:p w:rsidR="00A426C4" w:rsidRPr="00E12F46" w:rsidRDefault="00A426C4" w:rsidP="00A426C4">
      <w:pPr>
        <w:rPr>
          <w:rFonts w:cs="Arial"/>
          <w:color w:val="000000"/>
          <w:spacing w:val="-1"/>
          <w:szCs w:val="24"/>
        </w:rPr>
      </w:pPr>
      <w:r>
        <w:lastRenderedPageBreak/>
        <w:t>According to PPL EU, PPL EUS,</w:t>
      </w:r>
      <w:r w:rsidRPr="00505B67">
        <w:t xml:space="preserve"> </w:t>
      </w:r>
      <w:r>
        <w:t>“</w:t>
      </w:r>
      <w:r w:rsidRPr="00505B67">
        <w:t>was created to help PPL Electric more readily identify and control support costs</w:t>
      </w:r>
      <w:r>
        <w:t>.”  PPL EUS</w:t>
      </w:r>
      <w:r w:rsidRPr="005B080F">
        <w:t xml:space="preserve"> exists to treat PPL Electric Transmission and PPL Electric Distributi</w:t>
      </w:r>
      <w:r>
        <w:t>on as separate departments</w:t>
      </w:r>
      <w:r w:rsidRPr="005B080F">
        <w:t>.</w:t>
      </w:r>
      <w:r>
        <w:t xml:space="preserve">  </w:t>
      </w:r>
      <w:r w:rsidRPr="00E12F46">
        <w:rPr>
          <w:rFonts w:cs="Arial"/>
          <w:color w:val="000000"/>
          <w:spacing w:val="-1"/>
          <w:szCs w:val="24"/>
        </w:rPr>
        <w:t xml:space="preserve">Separating the support functions into a services company </w:t>
      </w:r>
      <w:r w:rsidRPr="00E12F46">
        <w:rPr>
          <w:rFonts w:cs="Arial"/>
          <w:color w:val="000000"/>
          <w:szCs w:val="24"/>
        </w:rPr>
        <w:t xml:space="preserve">provides transparency of costs for regulatory filings, and </w:t>
      </w:r>
      <w:r w:rsidRPr="00E12F46">
        <w:rPr>
          <w:rFonts w:cs="Arial"/>
          <w:color w:val="000000"/>
          <w:spacing w:val="-6"/>
          <w:szCs w:val="24"/>
        </w:rPr>
        <w:t xml:space="preserve">simplifies the process for charging of support provided to other </w:t>
      </w:r>
      <w:r w:rsidRPr="00E12F46">
        <w:rPr>
          <w:rFonts w:cs="Arial"/>
          <w:color w:val="000000"/>
          <w:spacing w:val="-3"/>
          <w:szCs w:val="24"/>
        </w:rPr>
        <w:t xml:space="preserve">affiliates and Talen during the transition period. </w:t>
      </w:r>
      <w:r>
        <w:rPr>
          <w:rFonts w:cs="Arial"/>
          <w:color w:val="000000"/>
          <w:spacing w:val="-3"/>
          <w:szCs w:val="24"/>
        </w:rPr>
        <w:t xml:space="preserve"> PPL EUS</w:t>
      </w:r>
      <w:r w:rsidRPr="00E12F46">
        <w:rPr>
          <w:rFonts w:cs="Arial"/>
          <w:color w:val="000000"/>
          <w:spacing w:val="-5"/>
          <w:szCs w:val="24"/>
        </w:rPr>
        <w:t xml:space="preserve"> is a separate legal entity, but it has the same </w:t>
      </w:r>
      <w:r w:rsidRPr="00E12F46">
        <w:rPr>
          <w:rFonts w:cs="Arial"/>
          <w:color w:val="000000"/>
          <w:spacing w:val="-2"/>
          <w:szCs w:val="24"/>
        </w:rPr>
        <w:t>officers and directors as PPL EU.</w:t>
      </w:r>
    </w:p>
    <w:p w:rsidR="00A426C4" w:rsidRDefault="00A426C4" w:rsidP="00A426C4">
      <w:r>
        <w:t>PPL EU further states that, “Similar to PPL SC, PPL EUS</w:t>
      </w:r>
      <w:r w:rsidRPr="00505B67">
        <w:t xml:space="preserve"> provides direct and indirect support; however the volume of indirect support is much </w:t>
      </w:r>
      <w:r w:rsidRPr="004813BA">
        <w:t>lower.  Indirect</w:t>
      </w:r>
      <w:r>
        <w:t xml:space="preserve"> costs allocated to PPL EU</w:t>
      </w:r>
      <w:r w:rsidRPr="004813BA">
        <w:t xml:space="preserve"> and other PPL Corporation affiliates are</w:t>
      </w:r>
      <w:r w:rsidRPr="00505B67">
        <w:t xml:space="preserve"> limited </w:t>
      </w:r>
      <w:r>
        <w:t>to costs received by PPL EUS from PPL SC, PPL EUS to PPL EU</w:t>
      </w:r>
      <w:r w:rsidRPr="00505B67">
        <w:t xml:space="preserve"> support costs, rents</w:t>
      </w:r>
      <w:r>
        <w:t xml:space="preserve">, </w:t>
      </w:r>
      <w:r w:rsidRPr="00505B67">
        <w:t>and miscellaneous costs that cannot be directly attributed to a specific service or product.  Allocation of</w:t>
      </w:r>
      <w:r>
        <w:t xml:space="preserve"> indirect support is based on a multi-factor allocation</w:t>
      </w:r>
      <w:r w:rsidRPr="00505B67">
        <w:t>.</w:t>
      </w:r>
      <w:r>
        <w:t>”  The multi-factor allocation is covered in Section F: Pricing of Affiliate Transactions.  The PPL EUS Supply Chain and Facilities Management units regularly serve PPL Corporation subsidiaries other than PPL EU.</w:t>
      </w:r>
      <w:r w:rsidRPr="00505B67">
        <w:t xml:space="preserve"> </w:t>
      </w:r>
    </w:p>
    <w:p w:rsidR="00A426C4" w:rsidRDefault="00A426C4" w:rsidP="00A426C4">
      <w:proofErr w:type="gramStart"/>
      <w:r w:rsidRPr="00A426C4">
        <w:rPr>
          <w:b/>
        </w:rPr>
        <w:t>Organization Structure.</w:t>
      </w:r>
      <w:proofErr w:type="gramEnd"/>
      <w:r>
        <w:t xml:space="preserve">  </w:t>
      </w:r>
      <w:r w:rsidRPr="00501075">
        <w:t>PPL EUS is composed of several departments, each reporting to the PPL EU</w:t>
      </w:r>
      <w:r w:rsidR="005C402E">
        <w:t xml:space="preserve"> and PPL EUS</w:t>
      </w:r>
      <w:r w:rsidR="00410128">
        <w:t xml:space="preserve"> </w:t>
      </w:r>
      <w:r w:rsidRPr="00501075">
        <w:t>President.  The departments are:</w:t>
      </w:r>
    </w:p>
    <w:p w:rsidR="00A426C4" w:rsidRDefault="00A426C4" w:rsidP="00A426C4">
      <w:pPr>
        <w:pStyle w:val="Bullet"/>
      </w:pPr>
      <w:r>
        <w:t>Finance and Regulatory Affairs including Facilities Management</w:t>
      </w:r>
    </w:p>
    <w:p w:rsidR="00A426C4" w:rsidRDefault="00A426C4" w:rsidP="00A426C4">
      <w:pPr>
        <w:pStyle w:val="Bullet"/>
      </w:pPr>
      <w:r>
        <w:t>Communications</w:t>
      </w:r>
    </w:p>
    <w:p w:rsidR="00A426C4" w:rsidRDefault="00A426C4" w:rsidP="00A426C4">
      <w:pPr>
        <w:pStyle w:val="Bullet"/>
      </w:pPr>
      <w:r>
        <w:t>Human Resources</w:t>
      </w:r>
    </w:p>
    <w:p w:rsidR="00A426C4" w:rsidRDefault="00A426C4" w:rsidP="00A426C4">
      <w:pPr>
        <w:pStyle w:val="Bullet"/>
      </w:pPr>
      <w:r>
        <w:t>Supply Chain</w:t>
      </w:r>
    </w:p>
    <w:p w:rsidR="00A426C4" w:rsidRDefault="00A426C4" w:rsidP="00A426C4">
      <w:pPr>
        <w:pStyle w:val="Normal-aftertable"/>
      </w:pPr>
      <w:r>
        <w:t>Facilities Management is part of the Finance and Regulatory Affairs group.  Because of its importance to affiliate relationships, it is treated as a separate organizational unit in this section.</w:t>
      </w:r>
    </w:p>
    <w:p w:rsidR="00A426C4" w:rsidRDefault="00A426C4" w:rsidP="00A426C4">
      <w:pPr>
        <w:rPr>
          <w:b/>
        </w:rPr>
      </w:pPr>
      <w:r w:rsidRPr="00501075">
        <w:t>Supply Chain and Facilities</w:t>
      </w:r>
      <w:r>
        <w:t xml:space="preserve"> Management</w:t>
      </w:r>
      <w:r w:rsidRPr="00501075">
        <w:t xml:space="preserve"> were moved</w:t>
      </w:r>
      <w:r>
        <w:t xml:space="preserve"> in whole from PPL SC</w:t>
      </w:r>
      <w:r w:rsidRPr="00501075">
        <w:t xml:space="preserve"> to </w:t>
      </w:r>
      <w:r>
        <w:t xml:space="preserve">PPL </w:t>
      </w:r>
      <w:r w:rsidRPr="00501075">
        <w:t>EUS</w:t>
      </w:r>
      <w:r>
        <w:t xml:space="preserve"> and </w:t>
      </w:r>
      <w:r w:rsidRPr="00501075">
        <w:t xml:space="preserve">PPL EU </w:t>
      </w:r>
      <w:r>
        <w:t>Regulatory Affairs</w:t>
      </w:r>
      <w:r w:rsidRPr="00501075">
        <w:t xml:space="preserve"> was moved</w:t>
      </w:r>
      <w:r>
        <w:t xml:space="preserve"> in whole from PPL EU</w:t>
      </w:r>
      <w:r w:rsidRPr="00501075">
        <w:t xml:space="preserve"> to </w:t>
      </w:r>
      <w:r>
        <w:t xml:space="preserve">PPL </w:t>
      </w:r>
      <w:r w:rsidRPr="00501075">
        <w:t xml:space="preserve">EUS.  </w:t>
      </w:r>
      <w:r>
        <w:t xml:space="preserve">Only parts of PPL SC Finance, Communications, and HR </w:t>
      </w:r>
      <w:r w:rsidRPr="00501075">
        <w:t xml:space="preserve">were moved </w:t>
      </w:r>
      <w:r>
        <w:t>in</w:t>
      </w:r>
      <w:r w:rsidRPr="00501075">
        <w:t xml:space="preserve">to EUS.  No parts of </w:t>
      </w:r>
      <w:r>
        <w:t>l</w:t>
      </w:r>
      <w:r w:rsidRPr="00501075">
        <w:t xml:space="preserve">egal or </w:t>
      </w:r>
      <w:r>
        <w:t>a</w:t>
      </w:r>
      <w:r w:rsidRPr="00501075">
        <w:t xml:space="preserve">udit were moved to </w:t>
      </w:r>
      <w:r>
        <w:t xml:space="preserve">PPL </w:t>
      </w:r>
      <w:r w:rsidRPr="00501075">
        <w:t>EUS</w:t>
      </w:r>
      <w:r w:rsidRPr="00501075">
        <w:rPr>
          <w:b/>
        </w:rPr>
        <w:t>.</w:t>
      </w:r>
    </w:p>
    <w:p w:rsidR="00A426C4" w:rsidRPr="00505B67" w:rsidRDefault="00A426C4" w:rsidP="00A426C4">
      <w:r>
        <w:t>Each PPL EUS department and Facilities Management is briefly described below.</w:t>
      </w:r>
    </w:p>
    <w:p w:rsidR="00A426C4" w:rsidRDefault="00A426C4" w:rsidP="00A426C4">
      <w:proofErr w:type="gramStart"/>
      <w:r>
        <w:rPr>
          <w:b/>
        </w:rPr>
        <w:t>Finance and</w:t>
      </w:r>
      <w:r w:rsidRPr="004813BA">
        <w:rPr>
          <w:b/>
        </w:rPr>
        <w:t xml:space="preserve"> Regulatory Affairs</w:t>
      </w:r>
      <w:r>
        <w:t>.</w:t>
      </w:r>
      <w:proofErr w:type="gramEnd"/>
      <w:r w:rsidRPr="00505B67">
        <w:t xml:space="preserve"> </w:t>
      </w:r>
      <w:r>
        <w:t>The PPL EUS Finance and Regulatory Affairs department supports PPL EU</w:t>
      </w:r>
      <w:r w:rsidRPr="00505B67">
        <w:t xml:space="preserve"> by performing financial budgeting, planning</w:t>
      </w:r>
      <w:r>
        <w:t>,</w:t>
      </w:r>
      <w:r w:rsidRPr="00505B67">
        <w:t xml:space="preserve"> and analysis functions; performing regulatory accounting and reporting; performing regulatory functions in support of rate design and management and maintaining regulatory relationships; and </w:t>
      </w:r>
      <w:r>
        <w:t xml:space="preserve">performing </w:t>
      </w:r>
      <w:r w:rsidRPr="00505B67">
        <w:t>load analysis to help support revenue and metering activ</w:t>
      </w:r>
      <w:r>
        <w:t>ities.  Support is provided primari</w:t>
      </w:r>
      <w:r w:rsidRPr="00505B67">
        <w:t>ly for the benefit of PPL E</w:t>
      </w:r>
      <w:r>
        <w:t>U</w:t>
      </w:r>
      <w:r w:rsidRPr="00505B67">
        <w:t>’s Distribution and Transmission business units.   Support for other affilia</w:t>
      </w:r>
      <w:r>
        <w:t>tes can</w:t>
      </w:r>
      <w:r w:rsidRPr="00505B67">
        <w:t xml:space="preserve"> be perform</w:t>
      </w:r>
      <w:r>
        <w:t>ed on an exception basis.</w:t>
      </w:r>
    </w:p>
    <w:p w:rsidR="00A426C4" w:rsidRDefault="00A426C4" w:rsidP="00A426C4">
      <w:proofErr w:type="gramStart"/>
      <w:r w:rsidRPr="004813BA">
        <w:rPr>
          <w:b/>
        </w:rPr>
        <w:t>Facilities Management.</w:t>
      </w:r>
      <w:proofErr w:type="gramEnd"/>
      <w:r>
        <w:t xml:space="preserve">  M</w:t>
      </w:r>
      <w:r w:rsidRPr="00505B67">
        <w:t>aintains all PPL Corporation</w:t>
      </w:r>
      <w:r>
        <w:t xml:space="preserve"> Pennsylvania</w:t>
      </w:r>
      <w:r w:rsidRPr="00505B67">
        <w:t xml:space="preserve"> physical facilities</w:t>
      </w:r>
      <w:r>
        <w:t xml:space="preserve"> (</w:t>
      </w:r>
      <w:r w:rsidRPr="00E12F46">
        <w:rPr>
          <w:rFonts w:cs="Arial"/>
          <w:color w:val="000000"/>
          <w:spacing w:val="-1"/>
          <w:szCs w:val="24"/>
        </w:rPr>
        <w:t>60 buildings c</w:t>
      </w:r>
      <w:r>
        <w:rPr>
          <w:rFonts w:cs="Arial"/>
          <w:color w:val="000000"/>
          <w:spacing w:val="-1"/>
          <w:szCs w:val="24"/>
        </w:rPr>
        <w:t>overing three</w:t>
      </w:r>
      <w:r w:rsidRPr="00E12F46">
        <w:rPr>
          <w:rFonts w:cs="Arial"/>
          <w:color w:val="000000"/>
          <w:spacing w:val="-1"/>
          <w:szCs w:val="24"/>
        </w:rPr>
        <w:t xml:space="preserve"> million square feet at </w:t>
      </w:r>
      <w:r>
        <w:rPr>
          <w:rFonts w:cs="Arial"/>
          <w:color w:val="000000"/>
          <w:spacing w:val="-5"/>
          <w:szCs w:val="24"/>
        </w:rPr>
        <w:t>30 sites throughout Pennsylvania)</w:t>
      </w:r>
      <w:r w:rsidRPr="00505B67">
        <w:t>, including buildings, office equipment</w:t>
      </w:r>
      <w:r>
        <w:t>,</w:t>
      </w:r>
      <w:r w:rsidRPr="00505B67">
        <w:t xml:space="preserve"> and general property.  The majority of physical faci</w:t>
      </w:r>
      <w:r>
        <w:t>lities are owned by PPL EU.</w:t>
      </w:r>
      <w:r w:rsidRPr="00505B67">
        <w:t xml:space="preserve">  </w:t>
      </w:r>
      <w:r>
        <w:t xml:space="preserve"> It was moved organizationally to be part of the Finance and Regulatory Affairs department in PPL EUS as mentioned earlier.  </w:t>
      </w:r>
      <w:r>
        <w:lastRenderedPageBreak/>
        <w:t>However, it also continues to serve PPL SC, PPL Global, and other Pennsylvania facilities tenants.</w:t>
      </w:r>
    </w:p>
    <w:p w:rsidR="00A426C4" w:rsidRDefault="00A426C4" w:rsidP="00A426C4">
      <w:proofErr w:type="gramStart"/>
      <w:r w:rsidRPr="004813BA">
        <w:rPr>
          <w:b/>
        </w:rPr>
        <w:t>Communications.</w:t>
      </w:r>
      <w:proofErr w:type="gramEnd"/>
      <w:r w:rsidRPr="004507C0">
        <w:t xml:space="preserve"> </w:t>
      </w:r>
      <w:r>
        <w:t xml:space="preserve"> S</w:t>
      </w:r>
      <w:r w:rsidRPr="00505B67">
        <w:t>upports direct employee communications regarding new projects</w:t>
      </w:r>
      <w:r>
        <w:t>, events, and initiatives.  Additionally, it</w:t>
      </w:r>
      <w:r w:rsidRPr="00505B67">
        <w:t xml:space="preserve"> provide</w:t>
      </w:r>
      <w:r>
        <w:t>s</w:t>
      </w:r>
      <w:r w:rsidRPr="00505B67">
        <w:t xml:space="preserve"> regional community affairs support to help obtain public support of company activiti</w:t>
      </w:r>
      <w:r>
        <w:t xml:space="preserve">es.   Support is provided primarily </w:t>
      </w:r>
      <w:r w:rsidRPr="00505B67">
        <w:t>for the benefit of PPL E</w:t>
      </w:r>
      <w:r>
        <w:t>U</w:t>
      </w:r>
      <w:r w:rsidRPr="00505B67">
        <w:t>’s Distribution and Transmission business units.  Su</w:t>
      </w:r>
      <w:r>
        <w:t>pport for other affiliates can</w:t>
      </w:r>
      <w:r w:rsidRPr="00505B67">
        <w:t xml:space="preserve"> be performed on an exception</w:t>
      </w:r>
      <w:r>
        <w:t xml:space="preserve"> basis.</w:t>
      </w:r>
    </w:p>
    <w:p w:rsidR="00A426C4" w:rsidRDefault="00A426C4" w:rsidP="00A426C4">
      <w:proofErr w:type="gramStart"/>
      <w:r w:rsidRPr="004813BA">
        <w:rPr>
          <w:b/>
        </w:rPr>
        <w:t>Human Resources.</w:t>
      </w:r>
      <w:proofErr w:type="gramEnd"/>
      <w:r>
        <w:t xml:space="preserve">  PPL EUS HR s</w:t>
      </w:r>
      <w:r w:rsidRPr="00505B67">
        <w:t>upports hiring</w:t>
      </w:r>
      <w:r>
        <w:t xml:space="preserve"> </w:t>
      </w:r>
      <w:r w:rsidRPr="00505B67">
        <w:t>and consults on employee concern</w:t>
      </w:r>
      <w:r>
        <w:t>s.  Support is provided primarily for the benefit of PPL EU</w:t>
      </w:r>
      <w:r w:rsidRPr="00505B67">
        <w:t>’s Distribution and Transmission business units.  Suppor</w:t>
      </w:r>
      <w:r>
        <w:t>t for other affiliates can</w:t>
      </w:r>
      <w:r w:rsidRPr="00505B67">
        <w:t xml:space="preserve"> be performed on an exc</w:t>
      </w:r>
      <w:r>
        <w:t>eption basis.</w:t>
      </w:r>
    </w:p>
    <w:p w:rsidR="00A426C4" w:rsidRPr="00565E30" w:rsidRDefault="00A426C4" w:rsidP="00A426C4">
      <w:r w:rsidRPr="004813BA">
        <w:rPr>
          <w:b/>
        </w:rPr>
        <w:t>Supply Chain.</w:t>
      </w:r>
      <w:r>
        <w:t xml:space="preserve">  </w:t>
      </w:r>
      <w:r>
        <w:rPr>
          <w:rFonts w:cs="Arial"/>
          <w:szCs w:val="24"/>
        </w:rPr>
        <w:t>Supply Chain p</w:t>
      </w:r>
      <w:r w:rsidRPr="00505B67">
        <w:t>erforms logistics and procurement services including warehouse management, material</w:t>
      </w:r>
      <w:r>
        <w:t>s</w:t>
      </w:r>
      <w:r w:rsidRPr="00505B67">
        <w:t xml:space="preserve"> procurement</w:t>
      </w:r>
      <w:r>
        <w:t>,</w:t>
      </w:r>
      <w:r w:rsidRPr="00505B67">
        <w:t xml:space="preserve"> and contract management activities.  </w:t>
      </w:r>
      <w:r>
        <w:t xml:space="preserve">The PPL </w:t>
      </w:r>
      <w:r w:rsidRPr="00505B67">
        <w:t>EU</w:t>
      </w:r>
      <w:r>
        <w:t>S</w:t>
      </w:r>
      <w:r w:rsidRPr="00505B67">
        <w:t xml:space="preserve"> Supply Chain function</w:t>
      </w:r>
      <w:r>
        <w:t xml:space="preserve"> primarily supports PPL EU but provides purchasing and contracting services to other PPL Corporation subsidiaries in Pennsylvania as well.  </w:t>
      </w:r>
      <w:r>
        <w:rPr>
          <w:rFonts w:cs="Arial"/>
          <w:szCs w:val="24"/>
        </w:rPr>
        <w:t xml:space="preserve"> Previous to January 2015, Supply Chain was in PPL SC.  </w:t>
      </w:r>
      <w:r w:rsidRPr="00DE2BC8">
        <w:t xml:space="preserve"> </w:t>
      </w:r>
    </w:p>
    <w:p w:rsidR="00A426C4" w:rsidRDefault="00A426C4" w:rsidP="00A426C4">
      <w:pPr>
        <w:pStyle w:val="Heading40"/>
      </w:pPr>
      <w:r>
        <w:t>PPLSolutions, LLC</w:t>
      </w:r>
    </w:p>
    <w:p w:rsidR="00A426C4" w:rsidRPr="00505B67" w:rsidRDefault="00A426C4" w:rsidP="00A426C4">
      <w:pPr>
        <w:spacing w:after="200"/>
      </w:pPr>
      <w:r>
        <w:t>PPLSolutions, LLC (PPLSolutions)</w:t>
      </w:r>
      <w:r w:rsidRPr="00505B67">
        <w:t xml:space="preserve"> was formed as a subsidiary of PPL Corporation in 1998 to provide services to the competitive retail energy market.</w:t>
      </w:r>
      <w:r>
        <w:t xml:space="preserve">  It is currently a subsidiary of PPL Energy Funding Corporation, a sub-holding company owned by PPL Corporation.  PPL</w:t>
      </w:r>
      <w:r w:rsidRPr="00505B67">
        <w:t xml:space="preserve">Solutions provides </w:t>
      </w:r>
      <w:r>
        <w:t xml:space="preserve">complete customer billing cycle services for </w:t>
      </w:r>
      <w:r w:rsidRPr="00505B67">
        <w:t>energy suppliers and has expanded to provide services</w:t>
      </w:r>
      <w:r>
        <w:t xml:space="preserve"> to the regulated energy market</w:t>
      </w:r>
      <w:r w:rsidRPr="00505B67">
        <w:t>.</w:t>
      </w:r>
      <w:r>
        <w:t xml:space="preserve">  </w:t>
      </w:r>
      <w:r>
        <w:rPr>
          <w:rFonts w:cs="Arial"/>
          <w:szCs w:val="24"/>
        </w:rPr>
        <w:t>The PPLSolutions President reported to the PPL SC Treasurer until January 2016 when the reporting relationship changed to the Strategic Business Development group, PPL Corporation’s mergers, acquisitions, and divestitures unit.</w:t>
      </w:r>
    </w:p>
    <w:p w:rsidR="00A426C4" w:rsidRDefault="00A426C4" w:rsidP="00A426C4">
      <w:pPr>
        <w:spacing w:after="200"/>
      </w:pPr>
      <w:r>
        <w:t xml:space="preserve">PPLSolutions provides services </w:t>
      </w:r>
      <w:r w:rsidRPr="00505B67">
        <w:t>ass</w:t>
      </w:r>
      <w:r>
        <w:t>ociated with alternative energy suppliers, within PPL EU</w:t>
      </w:r>
      <w:r w:rsidRPr="00505B67">
        <w:t>'s service territory</w:t>
      </w:r>
      <w:r>
        <w:t xml:space="preserve">, to both PPL EU and unaffiliated clients. </w:t>
      </w:r>
      <w:r w:rsidRPr="00505B67">
        <w:t xml:space="preserve">Services include </w:t>
      </w:r>
      <w:r>
        <w:t>call center agents</w:t>
      </w:r>
      <w:r w:rsidRPr="00505B67">
        <w:t xml:space="preserve"> for predefined call types</w:t>
      </w:r>
      <w:r>
        <w:t>,</w:t>
      </w:r>
      <w:r w:rsidRPr="00505B67">
        <w:t xml:space="preserve"> customer enrollment and account maintenance, customer billing, Electronic Data Interchange (EDI), remittance proce</w:t>
      </w:r>
      <w:r>
        <w:t xml:space="preserve">ssing, and customer collections.  </w:t>
      </w:r>
    </w:p>
    <w:p w:rsidR="00A426C4" w:rsidRPr="00A94475" w:rsidRDefault="00A426C4" w:rsidP="00A426C4">
      <w:r>
        <w:t xml:space="preserve">PPLSolutions has 10 to 12 unaffiliated clients with operations in 17 states. All unaffiliated clients are electric and natural gas suppliers.  </w:t>
      </w:r>
      <w:r w:rsidR="00763DEA">
        <w:t>PPLSolutions</w:t>
      </w:r>
      <w:r>
        <w:t xml:space="preserve"> clientele also includes approximately 60 electric utilities and 40 natural gas utilities who offer electric and natural gas supply to their customers.  </w:t>
      </w:r>
    </w:p>
    <w:p w:rsidR="00A426C4" w:rsidRDefault="00A426C4" w:rsidP="00A426C4">
      <w:pPr>
        <w:spacing w:after="200"/>
        <w:rPr>
          <w:rFonts w:cs="Arial"/>
          <w:szCs w:val="24"/>
        </w:rPr>
      </w:pPr>
      <w:r>
        <w:rPr>
          <w:rFonts w:cs="Arial"/>
          <w:szCs w:val="24"/>
        </w:rPr>
        <w:t xml:space="preserve">PPLSolutions has two call centers, both in Hazelton, Pennsylvania, about 45 miles from Allentown.  PPLSolutions leases the spaces from unaffiliated developer landlords. </w:t>
      </w:r>
    </w:p>
    <w:p w:rsidR="00A426C4" w:rsidRDefault="00A426C4" w:rsidP="00A426C4">
      <w:pPr>
        <w:rPr>
          <w:rFonts w:cs="Arial"/>
          <w:szCs w:val="24"/>
        </w:rPr>
      </w:pPr>
      <w:r>
        <w:rPr>
          <w:rFonts w:cs="Arial"/>
          <w:szCs w:val="24"/>
        </w:rPr>
        <w:t>PPLSolutions has provided several services to PPL EU:</w:t>
      </w:r>
    </w:p>
    <w:p w:rsidR="00A426C4" w:rsidRDefault="00A426C4" w:rsidP="00A426C4">
      <w:pPr>
        <w:pStyle w:val="Bullet"/>
      </w:pPr>
      <w:r>
        <w:t>Miscellaneous Billing Services</w:t>
      </w:r>
    </w:p>
    <w:p w:rsidR="00A426C4" w:rsidRDefault="00A426C4" w:rsidP="00A426C4">
      <w:pPr>
        <w:pStyle w:val="Bullet"/>
      </w:pPr>
      <w:r>
        <w:t>Electronic Data Interchange</w:t>
      </w:r>
    </w:p>
    <w:p w:rsidR="00A426C4" w:rsidRDefault="00A426C4" w:rsidP="00A426C4">
      <w:pPr>
        <w:pStyle w:val="Bullet"/>
      </w:pPr>
      <w:r>
        <w:t>Staff Augmentation</w:t>
      </w:r>
    </w:p>
    <w:p w:rsidR="00A426C4" w:rsidRDefault="00A426C4" w:rsidP="00A426C4">
      <w:pPr>
        <w:pStyle w:val="Bullet"/>
      </w:pPr>
      <w:r>
        <w:t>Special Services</w:t>
      </w:r>
    </w:p>
    <w:p w:rsidR="00A426C4" w:rsidRDefault="00763DEA" w:rsidP="00A426C4">
      <w:pPr>
        <w:pStyle w:val="Normal-aftertable"/>
      </w:pPr>
      <w:r>
        <w:lastRenderedPageBreak/>
        <w:t>PPLSolutions</w:t>
      </w:r>
      <w:r w:rsidR="00A426C4">
        <w:t xml:space="preserve"> provides approximately $3.5 million per year in customer care services for PPL EU and other clients.  </w:t>
      </w:r>
      <w:r>
        <w:t>PPLSolutions</w:t>
      </w:r>
      <w:r w:rsidR="00A426C4">
        <w:t xml:space="preserve"> has 100 to 200 total agents with approximately half working for PPL EU.  The staff augmentation is billed to PPL EU on a productive hour basis.  </w:t>
      </w:r>
      <w:r>
        <w:t>PPLSolutions</w:t>
      </w:r>
      <w:r w:rsidR="00A426C4">
        <w:t xml:space="preserve"> collects Standard Offer Program (SOP) referral fees on behalf of PPL EU and remits them to PPL EU.  </w:t>
      </w:r>
      <w:r>
        <w:t>PPLSolutions</w:t>
      </w:r>
      <w:r w:rsidR="00A426C4">
        <w:t xml:space="preserve"> sends separate invoices to PPL EU for each of its contracts.</w:t>
      </w:r>
    </w:p>
    <w:p w:rsidR="00A426C4" w:rsidRDefault="00A426C4" w:rsidP="00A426C4">
      <w:pPr>
        <w:spacing w:after="200"/>
        <w:rPr>
          <w:rFonts w:cs="Arial"/>
          <w:szCs w:val="24"/>
        </w:rPr>
      </w:pPr>
      <w:proofErr w:type="gramStart"/>
      <w:r>
        <w:rPr>
          <w:b/>
        </w:rPr>
        <w:t>Miscellaneous Billing Services</w:t>
      </w:r>
      <w:r>
        <w:t>.</w:t>
      </w:r>
      <w:proofErr w:type="gramEnd"/>
      <w:r>
        <w:t xml:space="preserve">  PPLSolutions utilizes the Miscellaneous Commerce System (MCS) for invoicing its clients.  </w:t>
      </w:r>
      <w:r>
        <w:rPr>
          <w:rFonts w:cs="Arial"/>
          <w:szCs w:val="24"/>
        </w:rPr>
        <w:t>PPL EU issues miscellaneous bills through the MCS for use of PPL EU rights-of-way, pole hit repairs, and pole relocations.  The Director of PPL SC Cash Operations has been the client for this service.  The MCS is also being used to bill Talen for transition services.</w:t>
      </w:r>
    </w:p>
    <w:p w:rsidR="00A426C4" w:rsidRDefault="00A426C4" w:rsidP="00A426C4">
      <w:r>
        <w:t xml:space="preserve">The provisioning of miscellaneous billing services through PPLSolutions changed during December 2015.  </w:t>
      </w:r>
      <w:r>
        <w:rPr>
          <w:rFonts w:cs="Arial"/>
          <w:szCs w:val="24"/>
        </w:rPr>
        <w:t xml:space="preserve">PPLSolutions used to provide support for the MCS to the rest of PPL Corporation’s subsidiaries who used it.  Two PPLSolutions employees provided technical support as needed to the rest of the PPL Corporation users.  This was very similar to how IT supports applications. However, the responsibility for the MCS was transferred to the Cash Operations unit (currently part of PPL SC but planned for transfer to PPL EUS) in December 2015 along with one technical support employee and the Cash Operations unit itself is planned to be transferred to the PPL EUS Finance and Regulatory department as soon as its Talen transition services commitments are completed.  Additionally, PPLSolutions is transferring technical support for the MCS to </w:t>
      </w:r>
      <w:proofErr w:type="gramStart"/>
      <w:r>
        <w:rPr>
          <w:rFonts w:cs="Arial"/>
          <w:szCs w:val="24"/>
        </w:rPr>
        <w:t>IT,</w:t>
      </w:r>
      <w:proofErr w:type="gramEnd"/>
      <w:r>
        <w:rPr>
          <w:rFonts w:cs="Arial"/>
          <w:szCs w:val="24"/>
        </w:rPr>
        <w:t xml:space="preserve"> however, no employees will be transferred.  The level of IT support for the MCS is estimated at .1 FTE.  Going forward, MCS functional and IT support to PPL EU MCS users will be provided by PPL SC rather than PPLSolutions.   </w:t>
      </w:r>
      <w:r>
        <w:t xml:space="preserve">  </w:t>
      </w:r>
    </w:p>
    <w:p w:rsidR="00A426C4" w:rsidRPr="00B2226C" w:rsidRDefault="00A426C4" w:rsidP="00A426C4">
      <w:pPr>
        <w:spacing w:after="200"/>
      </w:pPr>
      <w:proofErr w:type="gramStart"/>
      <w:r w:rsidRPr="00971984">
        <w:rPr>
          <w:b/>
        </w:rPr>
        <w:t>Electronic Data Interchange.</w:t>
      </w:r>
      <w:proofErr w:type="gramEnd"/>
      <w:r>
        <w:t xml:space="preserve">  Electronic Data Interchange (EDI) is one of the basic services PPLSolutions provides to competitive electricity suppliers.  </w:t>
      </w:r>
      <w:r>
        <w:rPr>
          <w:rFonts w:cs="Arial"/>
          <w:szCs w:val="24"/>
        </w:rPr>
        <w:t xml:space="preserve">It is a core competency.  </w:t>
      </w:r>
      <w:r>
        <w:t xml:space="preserve">It also provides EDI service to PPL EU.  </w:t>
      </w:r>
      <w:r>
        <w:rPr>
          <w:rFonts w:cs="Arial"/>
          <w:szCs w:val="24"/>
        </w:rPr>
        <w:t xml:space="preserve">This is very similar to how IT supports applications.  EDI is the communication medium between competitive suppliers and PPL EU on usage, billing, and remittances.  With the Talen spinoff, PPL Corporation no longer provides </w:t>
      </w:r>
      <w:proofErr w:type="gramStart"/>
      <w:r>
        <w:rPr>
          <w:rFonts w:cs="Arial"/>
          <w:szCs w:val="24"/>
        </w:rPr>
        <w:t>competitive electric supply services which alleviates</w:t>
      </w:r>
      <w:proofErr w:type="gramEnd"/>
      <w:r>
        <w:rPr>
          <w:rFonts w:cs="Arial"/>
          <w:szCs w:val="24"/>
        </w:rPr>
        <w:t xml:space="preserve"> any PPL EU Code of Conduct concerns with affiliates.   The Customer Services Vice President and the Finance and Regulatory Affairs Vice President are the clients for the EDI service.  </w:t>
      </w:r>
    </w:p>
    <w:p w:rsidR="00A426C4" w:rsidRDefault="00A426C4" w:rsidP="00A426C4">
      <w:pPr>
        <w:spacing w:after="200"/>
        <w:rPr>
          <w:rFonts w:cs="Arial"/>
          <w:szCs w:val="24"/>
        </w:rPr>
      </w:pPr>
      <w:proofErr w:type="gramStart"/>
      <w:r w:rsidRPr="0077307B">
        <w:rPr>
          <w:rFonts w:cs="Arial"/>
          <w:b/>
          <w:szCs w:val="24"/>
        </w:rPr>
        <w:t>Staff Augmentation Services.</w:t>
      </w:r>
      <w:proofErr w:type="gramEnd"/>
      <w:r>
        <w:rPr>
          <w:rFonts w:cs="Arial"/>
          <w:szCs w:val="24"/>
        </w:rPr>
        <w:t xml:space="preserve">  PPLSolutions provides s</w:t>
      </w:r>
      <w:r>
        <w:t xml:space="preserve">taff augmentation services for PPL EU Customer Services.  </w:t>
      </w:r>
      <w:r>
        <w:rPr>
          <w:rFonts w:cs="Arial"/>
          <w:szCs w:val="24"/>
        </w:rPr>
        <w:t xml:space="preserve">PPLSolutions provides between 50 and 90 customer care representatives to PPL EU using a combination of employees and subcontractors to provide staff augmentation.  The Customer Services Vice President is responsible for overseeing this service.  </w:t>
      </w:r>
    </w:p>
    <w:p w:rsidR="00A426C4" w:rsidRDefault="00A426C4" w:rsidP="00A426C4">
      <w:proofErr w:type="gramStart"/>
      <w:r>
        <w:rPr>
          <w:rFonts w:cs="Arial"/>
          <w:b/>
          <w:szCs w:val="24"/>
        </w:rPr>
        <w:t>Special Services.</w:t>
      </w:r>
      <w:proofErr w:type="gramEnd"/>
      <w:r w:rsidRPr="00530411">
        <w:rPr>
          <w:rFonts w:cs="Arial"/>
          <w:szCs w:val="24"/>
        </w:rPr>
        <w:t xml:space="preserve">  </w:t>
      </w:r>
      <w:r>
        <w:rPr>
          <w:rFonts w:cs="Arial"/>
          <w:szCs w:val="24"/>
        </w:rPr>
        <w:t xml:space="preserve">PPLSolutions provides special services to PPL EU Customer Services, such as </w:t>
      </w:r>
      <w:r>
        <w:t xml:space="preserve">welcome kits, the standard offer program, and the eligible customer list. For additional information on the various customer services provided by PPLSolutions, see Chapter IX, Customer Services and Chapter X, Customer Assistance Programs. </w:t>
      </w:r>
    </w:p>
    <w:p w:rsidR="00A426C4" w:rsidRDefault="00A426C4" w:rsidP="00A426C4">
      <w:pPr>
        <w:pStyle w:val="Heading40"/>
      </w:pPr>
      <w:r w:rsidRPr="00092341">
        <w:lastRenderedPageBreak/>
        <w:t>PPL Infrastructure Services</w:t>
      </w:r>
      <w:r>
        <w:t>,</w:t>
      </w:r>
      <w:r w:rsidRPr="00092341">
        <w:t xml:space="preserve"> LLC</w:t>
      </w:r>
    </w:p>
    <w:p w:rsidR="00A426C4" w:rsidRDefault="00A426C4" w:rsidP="00A426C4">
      <w:pPr>
        <w:rPr>
          <w:rFonts w:cs="Arial"/>
          <w:szCs w:val="24"/>
        </w:rPr>
      </w:pPr>
      <w:r>
        <w:rPr>
          <w:rFonts w:cs="Arial"/>
          <w:szCs w:val="24"/>
        </w:rPr>
        <w:t>PPL Infrastructure Services, LLC (Infrastructure) manages the contracting for and installation of cellular phone equipment on PPL EU transmission and distribution structures. It leases “vertical real estate.”   Cellular companies have their equipment mounted on PPL EU transmission and distribution structures above the power lines.  Infrastructure designs the cellular equipment attachments, obtains PPL EU approval, and contracts for and oversees the engineering and construction.  Infrastructure also provides upgrade and maintenance services for its installed base.  Infrastructure bills its client cellular phone companies and pays PPL EU for its pole attachments and any review work.  Infrastructure is a competitive business and attempts to maximize its profit on installation, upgrade, and maintenance work and on the annual attachments.</w:t>
      </w:r>
    </w:p>
    <w:p w:rsidR="00A426C4" w:rsidRDefault="00A426C4" w:rsidP="00A426C4">
      <w:pPr>
        <w:spacing w:after="200"/>
        <w:rPr>
          <w:rFonts w:cs="Arial"/>
          <w:szCs w:val="24"/>
        </w:rPr>
      </w:pPr>
      <w:r w:rsidRPr="00E40035">
        <w:rPr>
          <w:rFonts w:cs="Arial"/>
          <w:szCs w:val="24"/>
        </w:rPr>
        <w:t>As of December 2015</w:t>
      </w:r>
      <w:r>
        <w:rPr>
          <w:rFonts w:cs="Arial"/>
          <w:szCs w:val="24"/>
        </w:rPr>
        <w:t xml:space="preserve">, the PPL SC Treasurer managed Infrastructure; however, the future placement of the Infrastructure entity was under discussion at that time.  The two Infrastructure leaders are Senior Project Managers.  They are not officers or LLC Managers or Members.  For payroll convenience, they are employees of PPL Global.  </w:t>
      </w:r>
    </w:p>
    <w:p w:rsidR="00A426C4" w:rsidRDefault="00A426C4" w:rsidP="00A426C4">
      <w:pPr>
        <w:rPr>
          <w:rFonts w:cs="Arial"/>
          <w:szCs w:val="24"/>
        </w:rPr>
      </w:pPr>
      <w:r>
        <w:rPr>
          <w:rFonts w:cs="Arial"/>
          <w:szCs w:val="24"/>
        </w:rPr>
        <w:t>Infrastructure began as a part of PPL Telcom, LLC which included fiber assets and other telecom related activities.  When PPL Telcom was sold to an unaffiliated entity, PPL Corporation retained the infrastructure cellular transmission tower attachment business because of its close operational relationship with PPL EU transmission assets.</w:t>
      </w:r>
    </w:p>
    <w:p w:rsidR="00A426C4" w:rsidRDefault="00A426C4" w:rsidP="00A426C4">
      <w:pPr>
        <w:rPr>
          <w:rFonts w:cs="Arial"/>
          <w:szCs w:val="24"/>
        </w:rPr>
      </w:pPr>
      <w:r>
        <w:rPr>
          <w:rFonts w:cs="Arial"/>
          <w:szCs w:val="24"/>
        </w:rPr>
        <w:t>The Infrastructure marketing target is traditional large cellular tower installations with negotiated installation and attachment charges.  Small cellular systems utilize distribution poles with a FCC mandated $12 per year attachment fee.  Infrastructure is not involved with small cellular systems.  Companies seeking small cellular attachments deal directly with PPL EU.</w:t>
      </w:r>
    </w:p>
    <w:p w:rsidR="00A426C4" w:rsidRDefault="00A426C4" w:rsidP="00A426C4">
      <w:pPr>
        <w:pStyle w:val="Heading40"/>
      </w:pPr>
      <w:r>
        <w:t>PPL Power Insurance Ltd.</w:t>
      </w:r>
    </w:p>
    <w:p w:rsidR="00A426C4" w:rsidRDefault="00A426C4" w:rsidP="00A426C4">
      <w:pPr>
        <w:rPr>
          <w:rFonts w:cs="Arial"/>
          <w:szCs w:val="24"/>
        </w:rPr>
      </w:pPr>
      <w:r>
        <w:rPr>
          <w:rFonts w:cs="Arial"/>
          <w:szCs w:val="24"/>
        </w:rPr>
        <w:t xml:space="preserve">PPL Power Insurance Ltd. (PPL Power Insurance) is a captive insurance company headquartered in Bermuda.  PPL Power Insurance is operated by a division of a publicly traded </w:t>
      </w:r>
      <w:r>
        <w:t xml:space="preserve">diversified risk, </w:t>
      </w:r>
      <w:proofErr w:type="gramStart"/>
      <w:r>
        <w:t>insurance,</w:t>
      </w:r>
      <w:proofErr w:type="gramEnd"/>
      <w:r>
        <w:t xml:space="preserve"> and professional services firm </w:t>
      </w:r>
      <w:r>
        <w:rPr>
          <w:rFonts w:cs="Arial"/>
          <w:szCs w:val="24"/>
        </w:rPr>
        <w:t xml:space="preserve">on behalf of PPL Corporation.  PPL Power Insurance was formed in 2003 and has provided General Liability Insurance and Workers Compensation Insurance to PPL EU and other PPL Corporation subsidiaries.  From 2006 through 2012, it also provided storm insurance for PPL EU.  Now no insurance company in the industry is reported to offer storm insurance. </w:t>
      </w:r>
    </w:p>
    <w:p w:rsidR="00A426C4" w:rsidRDefault="00A426C4" w:rsidP="00A426C4">
      <w:proofErr w:type="gramStart"/>
      <w:r w:rsidRPr="00F83288">
        <w:rPr>
          <w:rFonts w:cs="Arial"/>
          <w:b/>
          <w:szCs w:val="24"/>
        </w:rPr>
        <w:t>General Liability Insurance</w:t>
      </w:r>
      <w:r>
        <w:rPr>
          <w:rFonts w:cs="Arial"/>
          <w:szCs w:val="24"/>
        </w:rPr>
        <w:t>.</w:t>
      </w:r>
      <w:proofErr w:type="gramEnd"/>
      <w:r>
        <w:rPr>
          <w:rFonts w:cs="Arial"/>
          <w:szCs w:val="24"/>
        </w:rPr>
        <w:t xml:space="preserve">  From 2012 through 2014, PPL Power Insurance provided a layer of PPL Corporation’s general liability insurance.  The general liability insurance program covered only the PPL Pennsylvania properties.  The 2014 general liability insurance for aggregate claims included a $1 million deductible and multiple layers of insurance provided by PPL Power Insurance, utility industry specialized mutual insurance companies, and third-party insurance companies.</w:t>
      </w:r>
      <w:r w:rsidRPr="00440B39">
        <w:t xml:space="preserve"> </w:t>
      </w:r>
      <w:r>
        <w:rPr>
          <w:rFonts w:cs="Arial"/>
          <w:szCs w:val="24"/>
        </w:rPr>
        <w:t xml:space="preserve">  </w:t>
      </w:r>
    </w:p>
    <w:p w:rsidR="00A426C4" w:rsidRDefault="00A426C4" w:rsidP="00A426C4">
      <w:pPr>
        <w:rPr>
          <w:rFonts w:cs="Arial"/>
          <w:szCs w:val="24"/>
        </w:rPr>
      </w:pPr>
      <w:r>
        <w:rPr>
          <w:rFonts w:cs="Arial"/>
          <w:szCs w:val="24"/>
        </w:rPr>
        <w:t>In 2015, the PPL Power Insurance general liability insurance policy was dropped as experience showed that claims activity did not justify the coverage.  PPL Power Insurance is not currently providing PPL EU general liability insurance but it could be used for general liability insurance in the future.</w:t>
      </w:r>
    </w:p>
    <w:p w:rsidR="00A426C4" w:rsidRDefault="00A426C4" w:rsidP="00A426C4">
      <w:pPr>
        <w:rPr>
          <w:rFonts w:cs="Arial"/>
          <w:szCs w:val="24"/>
        </w:rPr>
      </w:pPr>
      <w:proofErr w:type="gramStart"/>
      <w:r w:rsidRPr="00F83288">
        <w:rPr>
          <w:rFonts w:cs="Arial"/>
          <w:b/>
          <w:szCs w:val="24"/>
        </w:rPr>
        <w:lastRenderedPageBreak/>
        <w:t>Workers Compensation Insurance.</w:t>
      </w:r>
      <w:proofErr w:type="gramEnd"/>
      <w:r>
        <w:rPr>
          <w:rFonts w:cs="Arial"/>
          <w:szCs w:val="24"/>
        </w:rPr>
        <w:t xml:space="preserve">  PPL Power Insurance has provided workers compensation insurance to PPL EU since 2003.  The workers compensation policy also covers other PPL Corporation Pennsylvania employees including, PPL SC, PPL EUS, PPLSolutions, PPL Strategic Development, and the US (Allentown) employees of PPL Global.  Kentucky is self-insured for workers compensation insurance.</w:t>
      </w:r>
    </w:p>
    <w:p w:rsidR="00A426C4" w:rsidRDefault="00A426C4" w:rsidP="00A426C4">
      <w:pPr>
        <w:rPr>
          <w:rFonts w:cs="Arial"/>
          <w:szCs w:val="24"/>
        </w:rPr>
      </w:pPr>
      <w:r>
        <w:rPr>
          <w:rFonts w:cs="Arial"/>
          <w:szCs w:val="24"/>
        </w:rPr>
        <w:t xml:space="preserve">PPL Power Insurance covers individual workers compensation claims within the deductible layer of the statutory insurance policy that is purchased from an independent insurance company.  This PPL Power Insurance policy is first dollar coverage with no deductible.  The independent insurance company covers the portions of individual claims above the deductible.    </w:t>
      </w:r>
    </w:p>
    <w:p w:rsidR="00A426C4" w:rsidRDefault="00A426C4" w:rsidP="00A426C4">
      <w:r>
        <w:rPr>
          <w:rFonts w:cs="Arial"/>
          <w:szCs w:val="24"/>
        </w:rPr>
        <w:t>There is a third party administrator of the PPL workers compensation program.  It pays claims during each month and at the end of the month it invoices PPL Corporation for reimbursement.</w:t>
      </w:r>
    </w:p>
    <w:p w:rsidR="00A426C4" w:rsidRDefault="00A426C4" w:rsidP="00A426C4">
      <w:pPr>
        <w:pStyle w:val="Heading40"/>
      </w:pPr>
      <w:r>
        <w:t>CEP Commerce and CEP Lending</w:t>
      </w:r>
    </w:p>
    <w:p w:rsidR="00A426C4" w:rsidRDefault="00A426C4" w:rsidP="00A426C4">
      <w:pPr>
        <w:rPr>
          <w:rFonts w:cs="Arial"/>
          <w:szCs w:val="24"/>
        </w:rPr>
      </w:pPr>
      <w:r>
        <w:rPr>
          <w:rFonts w:cs="Arial"/>
          <w:szCs w:val="24"/>
        </w:rPr>
        <w:t xml:space="preserve">CEP Commerce, LLC (CEP Commerce) is a wholly owned subsidiary of PPL EU.  CEP Lending, Inc. (CEP Lending) is a wholly owned subsidiary of CEP Commerce.  PPL EU keeps approximately $20 million of cash on hand for working capital needs.  On a periodic basis, PPL EU may make a capital contribution to CEP Commerce which, in turn, makes a capital contribution to CEP Lending.  CEP Lending makes intercompany loans to PPL Energy Funding.  PPL Energy Funding pays interest to CEP </w:t>
      </w:r>
      <w:r w:rsidR="0052607D">
        <w:rPr>
          <w:rFonts w:cs="Arial"/>
          <w:szCs w:val="24"/>
        </w:rPr>
        <w:t>Lending.</w:t>
      </w:r>
      <w:r>
        <w:rPr>
          <w:rFonts w:cs="Arial"/>
          <w:szCs w:val="24"/>
        </w:rPr>
        <w:t xml:space="preserve">  When PPL Energy Funding repays the loans to CEP </w:t>
      </w:r>
      <w:proofErr w:type="gramStart"/>
      <w:r>
        <w:rPr>
          <w:rFonts w:cs="Arial"/>
          <w:szCs w:val="24"/>
        </w:rPr>
        <w:t>Lending</w:t>
      </w:r>
      <w:proofErr w:type="gramEnd"/>
      <w:r>
        <w:rPr>
          <w:rFonts w:cs="Arial"/>
          <w:szCs w:val="24"/>
        </w:rPr>
        <w:t xml:space="preserve"> it makes a return of capital to CEP Commerce, which, in turn, makes a return of capital to PPL EU.  PPL Energy Funding loans to PPL Corporation subsidiaries that do not have transactions with PPL EU.  As a Delaware corporation that conducts business in Nevada, CEP Lending is not subject to Pennsylvania income tax.  </w:t>
      </w:r>
    </w:p>
    <w:p w:rsidR="00A426C4" w:rsidRDefault="00A426C4" w:rsidP="00A426C4">
      <w:pPr>
        <w:rPr>
          <w:rFonts w:cs="Arial"/>
          <w:szCs w:val="24"/>
        </w:rPr>
      </w:pPr>
      <w:r>
        <w:rPr>
          <w:rFonts w:cs="Arial"/>
          <w:szCs w:val="24"/>
        </w:rPr>
        <w:t>As subsidiaries of PPL EU, CEP Commerce and CEP Lending profits or losses are consolidated with PPL EU for SEC reporting purposes.  However, they are not included with PPL EU financials for rate making purposes.  (They are “below the line.”)</w:t>
      </w:r>
    </w:p>
    <w:p w:rsidR="00A426C4" w:rsidRDefault="00A426C4" w:rsidP="00A426C4">
      <w:pPr>
        <w:pStyle w:val="Heading40"/>
      </w:pPr>
      <w:r>
        <w:t>Louisville Gas and Electric Company and Kentucky Utilities Company</w:t>
      </w:r>
    </w:p>
    <w:p w:rsidR="00A426C4" w:rsidRDefault="00A426C4" w:rsidP="00A426C4">
      <w:r>
        <w:rPr>
          <w:rFonts w:cs="Arial"/>
          <w:szCs w:val="24"/>
        </w:rPr>
        <w:t>Mutual assistance has been provided between PPL EU and LG&amp;E and KU in both directions</w:t>
      </w:r>
      <w:r>
        <w:t xml:space="preserve">.  The only instance of aid from PPL EU to the Kentucky operating companies was provided in July 2015.  All other assistance has been from LG&amp;E and KU to PPL EU.  </w:t>
      </w:r>
    </w:p>
    <w:p w:rsidR="00A426C4" w:rsidRDefault="00A426C4" w:rsidP="00A426C4">
      <w:r>
        <w:t xml:space="preserve">Mutual assistance from LG&amp;E and KU to PPL EU is all direct charged primarily based on labor hours which are priced at fully allocated cost (includes all overhead allocations).  In addition, there is a separate vehicle cost allocation that again follows labor hours.  </w:t>
      </w:r>
    </w:p>
    <w:p w:rsidR="00A426C4" w:rsidRDefault="00A426C4" w:rsidP="00A426C4">
      <w:r>
        <w:t>Each instance of mutual assistance from LG&amp;E and KU to PPL EU is tracked under unique project numbers for LG&amp;E and KU.  The crews charge their time to the project number and the accumulated costs are charged to PPL EU monthly.  (Mutual assistance billing to and from unaffiliated operating companies is typically done after the assistance is complete, rather than monthly.)</w:t>
      </w:r>
    </w:p>
    <w:p w:rsidR="00A426C4" w:rsidRPr="00701BD6" w:rsidRDefault="00A426C4" w:rsidP="00A426C4">
      <w:pPr>
        <w:rPr>
          <w:rFonts w:cs="Arial"/>
          <w:szCs w:val="24"/>
        </w:rPr>
      </w:pPr>
      <w:r>
        <w:lastRenderedPageBreak/>
        <w:t>LG&amp;E and KU also have a Goods and Services Agreement with PPL EU.  It enables sharing of parts and equipment between the companies when the affiliated company can provide a crucial piece of equipment or part more timely than vendors. This agreement remains pending before the PUC.</w:t>
      </w:r>
    </w:p>
    <w:p w:rsidR="00A426C4" w:rsidRDefault="00A426C4" w:rsidP="005123A6">
      <w:pPr>
        <w:pStyle w:val="Heading-forToC"/>
      </w:pPr>
      <w:bookmarkStart w:id="46" w:name="_Toc464551984"/>
      <w:r>
        <w:t>findings</w:t>
      </w:r>
      <w:bookmarkEnd w:id="46"/>
    </w:p>
    <w:p w:rsidR="00A426C4" w:rsidRDefault="00A426C4" w:rsidP="004F00E5">
      <w:pPr>
        <w:pStyle w:val="Findings"/>
        <w:numPr>
          <w:ilvl w:val="0"/>
          <w:numId w:val="65"/>
        </w:numPr>
      </w:pPr>
      <w:r>
        <w:t>PPL EU has insufficient documentation and oversight of affiliate relationships.</w:t>
      </w:r>
    </w:p>
    <w:p w:rsidR="00A426C4" w:rsidRDefault="00A426C4" w:rsidP="00A426C4">
      <w:r>
        <w:t xml:space="preserve">As further described in Section C, Charges to and from Affiliates, with the exception of the PPL SC, PPL Power Insurance, and Infrastructure affiliate relationships, PPL EU and its affiliates were consistently unable to document and explain the affiliate relationships and transactions during the management audit field work.  Responses to document requests were routinely incomplete and personnel interviewed who should be expected to be knowledgeable about one or more affiliate relationships were not.  It took an extensive effort even to pinpoint with which affiliates PPL EU had material affiliate transactions.  </w:t>
      </w:r>
    </w:p>
    <w:p w:rsidR="00A426C4" w:rsidRDefault="00A426C4" w:rsidP="00A426C4">
      <w:r>
        <w:t xml:space="preserve">There is no focal point for managing PPL EU’s affiliate relationships.  This could be due to the formation of PPL EUS and the transfer of some, but not all, accounting functions to PPL EUS from PPL SC.  With an organization the scale of PPL EU and the number and scale of its affiliate relationships, it would be normal to have a group under a senior accounting manager to have oversight over all of PPL EU’s affiliate relationships.  This does not currently exist.    </w:t>
      </w:r>
    </w:p>
    <w:p w:rsidR="00A426C4" w:rsidRDefault="00A426C4" w:rsidP="0011052F">
      <w:pPr>
        <w:pStyle w:val="Findings"/>
      </w:pPr>
      <w:r>
        <w:t>There are functional overlaps between PPL SC and PPL EUS that may contribute to redundant work.</w:t>
      </w:r>
    </w:p>
    <w:p w:rsidR="00A426C4" w:rsidRDefault="00A426C4" w:rsidP="00A426C4">
      <w:r>
        <w:t xml:space="preserve">PPL Corporation established PPL EUS in 2014 and began providing services in 2015.  This established two different service companies just in Pennsylvania.  PPL Corporation also has service companies or common support services organizations for its LKE and </w:t>
      </w:r>
      <w:r w:rsidR="00876A9D">
        <w:t>WPD Midlands</w:t>
      </w:r>
      <w:r>
        <w:t xml:space="preserve"> groups.   </w:t>
      </w:r>
    </w:p>
    <w:p w:rsidR="00A426C4" w:rsidRDefault="00A426C4" w:rsidP="00A426C4">
      <w:r>
        <w:t>There are overlaps between PPL EUS and PPL SC for the Human Resources, Communications, and Accounting functions.  However, the Legal and Audit functions were not transferred to PPL EUS from PPL SC in any form.  Legal and Audit continue to serve PPL EU from PPL SC.  For example, the Office of General Counsel has attorneys dedicated to PPL EU matters and they</w:t>
      </w:r>
      <w:r>
        <w:rPr>
          <w:rFonts w:cs="Arial"/>
          <w:szCs w:val="24"/>
        </w:rPr>
        <w:t xml:space="preserve"> are included in PPL EU quarterly management meetings.</w:t>
      </w:r>
      <w:r>
        <w:t xml:space="preserve"> </w:t>
      </w:r>
    </w:p>
    <w:p w:rsidR="00A426C4" w:rsidRDefault="00A426C4" w:rsidP="00A426C4">
      <w:r>
        <w:t xml:space="preserve">Further, while PPL EUS was intended to focus on PPL EU, PPL EUS Facilities Management and Supply Chain support entities other than PPL EU.  PPL EUS Facilities Management and Supply Chain also support PPL SC, Global, and PPLSolutions, on a regular basis.  PPL Corporation subsidiaries operating in Pennsylvania are now receiving services from two service companies instead of one. </w:t>
      </w:r>
    </w:p>
    <w:p w:rsidR="00A426C4" w:rsidRDefault="00A426C4" w:rsidP="00A426C4">
      <w:pPr>
        <w:rPr>
          <w:rFonts w:cs="Arial"/>
          <w:szCs w:val="24"/>
        </w:rPr>
      </w:pPr>
      <w:r>
        <w:rPr>
          <w:rFonts w:cs="Arial"/>
          <w:szCs w:val="24"/>
        </w:rPr>
        <w:t xml:space="preserve">PPL EUS was formed to make the service company charges more transparent, the allocation of charges between Transmission and Distribution more accurate, and to improve support services and reduce their costs to PPL EU.  Each of these objectives could have been achieved by reforms to the PPL SC staffing, systems, and procedures </w:t>
      </w:r>
      <w:r>
        <w:rPr>
          <w:rFonts w:cs="Arial"/>
          <w:szCs w:val="24"/>
        </w:rPr>
        <w:lastRenderedPageBreak/>
        <w:t>and by collocating PPL SC personnel primarily focused on serving PPL EU within PPL EU.</w:t>
      </w:r>
    </w:p>
    <w:p w:rsidR="00A426C4" w:rsidRDefault="00A426C4" w:rsidP="0011052F">
      <w:pPr>
        <w:pStyle w:val="Findings"/>
      </w:pPr>
      <w:r>
        <w:t>There is no designated PPL Corporation level authority by function.</w:t>
      </w:r>
    </w:p>
    <w:p w:rsidR="00A426C4" w:rsidRDefault="00A426C4" w:rsidP="00A426C4">
      <w:pPr>
        <w:rPr>
          <w:rFonts w:cs="Arial"/>
          <w:szCs w:val="24"/>
        </w:rPr>
      </w:pPr>
      <w:r w:rsidRPr="00643B82">
        <w:rPr>
          <w:rFonts w:cs="Arial"/>
          <w:szCs w:val="24"/>
        </w:rPr>
        <w:t xml:space="preserve">The functional overlaps between PPL EUS and PPL SC also highlight another problem between PPL SC and the other service companies.  There has been no designation of the PPL Corporation level authority by function.  As examples, the LKE and </w:t>
      </w:r>
      <w:r w:rsidR="00876A9D">
        <w:rPr>
          <w:rFonts w:cs="Arial"/>
          <w:szCs w:val="24"/>
        </w:rPr>
        <w:t>WPD Midlands</w:t>
      </w:r>
      <w:r w:rsidRPr="00643B82">
        <w:rPr>
          <w:rFonts w:cs="Arial"/>
          <w:szCs w:val="24"/>
        </w:rPr>
        <w:t xml:space="preserve"> attorneys do not answer to the PPL SC General Counsel; the LKE, </w:t>
      </w:r>
      <w:r w:rsidR="00876A9D">
        <w:rPr>
          <w:rFonts w:cs="Arial"/>
          <w:szCs w:val="24"/>
        </w:rPr>
        <w:t>WPD Midlands</w:t>
      </w:r>
      <w:r w:rsidRPr="00643B82">
        <w:rPr>
          <w:rFonts w:cs="Arial"/>
          <w:szCs w:val="24"/>
        </w:rPr>
        <w:t xml:space="preserve">, and PPL EUS human resources professionals are not subordinate to the PPL SC human resources leader; and the LKE, </w:t>
      </w:r>
      <w:r w:rsidR="00876A9D">
        <w:rPr>
          <w:rFonts w:cs="Arial"/>
          <w:szCs w:val="24"/>
        </w:rPr>
        <w:t>WPD Midlands</w:t>
      </w:r>
      <w:r w:rsidRPr="00643B82">
        <w:rPr>
          <w:rFonts w:cs="Arial"/>
          <w:szCs w:val="24"/>
        </w:rPr>
        <w:t xml:space="preserve"> and PPL EUS accounting personnel do not have formal reporting responsibilities to the PPL SC Controller.  There is no PPL Corporation level responsibility designation for supervision of like functions in any of the three operating groups. </w:t>
      </w:r>
    </w:p>
    <w:p w:rsidR="00A426C4" w:rsidRDefault="00A426C4" w:rsidP="00A426C4">
      <w:pPr>
        <w:rPr>
          <w:rFonts w:cs="Arial"/>
          <w:szCs w:val="24"/>
        </w:rPr>
      </w:pPr>
      <w:r>
        <w:rPr>
          <w:rFonts w:cs="Arial"/>
          <w:szCs w:val="24"/>
        </w:rPr>
        <w:t>Other utility holding companies with the scope and scale of PPL Corporation have benefited from economies of scale and concentration of expertise from fully consolidated service companies for both utility (transmission, distribution, and customer service) and support functions.  Please see Chapter XVI. Merger Synergy Opportunities for more information on the benefits of consolidated utility and support functions at the service company level.</w:t>
      </w:r>
    </w:p>
    <w:p w:rsidR="00A426C4" w:rsidRDefault="00A426C4" w:rsidP="0011052F">
      <w:pPr>
        <w:pStyle w:val="Findings"/>
      </w:pPr>
      <w:r>
        <w:t>PPL EU’s relationship with CEP Commerce, CEP Lending, PPL Energy Funding, and CEP Reserves appears to be a defacto and obscure cash pool.</w:t>
      </w:r>
    </w:p>
    <w:p w:rsidR="00A426C4" w:rsidRDefault="00A426C4" w:rsidP="00A426C4">
      <w:r>
        <w:t xml:space="preserve">The PPL EU relationships through CEP Commerce with CEP Lending, PPL Energy Funding, and CEP Reserves are obscure.  These relationships are not well-understood or documented.  However, the arrangement appears to be a form of money pool in which PPL EU’s excess cash can be loaned to other PPL Corporation entities.  This may be introducing unnecessary financial risk to PPL EU. </w:t>
      </w:r>
    </w:p>
    <w:p w:rsidR="00A426C4" w:rsidRDefault="00A426C4" w:rsidP="0011052F">
      <w:pPr>
        <w:pStyle w:val="Findings"/>
      </w:pPr>
      <w:r w:rsidRPr="004F1A0C">
        <w:t>Although PPL Corporation has greatly reduced PPL EU’s exposure to affiliate relationships, it could further reduce PPL EU’s exposure to affiliate relationships and streamline its corporate organization structure.</w:t>
      </w:r>
      <w:r>
        <w:t xml:space="preserve"> </w:t>
      </w:r>
    </w:p>
    <w:p w:rsidR="00A426C4" w:rsidRDefault="00A426C4" w:rsidP="00A426C4">
      <w:r>
        <w:t>Recent actions by PPL Corporation have greatly reduced PPL EU’s exposure to affiliate relationships.  These include:</w:t>
      </w:r>
    </w:p>
    <w:p w:rsidR="00A426C4" w:rsidRDefault="00A426C4" w:rsidP="00A426C4">
      <w:pPr>
        <w:pStyle w:val="Bullet"/>
      </w:pPr>
      <w:r>
        <w:t>Spinning off the generation and energy supply affiliates in the formation of Talen.  PPL EU no longer has affiliate relationships with competitive energy suppliers.</w:t>
      </w:r>
    </w:p>
    <w:p w:rsidR="00A426C4" w:rsidRDefault="00A426C4" w:rsidP="00A426C4">
      <w:pPr>
        <w:pStyle w:val="Bullet"/>
      </w:pPr>
      <w:r>
        <w:t>The merger of PPL Receivables.  This eliminates an affiliate relationship with a nonregulated factoring company.</w:t>
      </w:r>
    </w:p>
    <w:p w:rsidR="00A426C4" w:rsidRDefault="00A426C4" w:rsidP="00A426C4">
      <w:pPr>
        <w:pStyle w:val="Bullet"/>
      </w:pPr>
      <w:r>
        <w:t>A reduced role for PPL Power Insurance as it is not supplying PPL EU with liability insurance coverage.  While the affiliate relationship for workers compensation continues, the relationship for property or general liability insurance is not currently active.</w:t>
      </w:r>
    </w:p>
    <w:p w:rsidR="00A426C4" w:rsidRDefault="00A426C4" w:rsidP="00A426C4">
      <w:pPr>
        <w:pStyle w:val="Bullet"/>
      </w:pPr>
      <w:r>
        <w:t>The transfer of the miscellaneous billing system support and EDI out of PPLSolutions.  This eliminated two parts of its relationship with a nonregulated affiliate.</w:t>
      </w:r>
    </w:p>
    <w:p w:rsidR="00A426C4" w:rsidRDefault="00A426C4" w:rsidP="00A426C4">
      <w:pPr>
        <w:rPr>
          <w:rFonts w:cs="Arial"/>
          <w:szCs w:val="24"/>
        </w:rPr>
      </w:pPr>
      <w:r>
        <w:lastRenderedPageBreak/>
        <w:t xml:space="preserve">Many of the remaining PPL EU affiliate relationships do not appear to add much value to PPL Corporation and unnecessarily complicate its corporate entity structure.  The large scale of PPL Corporation makes the small PPL EU entity affiliates contributions inconsequential.  Besides complicating the corporate structure, they also bring the burden of affiliate relationship regulatory compliance for PPL EU at the Pennsylvania and federal levels.  </w:t>
      </w:r>
    </w:p>
    <w:p w:rsidR="00A426C4" w:rsidRDefault="00A426C4" w:rsidP="005123A6">
      <w:pPr>
        <w:pStyle w:val="Heading-forToC"/>
      </w:pPr>
      <w:bookmarkStart w:id="47" w:name="_Toc464551985"/>
      <w:r>
        <w:t>recommendations</w:t>
      </w:r>
      <w:bookmarkEnd w:id="47"/>
    </w:p>
    <w:p w:rsidR="00A426C4" w:rsidRDefault="00A426C4" w:rsidP="004F00E5">
      <w:pPr>
        <w:pStyle w:val="Findings"/>
        <w:numPr>
          <w:ilvl w:val="0"/>
          <w:numId w:val="66"/>
        </w:numPr>
      </w:pPr>
      <w:r w:rsidRPr="00E9380B">
        <w:t>Assign responsibility</w:t>
      </w:r>
      <w:r>
        <w:t xml:space="preserve"> to the appropriate unit within the PPL EUS Financial and Regulatory group to ensure correct affiliate relationships and transactions, follow regulatory compliance, and adhere to good management practices.  (See Finding 1)</w:t>
      </w:r>
    </w:p>
    <w:p w:rsidR="00A426C4" w:rsidRDefault="00A426C4" w:rsidP="00A426C4">
      <w:r>
        <w:t>Responsibility for oversight and regulatory compliance should be assigned to an appropriate leader with subordinates who can provide assistance and back-up.  The responsibilities should ensure the following:</w:t>
      </w:r>
    </w:p>
    <w:p w:rsidR="00A426C4" w:rsidRDefault="00A426C4" w:rsidP="00A426C4">
      <w:pPr>
        <w:pStyle w:val="Bullet"/>
      </w:pPr>
      <w:r>
        <w:t>Good affiliate relationship governance practices are followed</w:t>
      </w:r>
    </w:p>
    <w:p w:rsidR="00A426C4" w:rsidRDefault="00A426C4" w:rsidP="00A426C4">
      <w:pPr>
        <w:pStyle w:val="Bullet"/>
      </w:pPr>
      <w:r>
        <w:t>Affiliate transactions are tracked with a high degree of granularity and a summary report of all affiliate transactions is compiled and published</w:t>
      </w:r>
    </w:p>
    <w:p w:rsidR="00A426C4" w:rsidRDefault="00A426C4" w:rsidP="00A426C4">
      <w:pPr>
        <w:pStyle w:val="Bullet"/>
      </w:pPr>
      <w:r>
        <w:t>Individual service level agreements with each affiliate are current and approved</w:t>
      </w:r>
    </w:p>
    <w:p w:rsidR="00A426C4" w:rsidRDefault="00A426C4" w:rsidP="00A426C4">
      <w:pPr>
        <w:pStyle w:val="Bullet"/>
      </w:pPr>
      <w:r>
        <w:t>Affiliate service levels are delivered as specified</w:t>
      </w:r>
    </w:p>
    <w:p w:rsidR="00A426C4" w:rsidRDefault="00A426C4" w:rsidP="00A426C4">
      <w:pPr>
        <w:pStyle w:val="Bullet"/>
      </w:pPr>
      <w:r>
        <w:t>Standards of Integrity include appropriate affiliate relationships language and all personnel with affiliate relationship responsibilities receive regular training</w:t>
      </w:r>
    </w:p>
    <w:p w:rsidR="00A426C4" w:rsidRDefault="00A426C4" w:rsidP="00A426C4">
      <w:pPr>
        <w:pStyle w:val="Bullet"/>
      </w:pPr>
      <w:r>
        <w:t>A comprehensive and current PPL Corporation cost allocation manual is followed</w:t>
      </w:r>
    </w:p>
    <w:p w:rsidR="00A426C4" w:rsidRDefault="00A426C4" w:rsidP="00A426C4">
      <w:pPr>
        <w:pStyle w:val="Bullet"/>
      </w:pPr>
      <w:r>
        <w:t>All affiliate transactions are priced appropriately and the prices are fully documented</w:t>
      </w:r>
    </w:p>
    <w:p w:rsidR="00A426C4" w:rsidRDefault="00A426C4" w:rsidP="00A426C4">
      <w:pPr>
        <w:pStyle w:val="Bullet"/>
      </w:pPr>
      <w:r>
        <w:t>The value of each affiliate relationship is validated by external evidence, such as periodic benchmarking studies</w:t>
      </w:r>
    </w:p>
    <w:p w:rsidR="00A426C4" w:rsidRDefault="00A426C4" w:rsidP="00A426C4">
      <w:pPr>
        <w:pStyle w:val="Bullet"/>
      </w:pPr>
      <w:r>
        <w:t>Each affiliate relationship has adequate ring fencing</w:t>
      </w:r>
    </w:p>
    <w:p w:rsidR="00A426C4" w:rsidRDefault="00A426C4" w:rsidP="00A426C4">
      <w:pPr>
        <w:pStyle w:val="Bullet"/>
      </w:pPr>
      <w:r>
        <w:t>Affiliate relationship internal audits are conducted on a regular basis</w:t>
      </w:r>
    </w:p>
    <w:p w:rsidR="00A426C4" w:rsidRDefault="00A426C4" w:rsidP="00992348">
      <w:pPr>
        <w:pStyle w:val="Findings"/>
        <w:spacing w:before="120"/>
      </w:pPr>
      <w:r>
        <w:t>Consolidate PPL EUS into PPL SC and PPL EU and recast PPL SC as the PPL Corporation leadership function.  (See Findings 2 and 3)</w:t>
      </w:r>
    </w:p>
    <w:p w:rsidR="00A426C4" w:rsidRDefault="00A426C4" w:rsidP="00A426C4">
      <w:r>
        <w:t>Currently, there are conflicting PPL Corporation macro-organizational trends.  On one hand, the Pennsylvania and Kentucky IT organizations are being consolidated under a single CIO and a new Global Chief Compliance Officer position has been established with responsibilities for all of the PPL Corporation subsidiaries.  Conversely, the Cash Management unit, which serves multiple PPL Corporation subsidiaries, is being transferred to PPL EUS from PPL SC.</w:t>
      </w:r>
    </w:p>
    <w:p w:rsidR="00A426C4" w:rsidRDefault="00A426C4" w:rsidP="00A426C4">
      <w:r>
        <w:t xml:space="preserve">PPL EUS should be eliminated and its shared services functions consolidated into PPL SC and PPL EU.  This will reduce organizational confusion and the risk of redundant work efforts.  PPL EUS employees who only serve PPL EU should be part of PPL EU.  Employees who normally serve PPL EU and one or more other subsidiaries should be PPL SC employees. </w:t>
      </w:r>
    </w:p>
    <w:p w:rsidR="00A426C4" w:rsidRDefault="00A426C4" w:rsidP="00A426C4">
      <w:r>
        <w:lastRenderedPageBreak/>
        <w:t xml:space="preserve">Further, PPL SC should be recast as a PPL Corporation enterprise-wide corporate staff function with those personnel who have responsibility for performing PPL Corporation level functions, like SEC reporting, and those individuals with oversight responsibility for selected functions within the three operating groups (PPL EU, LKE, and </w:t>
      </w:r>
      <w:r w:rsidR="00876A9D">
        <w:t>WPD Midlands</w:t>
      </w:r>
      <w:r>
        <w:t xml:space="preserve">), such as an enterprise-wide chief financial officer, general counsel, chief information officer, supply chain leader, and human resources leader.  These responsibilities for oversight of common functions among LKE, </w:t>
      </w:r>
      <w:r w:rsidR="00876A9D">
        <w:t>WPD Midlands</w:t>
      </w:r>
      <w:r>
        <w:t xml:space="preserve">, and PPL EU would have to be created, as they do not currently exist.  PPL SC would also house employees who regularly serve PPL EU and one or more other subsidiaries. </w:t>
      </w:r>
    </w:p>
    <w:p w:rsidR="00A426C4" w:rsidRPr="00BC3936" w:rsidRDefault="00A426C4" w:rsidP="0011052F">
      <w:pPr>
        <w:pStyle w:val="Findings"/>
      </w:pPr>
      <w:r>
        <w:t>Consider establishing</w:t>
      </w:r>
      <w:r w:rsidRPr="00BC3936">
        <w:t xml:space="preserve"> a conventional corporate money pool and cease the CEP Commerce and CEP Lending relationships.  (See Finding 4)</w:t>
      </w:r>
    </w:p>
    <w:p w:rsidR="00A426C4" w:rsidRDefault="00A426C4" w:rsidP="00A426C4">
      <w:r w:rsidRPr="00BC3936">
        <w:t>PPL</w:t>
      </w:r>
      <w:r w:rsidRPr="00BC3936">
        <w:rPr>
          <w:b/>
        </w:rPr>
        <w:t xml:space="preserve"> </w:t>
      </w:r>
      <w:r>
        <w:t xml:space="preserve">EU cash management is currently obscure and may have unnecessary risks.  Prior to the Talen spinoff, the number of affiliates, particularly unregulated affiliates, significantly increased the risk of affiliate transactions, including lending cash between affiliates.  With PPL Corporation focusing on regulated entities, the risk of PPL EU borrowing and lending cash with other subsidiaries has been reduced.  PPL Corporation should consider establishing a conventional corporate money pool with adequate protections for PPL EU.  PPL EU might benefit from lower short-term borrowing costs and higher lending returns.  The affiliate relationships with CEP Commerce, CEP Lending, and the other entities in that chain would then be eliminated.  Of course, any needed state and federal regulatory approvals would have to be obtained if a corporate money pool is established.   </w:t>
      </w:r>
    </w:p>
    <w:p w:rsidR="00A426C4" w:rsidRDefault="00A426C4" w:rsidP="00A426C4">
      <w:r>
        <w:t>If PPL Corporation decides to establish a conventional corporate money pool, it should include the following considerations:</w:t>
      </w:r>
    </w:p>
    <w:p w:rsidR="00A426C4" w:rsidRDefault="00A426C4" w:rsidP="00A426C4">
      <w:pPr>
        <w:pStyle w:val="Bullet"/>
      </w:pPr>
      <w:r>
        <w:t>Negotiation of a thorough money pool agreement, policies, and procedures that protect the PPL EU ratepayers and is signed by all participants</w:t>
      </w:r>
    </w:p>
    <w:p w:rsidR="00A426C4" w:rsidRDefault="00A426C4" w:rsidP="00A426C4">
      <w:pPr>
        <w:pStyle w:val="Bullet"/>
      </w:pPr>
      <w:r>
        <w:t>The money pool should be limited to short-term borrowing and lending</w:t>
      </w:r>
    </w:p>
    <w:p w:rsidR="00A426C4" w:rsidRDefault="00A426C4" w:rsidP="00A426C4">
      <w:pPr>
        <w:pStyle w:val="Bullet"/>
      </w:pPr>
      <w:r>
        <w:t>Nonregulated affiliates may only be lenders, not borrowers, in the money pool unless they have a documented line of credit to cover all borrowings from the money pool and have an investment grade credit rating</w:t>
      </w:r>
    </w:p>
    <w:p w:rsidR="00A426C4" w:rsidRDefault="00A426C4" w:rsidP="00A426C4">
      <w:pPr>
        <w:pStyle w:val="Bullet"/>
      </w:pPr>
      <w:r>
        <w:t>Borrowing and lending interest rates to PPL EU are as good or better than can be obtained independently from the corporate money pool</w:t>
      </w:r>
    </w:p>
    <w:p w:rsidR="00A426C4" w:rsidRDefault="00A426C4" w:rsidP="00A426C4">
      <w:pPr>
        <w:pStyle w:val="Bullet"/>
      </w:pPr>
      <w:r>
        <w:t>Appropriate borrowing limits set for each participant</w:t>
      </w:r>
    </w:p>
    <w:p w:rsidR="00A426C4" w:rsidRDefault="00A426C4" w:rsidP="00A426C4">
      <w:pPr>
        <w:pStyle w:val="Bullet"/>
        <w:spacing w:after="120"/>
      </w:pPr>
      <w:r>
        <w:t>PPL EU should keep its separate bank account</w:t>
      </w:r>
    </w:p>
    <w:p w:rsidR="00A426C4" w:rsidRPr="00BC3936" w:rsidRDefault="00A426C4" w:rsidP="009A3E36">
      <w:pPr>
        <w:pStyle w:val="Findings"/>
        <w:spacing w:before="120"/>
      </w:pPr>
      <w:r w:rsidRPr="00BC3936">
        <w:t>PPL Corporation should consider further reducing PPL EU’s exposure to affiliate relationships and streamline the corporate organization structure.  (See Finding 5)</w:t>
      </w:r>
    </w:p>
    <w:p w:rsidR="00A426C4" w:rsidRDefault="00A426C4" w:rsidP="00A426C4">
      <w:r>
        <w:t>Additional actions PPL Corporation could take to further reduce PPL EU’s exposure to affiliate relationships include:</w:t>
      </w:r>
    </w:p>
    <w:p w:rsidR="00A426C4" w:rsidRDefault="00A426C4" w:rsidP="00A426C4">
      <w:pPr>
        <w:pStyle w:val="Bullet"/>
      </w:pPr>
      <w:r>
        <w:t>The sale of PPLSolutions to an unaffiliated party (which was under consideration a</w:t>
      </w:r>
      <w:r w:rsidR="00A42442">
        <w:t>s of December 31, 2015</w:t>
      </w:r>
      <w:r w:rsidR="00876A9D">
        <w:t xml:space="preserve"> and was sold on July 1, 2016</w:t>
      </w:r>
      <w:r>
        <w:t>)</w:t>
      </w:r>
    </w:p>
    <w:p w:rsidR="00A426C4" w:rsidRDefault="00A426C4" w:rsidP="00A426C4">
      <w:pPr>
        <w:pStyle w:val="Bullet"/>
      </w:pPr>
      <w:r>
        <w:lastRenderedPageBreak/>
        <w:t xml:space="preserve">The closing of Infrastructure and the transfer of its functions into PPL EU Transmission and Substations in PPL EU if tax and cost ramifications are not prohibitive </w:t>
      </w:r>
    </w:p>
    <w:p w:rsidR="00A426C4" w:rsidRDefault="00A426C4" w:rsidP="00A426C4">
      <w:pPr>
        <w:pStyle w:val="Bullet"/>
      </w:pPr>
      <w:r>
        <w:t>The transfer of the workers compensation administration into PPL SC Risk Management and the closing of PPL Power Insurance</w:t>
      </w:r>
    </w:p>
    <w:p w:rsidR="00A426C4" w:rsidRDefault="00A426C4" w:rsidP="00A426C4">
      <w:pPr>
        <w:pStyle w:val="Bullet"/>
      </w:pPr>
      <w:r>
        <w:t>The consolidation of PPL EUS into PPL SC if tax and cost ramifications are not prohibitive</w:t>
      </w:r>
    </w:p>
    <w:p w:rsidR="00A426C4" w:rsidRDefault="00A426C4" w:rsidP="00A426C4">
      <w:pPr>
        <w:pStyle w:val="Bullet"/>
      </w:pPr>
      <w:r>
        <w:t>The replacement of the CEP Commerce and CEP Lending relationships with a conventional corporate money pool administered by PPL SC Cash Management</w:t>
      </w:r>
    </w:p>
    <w:p w:rsidR="00A426C4" w:rsidRPr="00C505EA" w:rsidRDefault="00A426C4" w:rsidP="009A3E36">
      <w:pPr>
        <w:pStyle w:val="Normal-aftertable"/>
      </w:pPr>
      <w:r>
        <w:t xml:space="preserve">While PPL Corporation may lose some financial contributions from these entities, it would benefit from a simplified structure and reduced affiliate relationship regulatory compliance requirements.  </w:t>
      </w:r>
    </w:p>
    <w:p w:rsidR="00A426C4" w:rsidRDefault="00A426C4" w:rsidP="004F00E5">
      <w:pPr>
        <w:pStyle w:val="Heading2"/>
        <w:numPr>
          <w:ilvl w:val="0"/>
          <w:numId w:val="104"/>
        </w:numPr>
      </w:pPr>
      <w:bookmarkStart w:id="48" w:name="_Toc464551986"/>
      <w:r>
        <w:t>affiliate governance</w:t>
      </w:r>
      <w:bookmarkEnd w:id="48"/>
    </w:p>
    <w:p w:rsidR="005B2A02" w:rsidRDefault="005B2A02" w:rsidP="005123A6">
      <w:pPr>
        <w:pStyle w:val="Heading-forToC"/>
      </w:pPr>
      <w:bookmarkStart w:id="49" w:name="_Toc464551987"/>
      <w:r>
        <w:t>background</w:t>
      </w:r>
      <w:bookmarkEnd w:id="49"/>
    </w:p>
    <w:p w:rsidR="00A426C4" w:rsidRDefault="00A426C4" w:rsidP="00A426C4">
      <w:r>
        <w:t xml:space="preserve">Corporations have boards of directors and limited liability companies have boards of managers. The table on the following pages shows the members of the boards of directors or managers and the officers for PPL EU and each of the PPL EU affiliates except LG&amp;E and KU which have no common directors and officers with PPL EU.  </w:t>
      </w:r>
    </w:p>
    <w:p w:rsidR="00A426C4" w:rsidRDefault="00A426C4" w:rsidP="00A426C4">
      <w:pPr>
        <w:sectPr w:rsidR="00A426C4" w:rsidSect="00A426C4">
          <w:footerReference w:type="default" r:id="rId24"/>
          <w:type w:val="continuous"/>
          <w:pgSz w:w="12240" w:h="15840"/>
          <w:pgMar w:top="1440" w:right="1440" w:bottom="1440" w:left="1440" w:header="720" w:footer="576" w:gutter="0"/>
          <w:cols w:space="720"/>
          <w:docGrid w:linePitch="360"/>
        </w:sectPr>
      </w:pPr>
    </w:p>
    <w:p w:rsidR="00A426C4" w:rsidRDefault="00356110" w:rsidP="00356110">
      <w:pPr>
        <w:pStyle w:val="Caption"/>
      </w:pPr>
      <w:bookmarkStart w:id="50" w:name="_Toc464552945"/>
      <w:r>
        <w:lastRenderedPageBreak/>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D10053">
        <w:br/>
      </w:r>
      <w:r w:rsidR="00A426C4">
        <w:t xml:space="preserve">Members of the Board of Directors or Managers (B) and Officers (O) </w:t>
      </w:r>
      <w:r>
        <w:br/>
      </w:r>
      <w:r w:rsidR="00A426C4">
        <w:t>for PPL EU and Each of PPL EU’s Affiliates</w:t>
      </w:r>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1973"/>
        <w:gridCol w:w="897"/>
        <w:gridCol w:w="736"/>
        <w:gridCol w:w="774"/>
        <w:gridCol w:w="794"/>
        <w:gridCol w:w="1790"/>
        <w:gridCol w:w="1798"/>
        <w:gridCol w:w="1446"/>
        <w:gridCol w:w="1605"/>
        <w:gridCol w:w="1377"/>
      </w:tblGrid>
      <w:tr w:rsidR="00A426C4" w:rsidRPr="00E319FB" w:rsidTr="005C402E">
        <w:trPr>
          <w:cantSplit/>
          <w:tblHeader/>
          <w:jc w:val="center"/>
        </w:trPr>
        <w:tc>
          <w:tcPr>
            <w:tcW w:w="1973" w:type="dxa"/>
            <w:shd w:val="clear" w:color="auto" w:fill="A5CD7E"/>
            <w:vAlign w:val="center"/>
          </w:tcPr>
          <w:p w:rsidR="00A426C4" w:rsidRPr="00E319FB" w:rsidRDefault="00A426C4" w:rsidP="006304A4">
            <w:pPr>
              <w:spacing w:before="120"/>
              <w:jc w:val="center"/>
              <w:rPr>
                <w:b/>
              </w:rPr>
            </w:pPr>
            <w:r w:rsidRPr="00E319FB">
              <w:rPr>
                <w:b/>
              </w:rPr>
              <w:t>Employer and Position</w:t>
            </w:r>
          </w:p>
        </w:tc>
        <w:tc>
          <w:tcPr>
            <w:tcW w:w="897" w:type="dxa"/>
            <w:shd w:val="clear" w:color="auto" w:fill="A5CD7E"/>
            <w:vAlign w:val="center"/>
          </w:tcPr>
          <w:p w:rsidR="00A426C4" w:rsidRPr="00E319FB" w:rsidRDefault="00A426C4" w:rsidP="006304A4">
            <w:pPr>
              <w:spacing w:before="120"/>
              <w:jc w:val="center"/>
              <w:rPr>
                <w:b/>
              </w:rPr>
            </w:pPr>
            <w:r w:rsidRPr="00E319FB">
              <w:rPr>
                <w:b/>
              </w:rPr>
              <w:t>PPL Corp.</w:t>
            </w:r>
          </w:p>
        </w:tc>
        <w:tc>
          <w:tcPr>
            <w:tcW w:w="736" w:type="dxa"/>
            <w:shd w:val="clear" w:color="auto" w:fill="A5CD7E"/>
            <w:vAlign w:val="center"/>
          </w:tcPr>
          <w:p w:rsidR="00A426C4" w:rsidRPr="00E319FB" w:rsidRDefault="00A426C4" w:rsidP="006304A4">
            <w:pPr>
              <w:spacing w:before="120"/>
              <w:jc w:val="center"/>
              <w:rPr>
                <w:b/>
              </w:rPr>
            </w:pPr>
            <w:r w:rsidRPr="00E319FB">
              <w:rPr>
                <w:b/>
              </w:rPr>
              <w:t>PPL EU</w:t>
            </w:r>
          </w:p>
        </w:tc>
        <w:tc>
          <w:tcPr>
            <w:tcW w:w="774" w:type="dxa"/>
            <w:shd w:val="clear" w:color="auto" w:fill="A5CD7E"/>
            <w:vAlign w:val="center"/>
          </w:tcPr>
          <w:p w:rsidR="00A426C4" w:rsidRPr="00E319FB" w:rsidRDefault="00A426C4" w:rsidP="006304A4">
            <w:pPr>
              <w:spacing w:before="120"/>
              <w:jc w:val="center"/>
              <w:rPr>
                <w:b/>
              </w:rPr>
            </w:pPr>
            <w:r w:rsidRPr="00E319FB">
              <w:rPr>
                <w:b/>
              </w:rPr>
              <w:t>PPL SC</w:t>
            </w:r>
          </w:p>
        </w:tc>
        <w:tc>
          <w:tcPr>
            <w:tcW w:w="794" w:type="dxa"/>
            <w:shd w:val="clear" w:color="auto" w:fill="A5CD7E"/>
            <w:vAlign w:val="center"/>
          </w:tcPr>
          <w:p w:rsidR="00A426C4" w:rsidRPr="00E319FB" w:rsidRDefault="00A426C4" w:rsidP="006304A4">
            <w:pPr>
              <w:spacing w:before="120"/>
              <w:jc w:val="center"/>
              <w:rPr>
                <w:b/>
              </w:rPr>
            </w:pPr>
            <w:r w:rsidRPr="00E319FB">
              <w:rPr>
                <w:b/>
              </w:rPr>
              <w:t>PPL EUS</w:t>
            </w:r>
          </w:p>
        </w:tc>
        <w:tc>
          <w:tcPr>
            <w:tcW w:w="1790" w:type="dxa"/>
            <w:shd w:val="clear" w:color="auto" w:fill="A5CD7E"/>
            <w:vAlign w:val="center"/>
          </w:tcPr>
          <w:p w:rsidR="00A426C4" w:rsidRPr="00E319FB" w:rsidRDefault="00A426C4" w:rsidP="006304A4">
            <w:pPr>
              <w:spacing w:before="120"/>
              <w:jc w:val="center"/>
              <w:rPr>
                <w:b/>
              </w:rPr>
            </w:pPr>
            <w:r w:rsidRPr="00E319FB">
              <w:rPr>
                <w:b/>
              </w:rPr>
              <w:t>PPLSolutions</w:t>
            </w:r>
          </w:p>
        </w:tc>
        <w:tc>
          <w:tcPr>
            <w:tcW w:w="1798" w:type="dxa"/>
            <w:shd w:val="clear" w:color="auto" w:fill="A5CD7E"/>
            <w:vAlign w:val="center"/>
          </w:tcPr>
          <w:p w:rsidR="00A426C4" w:rsidRPr="00E319FB" w:rsidRDefault="00A426C4" w:rsidP="006304A4">
            <w:pPr>
              <w:spacing w:before="120"/>
              <w:jc w:val="center"/>
              <w:rPr>
                <w:b/>
              </w:rPr>
            </w:pPr>
            <w:r w:rsidRPr="00E319FB">
              <w:rPr>
                <w:b/>
              </w:rPr>
              <w:t>PPL Infrastructure Services</w:t>
            </w:r>
          </w:p>
        </w:tc>
        <w:tc>
          <w:tcPr>
            <w:tcW w:w="1446" w:type="dxa"/>
            <w:shd w:val="clear" w:color="auto" w:fill="A5CD7E"/>
            <w:vAlign w:val="center"/>
          </w:tcPr>
          <w:p w:rsidR="00A426C4" w:rsidRPr="00E319FB" w:rsidRDefault="00A426C4" w:rsidP="006304A4">
            <w:pPr>
              <w:spacing w:before="120"/>
              <w:jc w:val="center"/>
              <w:rPr>
                <w:b/>
              </w:rPr>
            </w:pPr>
            <w:r w:rsidRPr="00E319FB">
              <w:rPr>
                <w:b/>
              </w:rPr>
              <w:t>PPL Power Insurance</w:t>
            </w:r>
          </w:p>
        </w:tc>
        <w:tc>
          <w:tcPr>
            <w:tcW w:w="1605" w:type="dxa"/>
            <w:shd w:val="clear" w:color="auto" w:fill="A5CD7E"/>
            <w:vAlign w:val="center"/>
          </w:tcPr>
          <w:p w:rsidR="00A426C4" w:rsidRPr="00E319FB" w:rsidRDefault="00A426C4" w:rsidP="006304A4">
            <w:pPr>
              <w:spacing w:before="120"/>
              <w:jc w:val="center"/>
              <w:rPr>
                <w:b/>
              </w:rPr>
            </w:pPr>
            <w:r w:rsidRPr="00E319FB">
              <w:rPr>
                <w:b/>
              </w:rPr>
              <w:t>CEP Commerce, LLC</w:t>
            </w:r>
          </w:p>
        </w:tc>
        <w:tc>
          <w:tcPr>
            <w:tcW w:w="1377" w:type="dxa"/>
            <w:shd w:val="clear" w:color="auto" w:fill="A5CD7E"/>
            <w:vAlign w:val="center"/>
          </w:tcPr>
          <w:p w:rsidR="00A426C4" w:rsidRPr="00E319FB" w:rsidRDefault="00A426C4" w:rsidP="006304A4">
            <w:pPr>
              <w:spacing w:before="120"/>
              <w:jc w:val="center"/>
              <w:rPr>
                <w:b/>
              </w:rPr>
            </w:pPr>
            <w:r w:rsidRPr="00E319FB">
              <w:rPr>
                <w:b/>
              </w:rPr>
              <w:t>TransLink</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CEO</w:t>
            </w:r>
          </w:p>
        </w:tc>
        <w:tc>
          <w:tcPr>
            <w:tcW w:w="897" w:type="dxa"/>
            <w:vAlign w:val="center"/>
          </w:tcPr>
          <w:p w:rsidR="00A426C4" w:rsidRDefault="00A426C4" w:rsidP="00A426C4">
            <w:pPr>
              <w:spacing w:after="0"/>
              <w:jc w:val="center"/>
            </w:pPr>
            <w:r>
              <w:t>B/O</w:t>
            </w:r>
          </w:p>
        </w:tc>
        <w:tc>
          <w:tcPr>
            <w:tcW w:w="736" w:type="dxa"/>
            <w:shd w:val="clear" w:color="auto" w:fill="auto"/>
            <w:vAlign w:val="center"/>
          </w:tcPr>
          <w:p w:rsidR="00A426C4" w:rsidRDefault="00A426C4" w:rsidP="00A426C4">
            <w:pPr>
              <w:spacing w:after="0"/>
              <w:jc w:val="center"/>
            </w:pPr>
            <w:r>
              <w:t>B</w:t>
            </w:r>
          </w:p>
        </w:tc>
        <w:tc>
          <w:tcPr>
            <w:tcW w:w="774" w:type="dxa"/>
            <w:shd w:val="clear" w:color="auto" w:fill="auto"/>
            <w:vAlign w:val="center"/>
          </w:tcPr>
          <w:p w:rsidR="00A426C4" w:rsidRDefault="00A426C4" w:rsidP="00A426C4">
            <w:pPr>
              <w:spacing w:after="0"/>
              <w:jc w:val="center"/>
            </w:pPr>
            <w:r>
              <w:t>B/O</w:t>
            </w:r>
          </w:p>
        </w:tc>
        <w:tc>
          <w:tcPr>
            <w:tcW w:w="794" w:type="dxa"/>
            <w:shd w:val="clear" w:color="auto" w:fill="auto"/>
            <w:vAlign w:val="center"/>
          </w:tcPr>
          <w:p w:rsidR="00A426C4" w:rsidRDefault="00A426C4" w:rsidP="00A426C4">
            <w:pPr>
              <w:spacing w:after="0"/>
              <w:jc w:val="center"/>
            </w:pPr>
            <w:r>
              <w:t>B</w:t>
            </w: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EVP &amp; CLO</w:t>
            </w:r>
          </w:p>
        </w:tc>
        <w:tc>
          <w:tcPr>
            <w:tcW w:w="897" w:type="dxa"/>
            <w:vAlign w:val="center"/>
          </w:tcPr>
          <w:p w:rsidR="00A426C4" w:rsidRDefault="00A426C4" w:rsidP="00A426C4">
            <w:pPr>
              <w:spacing w:after="0"/>
              <w:jc w:val="center"/>
            </w:pPr>
            <w:r>
              <w:t>O</w:t>
            </w:r>
          </w:p>
        </w:tc>
        <w:tc>
          <w:tcPr>
            <w:tcW w:w="736" w:type="dxa"/>
            <w:shd w:val="clear" w:color="auto" w:fill="auto"/>
            <w:vAlign w:val="center"/>
          </w:tcPr>
          <w:p w:rsidR="00A426C4" w:rsidRDefault="00A426C4" w:rsidP="00A426C4">
            <w:pPr>
              <w:spacing w:after="0"/>
              <w:jc w:val="center"/>
            </w:pPr>
            <w:r>
              <w:t>B</w:t>
            </w:r>
          </w:p>
        </w:tc>
        <w:tc>
          <w:tcPr>
            <w:tcW w:w="774" w:type="dxa"/>
            <w:shd w:val="clear" w:color="auto" w:fill="auto"/>
            <w:vAlign w:val="center"/>
          </w:tcPr>
          <w:p w:rsidR="00A426C4" w:rsidRDefault="00A426C4" w:rsidP="00A426C4">
            <w:pPr>
              <w:spacing w:after="0"/>
              <w:jc w:val="center"/>
            </w:pPr>
            <w:r>
              <w:t>B/O</w:t>
            </w:r>
          </w:p>
        </w:tc>
        <w:tc>
          <w:tcPr>
            <w:tcW w:w="794" w:type="dxa"/>
            <w:shd w:val="clear" w:color="auto" w:fill="auto"/>
            <w:vAlign w:val="center"/>
          </w:tcPr>
          <w:p w:rsidR="00A426C4" w:rsidRDefault="00A426C4" w:rsidP="00A426C4">
            <w:pPr>
              <w:spacing w:after="0"/>
              <w:jc w:val="center"/>
            </w:pPr>
            <w:r>
              <w:t>B</w:t>
            </w: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SVP &amp; CFO</w:t>
            </w:r>
          </w:p>
        </w:tc>
        <w:tc>
          <w:tcPr>
            <w:tcW w:w="897" w:type="dxa"/>
            <w:vAlign w:val="center"/>
          </w:tcPr>
          <w:p w:rsidR="00A426C4" w:rsidRDefault="00A426C4" w:rsidP="00A426C4">
            <w:pPr>
              <w:spacing w:after="0"/>
              <w:jc w:val="center"/>
            </w:pPr>
            <w:r>
              <w:t>O</w:t>
            </w:r>
          </w:p>
        </w:tc>
        <w:tc>
          <w:tcPr>
            <w:tcW w:w="736" w:type="dxa"/>
            <w:shd w:val="clear" w:color="auto" w:fill="FFFF00"/>
            <w:vAlign w:val="center"/>
          </w:tcPr>
          <w:p w:rsidR="00A426C4" w:rsidRDefault="00A426C4" w:rsidP="00A426C4">
            <w:pPr>
              <w:spacing w:after="0"/>
              <w:jc w:val="center"/>
            </w:pPr>
            <w:r>
              <w:t>B</w:t>
            </w:r>
          </w:p>
        </w:tc>
        <w:tc>
          <w:tcPr>
            <w:tcW w:w="774" w:type="dxa"/>
            <w:shd w:val="clear" w:color="auto" w:fill="auto"/>
            <w:vAlign w:val="center"/>
          </w:tcPr>
          <w:p w:rsidR="00A426C4" w:rsidRDefault="00A426C4" w:rsidP="00A426C4">
            <w:pPr>
              <w:spacing w:after="0"/>
              <w:jc w:val="center"/>
            </w:pPr>
            <w:r>
              <w:t>B/O</w:t>
            </w:r>
          </w:p>
        </w:tc>
        <w:tc>
          <w:tcPr>
            <w:tcW w:w="794" w:type="dxa"/>
            <w:shd w:val="clear" w:color="auto" w:fill="auto"/>
            <w:vAlign w:val="center"/>
          </w:tcPr>
          <w:p w:rsidR="00A426C4" w:rsidRDefault="00A426C4" w:rsidP="00A426C4">
            <w:pPr>
              <w:spacing w:after="0"/>
              <w:jc w:val="center"/>
            </w:pPr>
            <w:r>
              <w:t>B</w:t>
            </w:r>
          </w:p>
        </w:tc>
        <w:tc>
          <w:tcPr>
            <w:tcW w:w="1790" w:type="dxa"/>
            <w:shd w:val="clear" w:color="auto" w:fill="FFFF00"/>
            <w:vAlign w:val="center"/>
          </w:tcPr>
          <w:p w:rsidR="00A426C4" w:rsidRDefault="00A426C4" w:rsidP="00A426C4">
            <w:pPr>
              <w:spacing w:after="0"/>
              <w:jc w:val="center"/>
            </w:pPr>
            <w:r>
              <w:t>B</w:t>
            </w:r>
          </w:p>
        </w:tc>
        <w:tc>
          <w:tcPr>
            <w:tcW w:w="1798" w:type="dxa"/>
            <w:shd w:val="clear" w:color="auto" w:fill="auto"/>
            <w:vAlign w:val="center"/>
          </w:tcPr>
          <w:p w:rsidR="00A426C4" w:rsidRDefault="00A426C4" w:rsidP="00A426C4">
            <w:pPr>
              <w:spacing w:after="0"/>
              <w:jc w:val="center"/>
            </w:pPr>
          </w:p>
        </w:tc>
        <w:tc>
          <w:tcPr>
            <w:tcW w:w="1446" w:type="dxa"/>
            <w:shd w:val="clear" w:color="auto" w:fill="FFFF00"/>
            <w:vAlign w:val="center"/>
          </w:tcPr>
          <w:p w:rsidR="00A426C4" w:rsidRDefault="00A426C4" w:rsidP="00A426C4">
            <w:pPr>
              <w:spacing w:after="0"/>
              <w:jc w:val="center"/>
            </w:pPr>
            <w:r>
              <w:t>B/O</w:t>
            </w:r>
          </w:p>
        </w:tc>
        <w:tc>
          <w:tcPr>
            <w:tcW w:w="1605" w:type="dxa"/>
            <w:shd w:val="clear" w:color="auto" w:fill="FFFF00"/>
            <w:vAlign w:val="center"/>
          </w:tcPr>
          <w:p w:rsidR="00A426C4" w:rsidRPr="00563F8A" w:rsidRDefault="00A426C4" w:rsidP="00A426C4">
            <w:pPr>
              <w:spacing w:after="0"/>
              <w:jc w:val="center"/>
              <w:rPr>
                <w:highlight w:val="yellow"/>
              </w:rPr>
            </w:pPr>
            <w:r>
              <w:rPr>
                <w:highlight w:val="yellow"/>
              </w:rPr>
              <w:t>B/O</w:t>
            </w:r>
          </w:p>
        </w:tc>
        <w:tc>
          <w:tcPr>
            <w:tcW w:w="1377" w:type="dxa"/>
            <w:shd w:val="clear" w:color="auto" w:fill="FFFF00"/>
            <w:vAlign w:val="center"/>
          </w:tcPr>
          <w:p w:rsidR="00A426C4" w:rsidRPr="00563F8A" w:rsidRDefault="00A426C4" w:rsidP="00A426C4">
            <w:pPr>
              <w:spacing w:after="0"/>
              <w:jc w:val="center"/>
              <w:rPr>
                <w:highlight w:val="yellow"/>
              </w:rPr>
            </w:pPr>
            <w:r>
              <w:rPr>
                <w:highlight w:val="yellow"/>
              </w:rPr>
              <w:t>B</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SVP, GC &amp; Corp</w:t>
            </w:r>
            <w:r w:rsidR="002531AA">
              <w:t>orate</w:t>
            </w:r>
            <w:r>
              <w:t xml:space="preserve"> Sec</w:t>
            </w:r>
            <w:r w:rsidR="002531AA">
              <w:t>retary</w:t>
            </w:r>
          </w:p>
        </w:tc>
        <w:tc>
          <w:tcPr>
            <w:tcW w:w="897" w:type="dxa"/>
            <w:vAlign w:val="center"/>
          </w:tcPr>
          <w:p w:rsidR="00A426C4" w:rsidRDefault="00A426C4" w:rsidP="00A426C4">
            <w:pPr>
              <w:spacing w:after="0"/>
              <w:jc w:val="center"/>
            </w:pPr>
            <w:r>
              <w:t>O</w:t>
            </w: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r>
              <w:t>B</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VP, Treas</w:t>
            </w:r>
            <w:r w:rsidR="00AE5A38">
              <w:t>urer</w:t>
            </w:r>
            <w:r>
              <w:t>, &amp; CRO</w:t>
            </w:r>
          </w:p>
        </w:tc>
        <w:tc>
          <w:tcPr>
            <w:tcW w:w="897" w:type="dxa"/>
            <w:vAlign w:val="center"/>
          </w:tcPr>
          <w:p w:rsidR="00A426C4" w:rsidRDefault="00A426C4" w:rsidP="00A426C4">
            <w:pPr>
              <w:spacing w:after="0"/>
              <w:jc w:val="center"/>
            </w:pPr>
            <w:r>
              <w:t>O</w:t>
            </w:r>
          </w:p>
        </w:tc>
        <w:tc>
          <w:tcPr>
            <w:tcW w:w="736" w:type="dxa"/>
            <w:shd w:val="clear" w:color="auto" w:fill="FFFF00"/>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Default="00A426C4" w:rsidP="00A426C4">
            <w:pPr>
              <w:spacing w:after="0"/>
              <w:jc w:val="center"/>
            </w:pPr>
            <w:r>
              <w:t>B/O</w:t>
            </w:r>
          </w:p>
        </w:tc>
        <w:tc>
          <w:tcPr>
            <w:tcW w:w="1798" w:type="dxa"/>
            <w:shd w:val="clear" w:color="auto" w:fill="FFFF00"/>
            <w:vAlign w:val="center"/>
          </w:tcPr>
          <w:p w:rsidR="00A426C4" w:rsidRDefault="00A426C4" w:rsidP="00A426C4">
            <w:pPr>
              <w:spacing w:after="0"/>
              <w:jc w:val="center"/>
            </w:pPr>
            <w:r>
              <w:t>B/O</w:t>
            </w:r>
          </w:p>
        </w:tc>
        <w:tc>
          <w:tcPr>
            <w:tcW w:w="1446" w:type="dxa"/>
            <w:shd w:val="clear" w:color="auto" w:fill="FFFF00"/>
            <w:vAlign w:val="center"/>
          </w:tcPr>
          <w:p w:rsidR="00A426C4" w:rsidRDefault="00A426C4" w:rsidP="00A426C4">
            <w:pPr>
              <w:spacing w:after="0"/>
              <w:jc w:val="center"/>
            </w:pPr>
            <w:r>
              <w:t>B/O</w:t>
            </w:r>
          </w:p>
        </w:tc>
        <w:tc>
          <w:tcPr>
            <w:tcW w:w="1605" w:type="dxa"/>
            <w:shd w:val="clear" w:color="auto" w:fill="FFFF00"/>
            <w:vAlign w:val="center"/>
          </w:tcPr>
          <w:p w:rsidR="00A426C4" w:rsidRPr="00563F8A" w:rsidRDefault="00A426C4" w:rsidP="00A426C4">
            <w:pPr>
              <w:spacing w:after="0"/>
              <w:jc w:val="center"/>
              <w:rPr>
                <w:highlight w:val="yellow"/>
              </w:rPr>
            </w:pPr>
            <w:r w:rsidRPr="00563F8A">
              <w:rPr>
                <w:highlight w:val="yellow"/>
              </w:rPr>
              <w:t>B/O</w:t>
            </w:r>
          </w:p>
        </w:tc>
        <w:tc>
          <w:tcPr>
            <w:tcW w:w="1377" w:type="dxa"/>
            <w:shd w:val="clear" w:color="auto" w:fill="FFFF00"/>
            <w:vAlign w:val="center"/>
          </w:tcPr>
          <w:p w:rsidR="00A426C4" w:rsidRPr="00563F8A" w:rsidRDefault="00A426C4" w:rsidP="00A426C4">
            <w:pPr>
              <w:spacing w:after="0"/>
              <w:jc w:val="center"/>
              <w:rPr>
                <w:highlight w:val="yellow"/>
              </w:rPr>
            </w:pPr>
            <w:r w:rsidRPr="00563F8A">
              <w:rPr>
                <w:highlight w:val="yellow"/>
              </w:rPr>
              <w:t>O</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VP &amp; Contr</w:t>
            </w:r>
            <w:r w:rsidR="00AE5A38">
              <w:t>oller</w:t>
            </w:r>
          </w:p>
        </w:tc>
        <w:tc>
          <w:tcPr>
            <w:tcW w:w="897" w:type="dxa"/>
            <w:vAlign w:val="center"/>
          </w:tcPr>
          <w:p w:rsidR="00A426C4" w:rsidRDefault="00A426C4" w:rsidP="00A426C4">
            <w:pPr>
              <w:spacing w:after="0"/>
              <w:jc w:val="center"/>
            </w:pPr>
            <w:r>
              <w:t>O</w:t>
            </w:r>
          </w:p>
        </w:tc>
        <w:tc>
          <w:tcPr>
            <w:tcW w:w="736" w:type="dxa"/>
            <w:shd w:val="clear" w:color="auto" w:fill="FFFF00"/>
            <w:vAlign w:val="center"/>
          </w:tcPr>
          <w:p w:rsidR="00A426C4" w:rsidRDefault="00A426C4" w:rsidP="00A426C4">
            <w:pPr>
              <w:spacing w:after="0"/>
              <w:jc w:val="center"/>
            </w:pPr>
            <w:r w:rsidRPr="00563F8A">
              <w:rPr>
                <w:highlight w:val="yellow"/>
              </w:rP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Default="00A426C4" w:rsidP="00A426C4">
            <w:pPr>
              <w:spacing w:after="0"/>
              <w:jc w:val="center"/>
            </w:pPr>
            <w:r w:rsidRPr="00563F8A">
              <w:rPr>
                <w:highlight w:val="yellow"/>
              </w:rPr>
              <w:t>B</w:t>
            </w: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VP &amp; DGC</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E5A38">
            <w:pPr>
              <w:spacing w:after="0"/>
              <w:jc w:val="center"/>
            </w:pPr>
            <w:r>
              <w:t>PPL SC Tax VP (elected officer title is Ass</w:t>
            </w:r>
            <w:r w:rsidR="00AE5A38">
              <w:t>istant</w:t>
            </w:r>
            <w:r>
              <w:t xml:space="preserve"> Treasurer)</w:t>
            </w:r>
          </w:p>
        </w:tc>
        <w:tc>
          <w:tcPr>
            <w:tcW w:w="897" w:type="dxa"/>
            <w:vAlign w:val="center"/>
          </w:tcPr>
          <w:p w:rsidR="00A426C4" w:rsidRDefault="00A426C4" w:rsidP="00A426C4">
            <w:pPr>
              <w:spacing w:after="0"/>
              <w:jc w:val="center"/>
            </w:pPr>
            <w:r>
              <w:t>O</w:t>
            </w:r>
          </w:p>
        </w:tc>
        <w:tc>
          <w:tcPr>
            <w:tcW w:w="736" w:type="dxa"/>
            <w:shd w:val="clear" w:color="auto" w:fill="FFFF00"/>
            <w:vAlign w:val="center"/>
          </w:tcPr>
          <w:p w:rsidR="00A426C4" w:rsidRDefault="00A426C4" w:rsidP="00A426C4">
            <w:pPr>
              <w:spacing w:after="0"/>
              <w:jc w:val="center"/>
            </w:pPr>
            <w:r w:rsidRPr="00563F8A">
              <w:rPr>
                <w:highlight w:val="yellow"/>
              </w:rP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Pr="00563F8A" w:rsidRDefault="00A426C4" w:rsidP="00A426C4">
            <w:pPr>
              <w:spacing w:after="0"/>
              <w:jc w:val="center"/>
              <w:rPr>
                <w:highlight w:val="yellow"/>
              </w:rPr>
            </w:pPr>
            <w:r w:rsidRPr="00563F8A">
              <w:rPr>
                <w:highlight w:val="yellow"/>
              </w:rPr>
              <w:t>O</w:t>
            </w:r>
          </w:p>
        </w:tc>
        <w:tc>
          <w:tcPr>
            <w:tcW w:w="1798" w:type="dxa"/>
            <w:shd w:val="clear" w:color="auto" w:fill="FFFF00"/>
            <w:vAlign w:val="center"/>
          </w:tcPr>
          <w:p w:rsidR="00A426C4" w:rsidRPr="00563F8A" w:rsidRDefault="00A426C4" w:rsidP="00A426C4">
            <w:pPr>
              <w:spacing w:after="0"/>
              <w:jc w:val="center"/>
              <w:rPr>
                <w:highlight w:val="yellow"/>
              </w:rPr>
            </w:pPr>
            <w:r w:rsidRPr="00563F8A">
              <w:rPr>
                <w:highlight w:val="yellow"/>
              </w:rPr>
              <w:t>B/O</w:t>
            </w:r>
          </w:p>
        </w:tc>
        <w:tc>
          <w:tcPr>
            <w:tcW w:w="1446" w:type="dxa"/>
            <w:shd w:val="clear" w:color="auto" w:fill="FFFF00"/>
            <w:vAlign w:val="center"/>
          </w:tcPr>
          <w:p w:rsidR="00A426C4" w:rsidRPr="00563F8A" w:rsidRDefault="00A426C4" w:rsidP="00A426C4">
            <w:pPr>
              <w:spacing w:after="0"/>
              <w:jc w:val="center"/>
              <w:rPr>
                <w:highlight w:val="yellow"/>
              </w:rPr>
            </w:pPr>
            <w:r w:rsidRPr="00563F8A">
              <w:rPr>
                <w:highlight w:val="yellow"/>
              </w:rPr>
              <w:t>B/O</w:t>
            </w:r>
          </w:p>
        </w:tc>
        <w:tc>
          <w:tcPr>
            <w:tcW w:w="1605" w:type="dxa"/>
            <w:shd w:val="clear" w:color="auto" w:fill="FFFF00"/>
            <w:vAlign w:val="center"/>
          </w:tcPr>
          <w:p w:rsidR="00A426C4" w:rsidRPr="00563F8A" w:rsidRDefault="00A426C4" w:rsidP="00A426C4">
            <w:pPr>
              <w:spacing w:after="0"/>
              <w:jc w:val="center"/>
              <w:rPr>
                <w:highlight w:val="yellow"/>
              </w:rPr>
            </w:pPr>
            <w:r>
              <w:rPr>
                <w:highlight w:val="yellow"/>
              </w:rPr>
              <w:t>B/O</w:t>
            </w:r>
          </w:p>
        </w:tc>
        <w:tc>
          <w:tcPr>
            <w:tcW w:w="1377" w:type="dxa"/>
            <w:shd w:val="clear" w:color="auto" w:fill="FFFF00"/>
            <w:vAlign w:val="center"/>
          </w:tcPr>
          <w:p w:rsidR="00A426C4" w:rsidRPr="00563F8A" w:rsidRDefault="00A426C4" w:rsidP="00A426C4">
            <w:pPr>
              <w:spacing w:after="0"/>
              <w:jc w:val="center"/>
              <w:rPr>
                <w:highlight w:val="yellow"/>
              </w:rPr>
            </w:pPr>
            <w:r>
              <w:rPr>
                <w:highlight w:val="yellow"/>
              </w:rPr>
              <w:t>O</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AGC &amp; Ass</w:t>
            </w:r>
            <w:r w:rsidR="002531AA">
              <w:t>istant</w:t>
            </w:r>
            <w:r>
              <w:t xml:space="preserve"> Sec</w:t>
            </w:r>
            <w:r w:rsidR="002531AA">
              <w:t>retary</w:t>
            </w:r>
          </w:p>
        </w:tc>
        <w:tc>
          <w:tcPr>
            <w:tcW w:w="897" w:type="dxa"/>
            <w:vAlign w:val="center"/>
          </w:tcPr>
          <w:p w:rsidR="00A426C4" w:rsidRDefault="00A426C4" w:rsidP="00A426C4">
            <w:pPr>
              <w:spacing w:after="0"/>
              <w:jc w:val="center"/>
            </w:pPr>
          </w:p>
        </w:tc>
        <w:tc>
          <w:tcPr>
            <w:tcW w:w="736" w:type="dxa"/>
            <w:shd w:val="clear" w:color="auto" w:fill="FFFF00"/>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Default="00A426C4" w:rsidP="00A426C4">
            <w:pPr>
              <w:spacing w:after="0"/>
              <w:jc w:val="center"/>
            </w:pPr>
            <w:r>
              <w:t>O</w:t>
            </w:r>
          </w:p>
        </w:tc>
        <w:tc>
          <w:tcPr>
            <w:tcW w:w="1798" w:type="dxa"/>
            <w:shd w:val="clear" w:color="auto" w:fill="FFFF00"/>
            <w:vAlign w:val="center"/>
          </w:tcPr>
          <w:p w:rsidR="00A426C4" w:rsidRDefault="00A426C4" w:rsidP="00A426C4">
            <w:pPr>
              <w:spacing w:after="0"/>
              <w:jc w:val="center"/>
            </w:pPr>
            <w:r>
              <w:t>O</w:t>
            </w: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w:t>
            </w:r>
          </w:p>
          <w:p w:rsidR="00A426C4" w:rsidRDefault="00A426C4" w:rsidP="00A426C4">
            <w:pPr>
              <w:spacing w:after="0"/>
              <w:jc w:val="center"/>
            </w:pPr>
            <w:r>
              <w:t>Insurance S</w:t>
            </w:r>
            <w:r w:rsidR="00AE5A38">
              <w:t>enior</w:t>
            </w:r>
            <w:r>
              <w:t xml:space="preserve"> Analyst</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r>
              <w:t>O</w:t>
            </w: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lastRenderedPageBreak/>
              <w:t>PPL SC Dir – Finance (elected office</w:t>
            </w:r>
            <w:r w:rsidR="00876A9D">
              <w:t>r</w:t>
            </w:r>
            <w:r>
              <w:t xml:space="preserve"> title is Ass</w:t>
            </w:r>
            <w:r w:rsidR="00AE5A38">
              <w:t>istant</w:t>
            </w:r>
            <w:r>
              <w:t xml:space="preserve"> Treasurer)</w:t>
            </w:r>
          </w:p>
        </w:tc>
        <w:tc>
          <w:tcPr>
            <w:tcW w:w="897" w:type="dxa"/>
            <w:vAlign w:val="center"/>
          </w:tcPr>
          <w:p w:rsidR="00A426C4" w:rsidRDefault="00A426C4" w:rsidP="00A426C4">
            <w:pPr>
              <w:spacing w:after="0"/>
              <w:jc w:val="center"/>
            </w:pPr>
            <w:r w:rsidRPr="00BC3936">
              <w:t>O</w:t>
            </w:r>
          </w:p>
        </w:tc>
        <w:tc>
          <w:tcPr>
            <w:tcW w:w="736" w:type="dxa"/>
            <w:shd w:val="clear" w:color="auto" w:fill="FFFF00"/>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Default="00A426C4" w:rsidP="00A426C4">
            <w:pPr>
              <w:spacing w:after="0"/>
              <w:jc w:val="center"/>
            </w:pPr>
            <w:r>
              <w:t>O</w:t>
            </w:r>
          </w:p>
        </w:tc>
        <w:tc>
          <w:tcPr>
            <w:tcW w:w="1798" w:type="dxa"/>
            <w:shd w:val="clear" w:color="auto" w:fill="FFFF00"/>
            <w:vAlign w:val="center"/>
          </w:tcPr>
          <w:p w:rsidR="00A426C4" w:rsidRDefault="00A426C4" w:rsidP="00A426C4">
            <w:pPr>
              <w:spacing w:after="0"/>
              <w:jc w:val="center"/>
            </w:pPr>
            <w:r>
              <w:t>O</w:t>
            </w:r>
          </w:p>
        </w:tc>
        <w:tc>
          <w:tcPr>
            <w:tcW w:w="1446" w:type="dxa"/>
            <w:shd w:val="clear" w:color="auto" w:fill="FFFF00"/>
            <w:vAlign w:val="center"/>
          </w:tcPr>
          <w:p w:rsidR="00A426C4" w:rsidRPr="00460CEA" w:rsidRDefault="00A426C4" w:rsidP="00A426C4">
            <w:pPr>
              <w:jc w:val="center"/>
            </w:pPr>
            <w:r w:rsidRPr="00563F8A">
              <w:rPr>
                <w:highlight w:val="yellow"/>
              </w:rPr>
              <w:t>O</w:t>
            </w:r>
          </w:p>
        </w:tc>
        <w:tc>
          <w:tcPr>
            <w:tcW w:w="1605" w:type="dxa"/>
            <w:shd w:val="clear" w:color="auto" w:fill="FFFF00"/>
            <w:vAlign w:val="center"/>
          </w:tcPr>
          <w:p w:rsidR="00A426C4" w:rsidRPr="00460CEA" w:rsidRDefault="00A426C4" w:rsidP="00A426C4">
            <w:pPr>
              <w:spacing w:after="0"/>
              <w:jc w:val="center"/>
              <w:rPr>
                <w:highlight w:val="yellow"/>
              </w:rPr>
            </w:pPr>
            <w:r w:rsidRPr="00460CEA">
              <w:rPr>
                <w:highlight w:val="yellow"/>
              </w:rPr>
              <w:t>O</w:t>
            </w:r>
          </w:p>
        </w:tc>
        <w:tc>
          <w:tcPr>
            <w:tcW w:w="1377" w:type="dxa"/>
            <w:shd w:val="clear" w:color="auto" w:fill="FFFF00"/>
            <w:vAlign w:val="center"/>
          </w:tcPr>
          <w:p w:rsidR="00A426C4" w:rsidRPr="00460CEA" w:rsidRDefault="00A426C4" w:rsidP="00A426C4">
            <w:pPr>
              <w:spacing w:after="0"/>
              <w:jc w:val="center"/>
              <w:rPr>
                <w:highlight w:val="yellow"/>
              </w:rPr>
            </w:pPr>
            <w:r w:rsidRPr="00460CEA">
              <w:rPr>
                <w:highlight w:val="yellow"/>
              </w:rPr>
              <w:t>O</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SC Ass</w:t>
            </w:r>
            <w:r w:rsidR="00AE5A38">
              <w:t>is</w:t>
            </w:r>
            <w:r>
              <w:t>t</w:t>
            </w:r>
            <w:r w:rsidR="00AE5A38">
              <w:t>ant</w:t>
            </w:r>
            <w:r>
              <w:t xml:space="preserve"> Sec</w:t>
            </w:r>
            <w:r w:rsidR="00AE5A38">
              <w:t>retary</w:t>
            </w:r>
            <w:r>
              <w:t xml:space="preserve"> – B</w:t>
            </w:r>
            <w:r w:rsidR="00AE5A38">
              <w:t>oard</w:t>
            </w:r>
            <w:r>
              <w:t xml:space="preserve"> Services</w:t>
            </w:r>
          </w:p>
        </w:tc>
        <w:tc>
          <w:tcPr>
            <w:tcW w:w="897" w:type="dxa"/>
            <w:vAlign w:val="center"/>
          </w:tcPr>
          <w:p w:rsidR="00A426C4" w:rsidRDefault="00A426C4" w:rsidP="00A426C4">
            <w:pPr>
              <w:spacing w:after="0"/>
              <w:jc w:val="center"/>
            </w:pPr>
            <w:r>
              <w:t>O</w:t>
            </w:r>
          </w:p>
        </w:tc>
        <w:tc>
          <w:tcPr>
            <w:tcW w:w="736" w:type="dxa"/>
            <w:shd w:val="clear" w:color="auto" w:fill="FFFF00"/>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r>
              <w:t>O</w:t>
            </w:r>
          </w:p>
        </w:tc>
        <w:tc>
          <w:tcPr>
            <w:tcW w:w="794" w:type="dxa"/>
            <w:shd w:val="clear" w:color="auto" w:fill="auto"/>
            <w:vAlign w:val="center"/>
          </w:tcPr>
          <w:p w:rsidR="00A426C4" w:rsidRDefault="00A426C4" w:rsidP="00A426C4">
            <w:pPr>
              <w:spacing w:after="0"/>
              <w:jc w:val="center"/>
            </w:pPr>
            <w:r>
              <w:t>O</w:t>
            </w:r>
          </w:p>
        </w:tc>
        <w:tc>
          <w:tcPr>
            <w:tcW w:w="1790" w:type="dxa"/>
            <w:shd w:val="clear" w:color="auto" w:fill="FFFF00"/>
            <w:vAlign w:val="center"/>
          </w:tcPr>
          <w:p w:rsidR="00A426C4" w:rsidRDefault="00A426C4" w:rsidP="00A426C4">
            <w:pPr>
              <w:spacing w:after="0"/>
              <w:jc w:val="center"/>
            </w:pPr>
            <w:r>
              <w:t>O</w:t>
            </w:r>
          </w:p>
        </w:tc>
        <w:tc>
          <w:tcPr>
            <w:tcW w:w="1798" w:type="dxa"/>
            <w:shd w:val="clear" w:color="auto" w:fill="FFFF00"/>
            <w:vAlign w:val="center"/>
          </w:tcPr>
          <w:p w:rsidR="00A426C4" w:rsidRDefault="00A426C4" w:rsidP="00A426C4">
            <w:pPr>
              <w:spacing w:after="0"/>
              <w:jc w:val="center"/>
            </w:pPr>
            <w:r>
              <w:t>O</w:t>
            </w:r>
          </w:p>
        </w:tc>
        <w:tc>
          <w:tcPr>
            <w:tcW w:w="1446" w:type="dxa"/>
            <w:shd w:val="clear" w:color="auto" w:fill="auto"/>
            <w:vAlign w:val="center"/>
          </w:tcPr>
          <w:p w:rsidR="00A426C4" w:rsidRDefault="00A426C4" w:rsidP="00A426C4">
            <w:pPr>
              <w:spacing w:after="0"/>
              <w:jc w:val="center"/>
            </w:pPr>
          </w:p>
        </w:tc>
        <w:tc>
          <w:tcPr>
            <w:tcW w:w="1605" w:type="dxa"/>
            <w:shd w:val="clear" w:color="auto" w:fill="FFFF00"/>
            <w:vAlign w:val="center"/>
          </w:tcPr>
          <w:p w:rsidR="00A426C4" w:rsidRPr="00460CEA" w:rsidRDefault="00A426C4" w:rsidP="00A426C4">
            <w:pPr>
              <w:spacing w:after="0"/>
              <w:jc w:val="center"/>
            </w:pPr>
            <w:r w:rsidRPr="00460CEA">
              <w:t>O</w:t>
            </w:r>
          </w:p>
        </w:tc>
        <w:tc>
          <w:tcPr>
            <w:tcW w:w="1377" w:type="dxa"/>
            <w:shd w:val="clear" w:color="auto" w:fill="FFFF00"/>
            <w:vAlign w:val="center"/>
          </w:tcPr>
          <w:p w:rsidR="00A426C4" w:rsidRPr="00460CEA" w:rsidRDefault="00A426C4" w:rsidP="00A426C4">
            <w:pPr>
              <w:spacing w:after="0"/>
              <w:jc w:val="center"/>
            </w:pPr>
            <w:r w:rsidRPr="00460CEA">
              <w:t>O</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EU President</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r>
              <w:t>B/O</w:t>
            </w: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r>
              <w:t>B/O</w:t>
            </w: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shd w:val="clear" w:color="auto" w:fill="FFFF00"/>
            <w:vAlign w:val="center"/>
          </w:tcPr>
          <w:p w:rsidR="00A426C4" w:rsidRDefault="00A426C4" w:rsidP="00A426C4">
            <w:pPr>
              <w:spacing w:after="0"/>
              <w:jc w:val="center"/>
            </w:pPr>
            <w:r w:rsidRPr="00460CEA">
              <w:t>B</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 EU VP – T&amp;S</w:t>
            </w:r>
          </w:p>
        </w:tc>
        <w:tc>
          <w:tcPr>
            <w:tcW w:w="897" w:type="dxa"/>
            <w:vAlign w:val="center"/>
          </w:tcPr>
          <w:p w:rsidR="00A426C4" w:rsidRDefault="00A426C4" w:rsidP="00A426C4">
            <w:pPr>
              <w:spacing w:after="0"/>
              <w:jc w:val="center"/>
            </w:pPr>
          </w:p>
        </w:tc>
        <w:tc>
          <w:tcPr>
            <w:tcW w:w="736" w:type="dxa"/>
            <w:shd w:val="clear" w:color="auto" w:fill="FFFF00"/>
            <w:vAlign w:val="center"/>
          </w:tcPr>
          <w:p w:rsidR="00A426C4" w:rsidRDefault="00A426C4" w:rsidP="00A426C4">
            <w:pPr>
              <w:spacing w:after="0"/>
              <w:jc w:val="center"/>
            </w:pPr>
            <w:r>
              <w:t>O</w:t>
            </w: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FFFF00"/>
            <w:vAlign w:val="center"/>
          </w:tcPr>
          <w:p w:rsidR="00A426C4" w:rsidRDefault="00A426C4" w:rsidP="00A426C4">
            <w:pPr>
              <w:spacing w:after="0"/>
              <w:jc w:val="center"/>
            </w:pPr>
            <w:r>
              <w:t>B</w:t>
            </w: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shd w:val="clear" w:color="auto" w:fill="FFFF00"/>
            <w:vAlign w:val="center"/>
          </w:tcPr>
          <w:p w:rsidR="00A426C4" w:rsidRDefault="00A426C4" w:rsidP="00A426C4">
            <w:pPr>
              <w:spacing w:after="0"/>
              <w:jc w:val="center"/>
            </w:pPr>
            <w:r>
              <w:t>B/O</w:t>
            </w: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LKE SC CIO</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r>
              <w:t>B</w:t>
            </w: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PPLSolutions President</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r>
              <w:t>O</w:t>
            </w: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Independent Captive Administrative Services</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r>
              <w:t>B/O</w:t>
            </w: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973" w:type="dxa"/>
            <w:shd w:val="clear" w:color="auto" w:fill="auto"/>
            <w:vAlign w:val="center"/>
          </w:tcPr>
          <w:p w:rsidR="00A426C4" w:rsidRDefault="00A426C4" w:rsidP="00A426C4">
            <w:pPr>
              <w:spacing w:after="0"/>
              <w:jc w:val="center"/>
            </w:pPr>
            <w:r>
              <w:t>Independent Captive Manager</w:t>
            </w:r>
          </w:p>
        </w:tc>
        <w:tc>
          <w:tcPr>
            <w:tcW w:w="897" w:type="dxa"/>
            <w:vAlign w:val="center"/>
          </w:tcPr>
          <w:p w:rsidR="00A426C4" w:rsidRDefault="00A426C4" w:rsidP="00A426C4">
            <w:pPr>
              <w:spacing w:after="0"/>
              <w:jc w:val="center"/>
            </w:pPr>
          </w:p>
        </w:tc>
        <w:tc>
          <w:tcPr>
            <w:tcW w:w="736" w:type="dxa"/>
            <w:shd w:val="clear" w:color="auto" w:fill="auto"/>
            <w:vAlign w:val="center"/>
          </w:tcPr>
          <w:p w:rsidR="00A426C4" w:rsidRDefault="00A426C4" w:rsidP="00A426C4">
            <w:pPr>
              <w:spacing w:after="0"/>
              <w:jc w:val="center"/>
            </w:pPr>
          </w:p>
        </w:tc>
        <w:tc>
          <w:tcPr>
            <w:tcW w:w="774" w:type="dxa"/>
            <w:shd w:val="clear" w:color="auto" w:fill="auto"/>
            <w:vAlign w:val="center"/>
          </w:tcPr>
          <w:p w:rsidR="00A426C4" w:rsidRDefault="00A426C4" w:rsidP="00A426C4">
            <w:pPr>
              <w:spacing w:after="0"/>
              <w:jc w:val="center"/>
            </w:pPr>
          </w:p>
        </w:tc>
        <w:tc>
          <w:tcPr>
            <w:tcW w:w="794" w:type="dxa"/>
            <w:shd w:val="clear" w:color="auto" w:fill="auto"/>
            <w:vAlign w:val="center"/>
          </w:tcPr>
          <w:p w:rsidR="00A426C4" w:rsidRDefault="00A426C4" w:rsidP="00A426C4">
            <w:pPr>
              <w:spacing w:after="0"/>
              <w:jc w:val="center"/>
            </w:pPr>
          </w:p>
        </w:tc>
        <w:tc>
          <w:tcPr>
            <w:tcW w:w="1790" w:type="dxa"/>
            <w:shd w:val="clear" w:color="auto" w:fill="auto"/>
            <w:vAlign w:val="center"/>
          </w:tcPr>
          <w:p w:rsidR="00A426C4" w:rsidRDefault="00A426C4" w:rsidP="00A426C4">
            <w:pPr>
              <w:spacing w:after="0"/>
              <w:jc w:val="center"/>
            </w:pPr>
          </w:p>
        </w:tc>
        <w:tc>
          <w:tcPr>
            <w:tcW w:w="1798" w:type="dxa"/>
            <w:shd w:val="clear" w:color="auto" w:fill="auto"/>
            <w:vAlign w:val="center"/>
          </w:tcPr>
          <w:p w:rsidR="00A426C4" w:rsidRDefault="00A426C4" w:rsidP="00A426C4">
            <w:pPr>
              <w:spacing w:after="0"/>
              <w:jc w:val="center"/>
            </w:pPr>
          </w:p>
        </w:tc>
        <w:tc>
          <w:tcPr>
            <w:tcW w:w="1446" w:type="dxa"/>
            <w:shd w:val="clear" w:color="auto" w:fill="auto"/>
            <w:vAlign w:val="center"/>
          </w:tcPr>
          <w:p w:rsidR="00A426C4" w:rsidRDefault="00A426C4" w:rsidP="00A426C4">
            <w:pPr>
              <w:spacing w:after="0"/>
              <w:jc w:val="center"/>
            </w:pPr>
            <w:r>
              <w:t>B</w:t>
            </w:r>
          </w:p>
        </w:tc>
        <w:tc>
          <w:tcPr>
            <w:tcW w:w="1605" w:type="dxa"/>
            <w:shd w:val="clear" w:color="auto" w:fill="auto"/>
            <w:vAlign w:val="center"/>
          </w:tcPr>
          <w:p w:rsidR="00A426C4" w:rsidRDefault="00A426C4" w:rsidP="00A426C4">
            <w:pPr>
              <w:spacing w:after="0"/>
              <w:jc w:val="center"/>
            </w:pPr>
          </w:p>
        </w:tc>
        <w:tc>
          <w:tcPr>
            <w:tcW w:w="1377" w:type="dxa"/>
            <w:vAlign w:val="center"/>
          </w:tcPr>
          <w:p w:rsidR="00A426C4" w:rsidRDefault="00A426C4" w:rsidP="00A426C4">
            <w:pPr>
              <w:spacing w:after="0"/>
              <w:jc w:val="center"/>
            </w:pPr>
          </w:p>
        </w:tc>
      </w:tr>
      <w:tr w:rsidR="00A426C4" w:rsidTr="005C402E">
        <w:trPr>
          <w:cantSplit/>
          <w:jc w:val="center"/>
        </w:trPr>
        <w:tc>
          <w:tcPr>
            <w:tcW w:w="11813" w:type="dxa"/>
            <w:gridSpan w:val="9"/>
            <w:shd w:val="clear" w:color="auto" w:fill="auto"/>
            <w:vAlign w:val="center"/>
          </w:tcPr>
          <w:p w:rsidR="00A426C4" w:rsidRDefault="00A426C4" w:rsidP="00A426C4">
            <w:pPr>
              <w:spacing w:after="0"/>
              <w:jc w:val="left"/>
            </w:pPr>
            <w:r>
              <w:t>Source: DN 13-168 and DN 13-169</w:t>
            </w:r>
          </w:p>
        </w:tc>
        <w:tc>
          <w:tcPr>
            <w:tcW w:w="1377" w:type="dxa"/>
            <w:vAlign w:val="center"/>
          </w:tcPr>
          <w:p w:rsidR="00A426C4" w:rsidRDefault="00A426C4" w:rsidP="00A426C4">
            <w:pPr>
              <w:spacing w:after="0"/>
              <w:jc w:val="center"/>
            </w:pPr>
          </w:p>
        </w:tc>
      </w:tr>
    </w:tbl>
    <w:p w:rsidR="00A426C4" w:rsidRDefault="00A426C4" w:rsidP="00A426C4">
      <w:pPr>
        <w:sectPr w:rsidR="00A426C4" w:rsidSect="00A426C4">
          <w:footerReference w:type="default" r:id="rId25"/>
          <w:pgSz w:w="15840" w:h="12240" w:orient="landscape"/>
          <w:pgMar w:top="1440" w:right="1440" w:bottom="1440" w:left="1440" w:header="720" w:footer="576" w:gutter="0"/>
          <w:cols w:space="720"/>
          <w:docGrid w:linePitch="360"/>
        </w:sectPr>
      </w:pPr>
    </w:p>
    <w:p w:rsidR="00A426C4" w:rsidRDefault="00A426C4" w:rsidP="00A426C4">
      <w:r>
        <w:lastRenderedPageBreak/>
        <w:t xml:space="preserve">In addition, there are two PPL SC officers who are not directors or officers of PPL EU affiliates, the SVP for Human Resources and the Chief Transition Officer.  Further, there is one PPL EU officer who is not a director or officer of any of the PPL EU affiliates, the VP for Distribution Operations. </w:t>
      </w:r>
    </w:p>
    <w:p w:rsidR="00A426C4" w:rsidRDefault="00A426C4" w:rsidP="005123A6">
      <w:pPr>
        <w:pStyle w:val="Heading-forToC"/>
      </w:pPr>
      <w:bookmarkStart w:id="51" w:name="_Toc464551988"/>
      <w:r>
        <w:t>finding</w:t>
      </w:r>
      <w:bookmarkEnd w:id="51"/>
    </w:p>
    <w:p w:rsidR="00A426C4" w:rsidRDefault="00A426C4" w:rsidP="004F00E5">
      <w:pPr>
        <w:pStyle w:val="Findings"/>
        <w:numPr>
          <w:ilvl w:val="0"/>
          <w:numId w:val="67"/>
        </w:numPr>
      </w:pPr>
      <w:r>
        <w:t>The PPL EU Transmission and Substations Vice President also serves as the new TransLink President which creates a conflict of interest or an appearance of a conflict of interest.</w:t>
      </w:r>
    </w:p>
    <w:p w:rsidR="00A426C4" w:rsidRPr="003519C4" w:rsidRDefault="00A426C4" w:rsidP="00A426C4">
      <w:pPr>
        <w:rPr>
          <w:rFonts w:cs="Arial"/>
          <w:szCs w:val="24"/>
        </w:rPr>
      </w:pPr>
      <w:r>
        <w:t xml:space="preserve">PPL Corporation formed a separate transmission company, TransLink, in late 2015 to provide transmission solutions under the FERC Order 1000 provisions in the regions where it is registered.  </w:t>
      </w:r>
      <w:r>
        <w:rPr>
          <w:rFonts w:cs="Arial"/>
          <w:szCs w:val="24"/>
        </w:rPr>
        <w:t xml:space="preserve">PPL EU’s prequalifications to do transmission work with the Midwest and Northeast independent system operators will be transferred to TransLink.  Most of the work will be in the northeast and Midwest.  It will not pursue work in the UK. </w:t>
      </w:r>
    </w:p>
    <w:p w:rsidR="00A426C4" w:rsidRDefault="00A426C4" w:rsidP="00A426C4">
      <w:r>
        <w:t>At this time, only new transmission assets will be included in the TransLink Company.  TransLink will be a PPL EU affiliate going forward, most likely with PPL EU providing engineering and technical services to TransLink.</w:t>
      </w:r>
    </w:p>
    <w:p w:rsidR="00A426C4" w:rsidRDefault="00A426C4" w:rsidP="00A426C4">
      <w:pPr>
        <w:rPr>
          <w:rFonts w:cs="Arial"/>
          <w:szCs w:val="24"/>
        </w:rPr>
      </w:pPr>
      <w:r>
        <w:rPr>
          <w:rFonts w:cs="Arial"/>
          <w:szCs w:val="24"/>
        </w:rPr>
        <w:t>TransLink will be officed separately from PPL EU Transmission and Substations but still in the Allentown headquarters complex.  It will have five to ten employees.  TransLink will buy services from PPL EU and will independently source engineering and construction contractors.  TransLink will never bid against PPL EU.  The Miscellaneous Billing System will be used to charge Trans</w:t>
      </w:r>
      <w:r w:rsidR="000A0B98">
        <w:rPr>
          <w:rFonts w:cs="Arial"/>
          <w:szCs w:val="24"/>
        </w:rPr>
        <w:t>L</w:t>
      </w:r>
      <w:r>
        <w:rPr>
          <w:rFonts w:cs="Arial"/>
          <w:szCs w:val="24"/>
        </w:rPr>
        <w:t>ink for PPL EU services.</w:t>
      </w:r>
    </w:p>
    <w:p w:rsidR="00A426C4" w:rsidRDefault="00A426C4" w:rsidP="00A426C4">
      <w:r>
        <w:rPr>
          <w:rFonts w:cs="Arial"/>
          <w:szCs w:val="24"/>
        </w:rPr>
        <w:t xml:space="preserve">PPL EU will bid on projects relevant to its service territory and existing transmission system.   </w:t>
      </w:r>
      <w:r w:rsidRPr="00547793">
        <w:t>PPL EU will focus on the PPL EU owned a</w:t>
      </w:r>
      <w:r>
        <w:t>ssets in its footprint.  The PPL EU Transmission and Substations</w:t>
      </w:r>
      <w:r w:rsidRPr="00547793">
        <w:t xml:space="preserve"> team within PPL EU will respond to any open windows in PJM that</w:t>
      </w:r>
      <w:r>
        <w:t xml:space="preserve"> impact the PPL EU system.  PPL EU</w:t>
      </w:r>
      <w:r w:rsidRPr="00547793">
        <w:t xml:space="preserve"> also will look at surrounding systems (on PPL EU’s borders) to see if a solution would impact the </w:t>
      </w:r>
      <w:r>
        <w:t>PPL EU system.  For example, PPL EU</w:t>
      </w:r>
      <w:r w:rsidRPr="00547793">
        <w:t xml:space="preserve"> has su</w:t>
      </w:r>
      <w:r>
        <w:t>bmitted a joint proposal with FirstEnergy</w:t>
      </w:r>
      <w:r w:rsidRPr="00547793">
        <w:t xml:space="preserve"> </w:t>
      </w:r>
      <w:r>
        <w:t xml:space="preserve">(FE) </w:t>
      </w:r>
      <w:r w:rsidRPr="00547793">
        <w:t>for a solutio</w:t>
      </w:r>
      <w:r>
        <w:t>n to a violation that impacted </w:t>
      </w:r>
      <w:r w:rsidRPr="00547793">
        <w:t>a substation right on the PPL</w:t>
      </w:r>
      <w:r>
        <w:t xml:space="preserve"> EU</w:t>
      </w:r>
      <w:r w:rsidRPr="00547793">
        <w:t xml:space="preserve">/FE border.  </w:t>
      </w:r>
    </w:p>
    <w:p w:rsidR="00A426C4" w:rsidRPr="00A64368" w:rsidRDefault="00A426C4" w:rsidP="00A426C4">
      <w:pPr>
        <w:rPr>
          <w:rFonts w:cs="Arial"/>
          <w:szCs w:val="24"/>
        </w:rPr>
      </w:pPr>
      <w:r w:rsidRPr="00547793">
        <w:t>TransLink,</w:t>
      </w:r>
      <w:r>
        <w:t xml:space="preserve"> on the other hand, will focus on</w:t>
      </w:r>
      <w:r w:rsidRPr="00547793">
        <w:t xml:space="preserve"> cross regional, cross state</w:t>
      </w:r>
      <w:r>
        <w:t>,</w:t>
      </w:r>
      <w:r w:rsidRPr="00547793">
        <w:t xml:space="preserve"> and cross RTO opportunitie</w:t>
      </w:r>
      <w:r>
        <w:t xml:space="preserve">s.  </w:t>
      </w:r>
    </w:p>
    <w:p w:rsidR="00A426C4" w:rsidRDefault="00A426C4" w:rsidP="00A426C4">
      <w:pPr>
        <w:rPr>
          <w:rFonts w:cs="Arial"/>
          <w:szCs w:val="24"/>
        </w:rPr>
      </w:pPr>
      <w:r>
        <w:rPr>
          <w:rFonts w:cs="Arial"/>
          <w:szCs w:val="24"/>
        </w:rPr>
        <w:t xml:space="preserve">The PPL EU Transmission and Substations Vice President is also </w:t>
      </w:r>
      <w:r w:rsidR="000A0B98">
        <w:rPr>
          <w:rFonts w:cs="Arial"/>
          <w:szCs w:val="24"/>
        </w:rPr>
        <w:t xml:space="preserve">the President of </w:t>
      </w:r>
      <w:r>
        <w:rPr>
          <w:rFonts w:cs="Arial"/>
          <w:szCs w:val="24"/>
        </w:rPr>
        <w:t xml:space="preserve">TransLink.  The person hired for TransLink day-to-day leadership has been the contract project manager for PPL EU’s Project Compass 400 mile transmission line across Pennsylvania and New York.  This person will report to the </w:t>
      </w:r>
      <w:r w:rsidR="00CF67D7">
        <w:t>President of TransLink, who also serves as PPL EU’s Transmission and Substation Vice President</w:t>
      </w:r>
      <w:r>
        <w:rPr>
          <w:rFonts w:cs="Arial"/>
          <w:szCs w:val="24"/>
        </w:rPr>
        <w:t>.</w:t>
      </w:r>
    </w:p>
    <w:p w:rsidR="00A426C4" w:rsidRDefault="00A426C4" w:rsidP="00A426C4">
      <w:pPr>
        <w:rPr>
          <w:rFonts w:cs="Arial"/>
          <w:szCs w:val="24"/>
        </w:rPr>
      </w:pPr>
      <w:r>
        <w:rPr>
          <w:rFonts w:cs="Arial"/>
          <w:szCs w:val="24"/>
        </w:rPr>
        <w:t>The PPL EU Transmission and Substations Vice President also serving as the Trans</w:t>
      </w:r>
      <w:r w:rsidR="000A0B98">
        <w:rPr>
          <w:rFonts w:cs="Arial"/>
          <w:szCs w:val="24"/>
        </w:rPr>
        <w:t>L</w:t>
      </w:r>
      <w:r>
        <w:rPr>
          <w:rFonts w:cs="Arial"/>
          <w:szCs w:val="24"/>
        </w:rPr>
        <w:t xml:space="preserve">ink President represents a conflict of interest or, at a minimum, and </w:t>
      </w:r>
      <w:r w:rsidR="00CF67D7">
        <w:rPr>
          <w:rFonts w:cs="Arial"/>
          <w:szCs w:val="24"/>
        </w:rPr>
        <w:t xml:space="preserve">may create an </w:t>
      </w:r>
      <w:r>
        <w:rPr>
          <w:rFonts w:cs="Arial"/>
          <w:szCs w:val="24"/>
        </w:rPr>
        <w:t>appearance of a conflict of interest.  It is not a good practice to combine regulated and unregulated executive roles</w:t>
      </w:r>
      <w:r w:rsidRPr="00914F4E">
        <w:rPr>
          <w:rFonts w:cs="Arial"/>
          <w:szCs w:val="24"/>
        </w:rPr>
        <w:t xml:space="preserve">.  </w:t>
      </w:r>
      <w:r>
        <w:rPr>
          <w:rFonts w:cs="Arial"/>
          <w:szCs w:val="24"/>
        </w:rPr>
        <w:t>I</w:t>
      </w:r>
      <w:r w:rsidRPr="00914F4E">
        <w:rPr>
          <w:rFonts w:cs="Arial"/>
          <w:szCs w:val="24"/>
        </w:rPr>
        <w:t>n</w:t>
      </w:r>
      <w:r>
        <w:rPr>
          <w:rFonts w:cs="Arial"/>
          <w:szCs w:val="24"/>
        </w:rPr>
        <w:t xml:space="preserve"> these roles, the PPL EU Transmission and Substations Vice President and TransLink President will be both the buyer and seller of PPL EU services.</w:t>
      </w:r>
    </w:p>
    <w:p w:rsidR="00A426C4" w:rsidRDefault="00A426C4" w:rsidP="005123A6">
      <w:pPr>
        <w:pStyle w:val="Heading-forToC"/>
      </w:pPr>
      <w:bookmarkStart w:id="52" w:name="_Toc464551989"/>
      <w:r>
        <w:lastRenderedPageBreak/>
        <w:t>recommendation</w:t>
      </w:r>
      <w:bookmarkEnd w:id="52"/>
    </w:p>
    <w:p w:rsidR="00A426C4" w:rsidRDefault="00A426C4" w:rsidP="004F00E5">
      <w:pPr>
        <w:pStyle w:val="Findings"/>
        <w:numPr>
          <w:ilvl w:val="0"/>
          <w:numId w:val="68"/>
        </w:numPr>
      </w:pPr>
      <w:r>
        <w:t>Have the TransLink President be a different individual than the PPL Transmission and Substations Vice President and have the TransLink President report to a non-PPL EU executive.  (See Finding 1)</w:t>
      </w:r>
    </w:p>
    <w:p w:rsidR="00A426C4" w:rsidRDefault="00A426C4" w:rsidP="00A426C4">
      <w:r>
        <w:t>In order to avoid even the appearance of a conflict of interest, the PPL EU Transmission and Substations Vice President should not also be the TransLink President and the TransLink President should report to a non-PPL EU executive.</w:t>
      </w:r>
    </w:p>
    <w:p w:rsidR="00A426C4" w:rsidRDefault="00A426C4" w:rsidP="004F00E5">
      <w:pPr>
        <w:pStyle w:val="Heading2"/>
        <w:numPr>
          <w:ilvl w:val="0"/>
          <w:numId w:val="104"/>
        </w:numPr>
      </w:pPr>
      <w:bookmarkStart w:id="53" w:name="_Toc464551990"/>
      <w:r>
        <w:t>affiliate TRANsACTIONS</w:t>
      </w:r>
      <w:bookmarkEnd w:id="53"/>
    </w:p>
    <w:p w:rsidR="00A426C4" w:rsidRDefault="00A426C4" w:rsidP="005123A6">
      <w:pPr>
        <w:pStyle w:val="Heading-forToC"/>
      </w:pPr>
      <w:bookmarkStart w:id="54" w:name="_Toc464551991"/>
      <w:r>
        <w:t>background</w:t>
      </w:r>
      <w:bookmarkEnd w:id="54"/>
    </w:p>
    <w:p w:rsidR="00A426C4" w:rsidRPr="0022743C" w:rsidRDefault="00A426C4" w:rsidP="00A426C4">
      <w:r>
        <w:t xml:space="preserve">This section reports the expense charges to and from PPL EU for the years 2012 through 2015.  There were no material asset transfers between PPL EU and affiliates from 2010 through 2015 other than a $179,000 transfer of office furniture from PPL EU to PPL SC in 2014. </w:t>
      </w:r>
    </w:p>
    <w:p w:rsidR="00A426C4" w:rsidRDefault="00A426C4" w:rsidP="00A426C4">
      <w:pPr>
        <w:pStyle w:val="Heading40"/>
      </w:pPr>
      <w:r w:rsidRPr="007E2970">
        <w:t>PPL Services Corporation</w:t>
      </w:r>
      <w:r>
        <w:t xml:space="preserve"> Charges to PPL EU</w:t>
      </w:r>
    </w:p>
    <w:p w:rsidR="00A426C4" w:rsidRDefault="00A426C4" w:rsidP="000D142C">
      <w:pPr>
        <w:spacing w:after="80"/>
      </w:pPr>
      <w:r>
        <w:t>PPL SC makes three types of charges to PPL EU: Category A “Direct” charges are directly identifiable to individual business lines or other support groups; Category B “Indirect” charges are not directly identifiable to any particular business line/support group and are of a general corporate nature; and Category D, “Depreciation.”  (Please see Section F of this chapter for more information on the categories of charges.)  The following tables show the charges from PPL SC to PPL EU for the years 2012 through 2015.</w:t>
      </w:r>
    </w:p>
    <w:p w:rsidR="00A426C4" w:rsidRDefault="00356110" w:rsidP="000D142C">
      <w:pPr>
        <w:pStyle w:val="Caption"/>
        <w:spacing w:after="80"/>
      </w:pPr>
      <w:bookmarkStart w:id="55" w:name="_Toc464552946"/>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D10053">
        <w:br/>
      </w:r>
      <w:r w:rsidR="00A426C4">
        <w:t>2012 PPL SC</w:t>
      </w:r>
      <w:r w:rsidR="00A426C4" w:rsidRPr="00AD7477">
        <w:t xml:space="preserve"> Costs All</w:t>
      </w:r>
      <w:r w:rsidR="00A426C4">
        <w:t>ocated to PPL EU</w:t>
      </w:r>
      <w:bookmarkEnd w:id="55"/>
    </w:p>
    <w:tbl>
      <w:tblPr>
        <w:tblW w:w="9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4162"/>
        <w:gridCol w:w="1260"/>
        <w:gridCol w:w="1245"/>
        <w:gridCol w:w="1684"/>
        <w:gridCol w:w="1232"/>
      </w:tblGrid>
      <w:tr w:rsidR="00A426C4" w:rsidRPr="000D142C" w:rsidTr="0052607D">
        <w:trPr>
          <w:trHeight w:val="289"/>
          <w:tblHeader/>
          <w:jc w:val="center"/>
        </w:trPr>
        <w:tc>
          <w:tcPr>
            <w:tcW w:w="4162" w:type="dxa"/>
            <w:shd w:val="clear" w:color="auto" w:fill="A5CD7E"/>
            <w:noWrap/>
            <w:vAlign w:val="bottom"/>
            <w:hideMark/>
          </w:tcPr>
          <w:p w:rsidR="00A426C4" w:rsidRPr="000D142C" w:rsidRDefault="00A426C4" w:rsidP="006304A4">
            <w:pPr>
              <w:spacing w:before="120"/>
              <w:jc w:val="center"/>
              <w:rPr>
                <w:rFonts w:cs="Arial"/>
                <w:b/>
                <w:bCs/>
                <w:color w:val="000000"/>
                <w:sz w:val="22"/>
              </w:rPr>
            </w:pPr>
            <w:r w:rsidRPr="000D142C">
              <w:rPr>
                <w:rFonts w:cs="Arial"/>
                <w:b/>
                <w:bCs/>
                <w:color w:val="000000"/>
                <w:sz w:val="22"/>
              </w:rPr>
              <w:t>Group</w:t>
            </w:r>
          </w:p>
        </w:tc>
        <w:tc>
          <w:tcPr>
            <w:tcW w:w="1260" w:type="dxa"/>
            <w:shd w:val="clear" w:color="auto" w:fill="A5CD7E"/>
            <w:vAlign w:val="bottom"/>
            <w:hideMark/>
          </w:tcPr>
          <w:p w:rsidR="00A426C4" w:rsidRPr="000D142C" w:rsidRDefault="00A426C4" w:rsidP="006304A4">
            <w:pPr>
              <w:spacing w:before="120"/>
              <w:jc w:val="center"/>
              <w:rPr>
                <w:rFonts w:cs="Arial"/>
                <w:b/>
                <w:bCs/>
                <w:sz w:val="22"/>
              </w:rPr>
            </w:pPr>
            <w:r w:rsidRPr="000D142C">
              <w:rPr>
                <w:rFonts w:cs="Arial"/>
                <w:b/>
                <w:bCs/>
                <w:sz w:val="22"/>
              </w:rPr>
              <w:t>Direct</w:t>
            </w:r>
          </w:p>
        </w:tc>
        <w:tc>
          <w:tcPr>
            <w:tcW w:w="1245" w:type="dxa"/>
            <w:shd w:val="clear" w:color="auto" w:fill="A5CD7E"/>
            <w:vAlign w:val="bottom"/>
            <w:hideMark/>
          </w:tcPr>
          <w:p w:rsidR="00A426C4" w:rsidRPr="000D142C" w:rsidRDefault="00A426C4" w:rsidP="006304A4">
            <w:pPr>
              <w:spacing w:before="120"/>
              <w:jc w:val="center"/>
              <w:rPr>
                <w:rFonts w:cs="Arial"/>
                <w:b/>
                <w:bCs/>
                <w:sz w:val="22"/>
              </w:rPr>
            </w:pPr>
            <w:r w:rsidRPr="000D142C">
              <w:rPr>
                <w:rFonts w:cs="Arial"/>
                <w:b/>
                <w:bCs/>
                <w:sz w:val="22"/>
              </w:rPr>
              <w:t>Indirect</w:t>
            </w:r>
          </w:p>
        </w:tc>
        <w:tc>
          <w:tcPr>
            <w:tcW w:w="1684" w:type="dxa"/>
            <w:shd w:val="clear" w:color="auto" w:fill="A5CD7E"/>
            <w:vAlign w:val="bottom"/>
            <w:hideMark/>
          </w:tcPr>
          <w:p w:rsidR="00A426C4" w:rsidRPr="000D142C" w:rsidRDefault="00A426C4" w:rsidP="006304A4">
            <w:pPr>
              <w:spacing w:before="120"/>
              <w:jc w:val="center"/>
              <w:rPr>
                <w:rFonts w:cs="Arial"/>
                <w:b/>
                <w:bCs/>
                <w:sz w:val="22"/>
              </w:rPr>
            </w:pPr>
            <w:r w:rsidRPr="000D142C">
              <w:rPr>
                <w:rFonts w:cs="Arial"/>
                <w:b/>
                <w:bCs/>
                <w:sz w:val="22"/>
              </w:rPr>
              <w:t>Depreciation</w:t>
            </w:r>
          </w:p>
        </w:tc>
        <w:tc>
          <w:tcPr>
            <w:tcW w:w="1232" w:type="dxa"/>
            <w:shd w:val="clear" w:color="auto" w:fill="A5CD7E"/>
            <w:vAlign w:val="bottom"/>
            <w:hideMark/>
          </w:tcPr>
          <w:p w:rsidR="00A426C4" w:rsidRPr="000D142C" w:rsidRDefault="00A426C4" w:rsidP="006304A4">
            <w:pPr>
              <w:spacing w:before="120"/>
              <w:jc w:val="center"/>
              <w:rPr>
                <w:rFonts w:cs="Arial"/>
                <w:b/>
                <w:bCs/>
                <w:sz w:val="22"/>
              </w:rPr>
            </w:pPr>
            <w:r w:rsidRPr="000D142C">
              <w:rPr>
                <w:rFonts w:cs="Arial"/>
                <w:b/>
                <w:bCs/>
                <w:sz w:val="22"/>
              </w:rPr>
              <w:t>Total</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Chairman</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2,463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2,463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Corporate Audit Services</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303</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917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1,220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Environmental Management</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409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428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837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External Affairs</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2,839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1,848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4,687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Facilities Management</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22,252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(32)</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22,220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Financial</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3,623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8,452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12,075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Human Resources</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7,468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5,202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12,669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sz w:val="22"/>
              </w:rPr>
            </w:pPr>
            <w:r w:rsidRPr="000D142C">
              <w:rPr>
                <w:rFonts w:cs="Arial"/>
                <w:color w:val="000000"/>
                <w:sz w:val="22"/>
              </w:rPr>
              <w:t>Information Services</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28,501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13,465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41,966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Office of General Counsel</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8,175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3,621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11,796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PPL Services*</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15,242 </w:t>
            </w:r>
          </w:p>
        </w:tc>
        <w:tc>
          <w:tcPr>
            <w:tcW w:w="1684"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7,376 </w:t>
            </w: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22,618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Risk Management</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10,756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2,296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13,053 </w:t>
            </w:r>
          </w:p>
        </w:tc>
      </w:tr>
      <w:tr w:rsidR="00A426C4" w:rsidRPr="000D142C" w:rsidTr="0052607D">
        <w:trPr>
          <w:trHeight w:val="289"/>
          <w:jc w:val="center"/>
        </w:trPr>
        <w:tc>
          <w:tcPr>
            <w:tcW w:w="4162" w:type="dxa"/>
            <w:shd w:val="clear" w:color="auto" w:fill="auto"/>
            <w:noWrap/>
            <w:vAlign w:val="bottom"/>
            <w:hideMark/>
          </w:tcPr>
          <w:p w:rsidR="00A426C4" w:rsidRPr="000D142C" w:rsidRDefault="00A426C4" w:rsidP="00A426C4">
            <w:pPr>
              <w:spacing w:after="0"/>
              <w:jc w:val="center"/>
              <w:rPr>
                <w:rFonts w:cs="Arial"/>
                <w:color w:val="000000"/>
                <w:sz w:val="22"/>
              </w:rPr>
            </w:pPr>
            <w:r w:rsidRPr="000D142C">
              <w:rPr>
                <w:rFonts w:cs="Arial"/>
                <w:color w:val="000000"/>
                <w:sz w:val="22"/>
              </w:rPr>
              <w:t>Supply Chain</w:t>
            </w:r>
            <w:r w:rsidR="0052607D" w:rsidRPr="000D142C">
              <w:rPr>
                <w:rFonts w:cs="Arial"/>
                <w:color w:val="000000"/>
                <w:sz w:val="22"/>
              </w:rPr>
              <w:t xml:space="preserve"> (thousands)</w:t>
            </w:r>
          </w:p>
        </w:tc>
        <w:tc>
          <w:tcPr>
            <w:tcW w:w="1260"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10,436 </w:t>
            </w:r>
          </w:p>
        </w:tc>
        <w:tc>
          <w:tcPr>
            <w:tcW w:w="1245"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(6)</w:t>
            </w:r>
          </w:p>
        </w:tc>
        <w:tc>
          <w:tcPr>
            <w:tcW w:w="1684" w:type="dxa"/>
            <w:shd w:val="clear" w:color="auto" w:fill="auto"/>
            <w:noWrap/>
            <w:vAlign w:val="bottom"/>
            <w:hideMark/>
          </w:tcPr>
          <w:p w:rsidR="00A426C4" w:rsidRPr="000D142C" w:rsidRDefault="00A426C4" w:rsidP="00A426C4">
            <w:pPr>
              <w:spacing w:after="0"/>
              <w:jc w:val="left"/>
              <w:rPr>
                <w:rFonts w:cs="Arial"/>
                <w:color w:val="000000"/>
                <w:sz w:val="22"/>
              </w:rPr>
            </w:pPr>
          </w:p>
        </w:tc>
        <w:tc>
          <w:tcPr>
            <w:tcW w:w="1232" w:type="dxa"/>
            <w:shd w:val="clear" w:color="auto" w:fill="auto"/>
            <w:noWrap/>
            <w:vAlign w:val="bottom"/>
            <w:hideMark/>
          </w:tcPr>
          <w:p w:rsidR="00A426C4" w:rsidRPr="000D142C" w:rsidRDefault="0052607D" w:rsidP="00A426C4">
            <w:pPr>
              <w:spacing w:after="0"/>
              <w:jc w:val="right"/>
              <w:rPr>
                <w:rFonts w:cs="Arial"/>
                <w:color w:val="000000"/>
                <w:sz w:val="22"/>
              </w:rPr>
            </w:pPr>
            <w:r w:rsidRPr="000D142C">
              <w:rPr>
                <w:rFonts w:cs="Arial"/>
                <w:color w:val="000000"/>
                <w:sz w:val="22"/>
              </w:rPr>
              <w:t>$</w:t>
            </w:r>
            <w:r w:rsidR="00A426C4" w:rsidRPr="000D142C">
              <w:rPr>
                <w:rFonts w:cs="Arial"/>
                <w:color w:val="000000"/>
                <w:sz w:val="22"/>
              </w:rPr>
              <w:t xml:space="preserve">10,430 </w:t>
            </w:r>
          </w:p>
        </w:tc>
      </w:tr>
      <w:tr w:rsidR="00A426C4" w:rsidRPr="000D142C" w:rsidTr="0052607D">
        <w:trPr>
          <w:trHeight w:val="300"/>
          <w:jc w:val="center"/>
        </w:trPr>
        <w:tc>
          <w:tcPr>
            <w:tcW w:w="4162" w:type="dxa"/>
            <w:shd w:val="clear" w:color="auto" w:fill="auto"/>
            <w:noWrap/>
            <w:vAlign w:val="bottom"/>
            <w:hideMark/>
          </w:tcPr>
          <w:p w:rsidR="00A426C4" w:rsidRPr="000D142C" w:rsidRDefault="00A426C4" w:rsidP="00A426C4">
            <w:pPr>
              <w:spacing w:after="0"/>
              <w:jc w:val="center"/>
              <w:rPr>
                <w:rFonts w:cs="Arial"/>
                <w:b/>
                <w:bCs/>
                <w:sz w:val="22"/>
              </w:rPr>
            </w:pPr>
            <w:r w:rsidRPr="000D142C">
              <w:rPr>
                <w:rFonts w:cs="Arial"/>
                <w:b/>
                <w:bCs/>
                <w:sz w:val="22"/>
              </w:rPr>
              <w:t>TOTAL</w:t>
            </w:r>
            <w:r w:rsidR="0052607D" w:rsidRPr="000D142C">
              <w:rPr>
                <w:rFonts w:cs="Arial"/>
                <w:b/>
                <w:bCs/>
                <w:sz w:val="22"/>
              </w:rPr>
              <w:t xml:space="preserve"> </w:t>
            </w:r>
            <w:r w:rsidR="0052607D" w:rsidRPr="000D142C">
              <w:rPr>
                <w:rFonts w:cs="Arial"/>
                <w:b/>
                <w:color w:val="000000"/>
                <w:sz w:val="22"/>
              </w:rPr>
              <w:t>(thousands)</w:t>
            </w:r>
          </w:p>
        </w:tc>
        <w:tc>
          <w:tcPr>
            <w:tcW w:w="1260" w:type="dxa"/>
            <w:shd w:val="clear" w:color="auto" w:fill="auto"/>
            <w:noWrap/>
            <w:vAlign w:val="bottom"/>
            <w:hideMark/>
          </w:tcPr>
          <w:p w:rsidR="00A426C4" w:rsidRPr="000D142C" w:rsidRDefault="0052607D" w:rsidP="00A426C4">
            <w:pPr>
              <w:spacing w:after="0"/>
              <w:jc w:val="right"/>
              <w:rPr>
                <w:rFonts w:cs="Arial"/>
                <w:b/>
                <w:bCs/>
                <w:sz w:val="22"/>
              </w:rPr>
            </w:pPr>
            <w:r w:rsidRPr="000D142C">
              <w:rPr>
                <w:rFonts w:cs="Arial"/>
                <w:b/>
                <w:color w:val="000000"/>
                <w:sz w:val="22"/>
              </w:rPr>
              <w:t>$</w:t>
            </w:r>
            <w:r w:rsidR="00A426C4" w:rsidRPr="000D142C">
              <w:rPr>
                <w:rFonts w:cs="Arial"/>
                <w:b/>
                <w:bCs/>
                <w:sz w:val="22"/>
              </w:rPr>
              <w:t>94,763</w:t>
            </w:r>
          </w:p>
        </w:tc>
        <w:tc>
          <w:tcPr>
            <w:tcW w:w="1245" w:type="dxa"/>
            <w:shd w:val="clear" w:color="auto" w:fill="auto"/>
            <w:noWrap/>
            <w:vAlign w:val="bottom"/>
            <w:hideMark/>
          </w:tcPr>
          <w:p w:rsidR="00A426C4" w:rsidRPr="000D142C" w:rsidRDefault="0052607D" w:rsidP="00A426C4">
            <w:pPr>
              <w:spacing w:after="0"/>
              <w:jc w:val="right"/>
              <w:rPr>
                <w:rFonts w:cs="Arial"/>
                <w:b/>
                <w:bCs/>
                <w:sz w:val="22"/>
              </w:rPr>
            </w:pPr>
            <w:r w:rsidRPr="000D142C">
              <w:rPr>
                <w:rFonts w:cs="Arial"/>
                <w:b/>
                <w:color w:val="000000"/>
                <w:sz w:val="22"/>
              </w:rPr>
              <w:t>$</w:t>
            </w:r>
            <w:r w:rsidR="00A426C4" w:rsidRPr="000D142C">
              <w:rPr>
                <w:rFonts w:cs="Arial"/>
                <w:b/>
                <w:bCs/>
                <w:sz w:val="22"/>
              </w:rPr>
              <w:t>53,896</w:t>
            </w:r>
          </w:p>
        </w:tc>
        <w:tc>
          <w:tcPr>
            <w:tcW w:w="1684" w:type="dxa"/>
            <w:shd w:val="clear" w:color="auto" w:fill="auto"/>
            <w:noWrap/>
            <w:vAlign w:val="bottom"/>
            <w:hideMark/>
          </w:tcPr>
          <w:p w:rsidR="00A426C4" w:rsidRPr="000D142C" w:rsidRDefault="0052607D" w:rsidP="00A426C4">
            <w:pPr>
              <w:spacing w:after="0"/>
              <w:jc w:val="right"/>
              <w:rPr>
                <w:rFonts w:cs="Arial"/>
                <w:b/>
                <w:bCs/>
                <w:sz w:val="22"/>
              </w:rPr>
            </w:pPr>
            <w:r w:rsidRPr="000D142C">
              <w:rPr>
                <w:rFonts w:cs="Arial"/>
                <w:b/>
                <w:color w:val="000000"/>
                <w:sz w:val="22"/>
              </w:rPr>
              <w:t>$</w:t>
            </w:r>
            <w:r w:rsidR="00A426C4" w:rsidRPr="000D142C">
              <w:rPr>
                <w:rFonts w:cs="Arial"/>
                <w:b/>
                <w:bCs/>
                <w:sz w:val="22"/>
              </w:rPr>
              <w:t>7,376</w:t>
            </w:r>
          </w:p>
        </w:tc>
        <w:tc>
          <w:tcPr>
            <w:tcW w:w="1232" w:type="dxa"/>
            <w:shd w:val="clear" w:color="auto" w:fill="auto"/>
            <w:noWrap/>
            <w:vAlign w:val="bottom"/>
            <w:hideMark/>
          </w:tcPr>
          <w:p w:rsidR="00A426C4" w:rsidRPr="000D142C" w:rsidRDefault="0052607D" w:rsidP="00A426C4">
            <w:pPr>
              <w:spacing w:after="0"/>
              <w:jc w:val="right"/>
              <w:rPr>
                <w:rFonts w:cs="Arial"/>
                <w:b/>
                <w:bCs/>
                <w:sz w:val="22"/>
              </w:rPr>
            </w:pPr>
            <w:r w:rsidRPr="000D142C">
              <w:rPr>
                <w:rFonts w:cs="Arial"/>
                <w:b/>
                <w:color w:val="000000"/>
                <w:sz w:val="22"/>
              </w:rPr>
              <w:t>$</w:t>
            </w:r>
            <w:r w:rsidR="00A426C4" w:rsidRPr="000D142C">
              <w:rPr>
                <w:rFonts w:cs="Arial"/>
                <w:b/>
                <w:bCs/>
                <w:sz w:val="22"/>
              </w:rPr>
              <w:t>156,034</w:t>
            </w:r>
          </w:p>
        </w:tc>
      </w:tr>
      <w:tr w:rsidR="00A426C4" w:rsidRPr="000D142C" w:rsidTr="0052607D">
        <w:trPr>
          <w:trHeight w:val="300"/>
          <w:jc w:val="center"/>
        </w:trPr>
        <w:tc>
          <w:tcPr>
            <w:tcW w:w="9583" w:type="dxa"/>
            <w:gridSpan w:val="5"/>
            <w:shd w:val="clear" w:color="auto" w:fill="auto"/>
            <w:noWrap/>
            <w:vAlign w:val="bottom"/>
          </w:tcPr>
          <w:p w:rsidR="00A426C4" w:rsidRPr="000D142C" w:rsidRDefault="00A426C4" w:rsidP="00A426C4">
            <w:pPr>
              <w:spacing w:after="0"/>
              <w:jc w:val="left"/>
              <w:rPr>
                <w:rFonts w:cs="Arial"/>
                <w:bCs/>
                <w:sz w:val="22"/>
              </w:rPr>
            </w:pPr>
            <w:r w:rsidRPr="000D142C">
              <w:rPr>
                <w:rFonts w:cs="Arial"/>
                <w:bCs/>
                <w:sz w:val="22"/>
              </w:rPr>
              <w:t>Source: DN 13-370</w:t>
            </w:r>
          </w:p>
        </w:tc>
      </w:tr>
    </w:tbl>
    <w:p w:rsidR="00A426C4" w:rsidRDefault="00A426C4" w:rsidP="0052607D">
      <w:pPr>
        <w:pStyle w:val="Normal-aftertable"/>
      </w:pPr>
      <w:r>
        <w:lastRenderedPageBreak/>
        <w:t xml:space="preserve">*PPL Services is the </w:t>
      </w:r>
      <w:r w:rsidRPr="0052607D">
        <w:t>corporate</w:t>
      </w:r>
      <w:r>
        <w:t xml:space="preserve"> aggregator for PPL SC.  It includes costs such as executive compensation, rents, software, and servers.</w:t>
      </w:r>
    </w:p>
    <w:p w:rsidR="00A426C4" w:rsidRDefault="00356110" w:rsidP="00356110">
      <w:pPr>
        <w:pStyle w:val="Caption"/>
      </w:pPr>
      <w:bookmarkStart w:id="56" w:name="_Toc464552947"/>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D10053">
        <w:br/>
      </w:r>
      <w:r w:rsidR="00A426C4">
        <w:t>2013 PPL SC</w:t>
      </w:r>
      <w:r w:rsidR="00A426C4" w:rsidRPr="00B9479D">
        <w:t xml:space="preserve"> Costs All</w:t>
      </w:r>
      <w:r w:rsidR="00A426C4">
        <w:t>ocated to PPL EU</w:t>
      </w:r>
      <w:bookmarkEnd w:id="56"/>
    </w:p>
    <w:tbl>
      <w:tblPr>
        <w:tblW w:w="9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4248"/>
        <w:gridCol w:w="1267"/>
        <w:gridCol w:w="1157"/>
        <w:gridCol w:w="1684"/>
        <w:gridCol w:w="1234"/>
      </w:tblGrid>
      <w:tr w:rsidR="00A426C4" w:rsidRPr="000D142C" w:rsidTr="0052607D">
        <w:trPr>
          <w:trHeight w:val="289"/>
          <w:tblHeader/>
          <w:jc w:val="center"/>
        </w:trPr>
        <w:tc>
          <w:tcPr>
            <w:tcW w:w="4248" w:type="dxa"/>
            <w:shd w:val="clear" w:color="auto" w:fill="A5CD7E"/>
            <w:noWrap/>
            <w:vAlign w:val="bottom"/>
            <w:hideMark/>
          </w:tcPr>
          <w:p w:rsidR="00A426C4" w:rsidRPr="000D142C" w:rsidRDefault="00A426C4" w:rsidP="006304A4">
            <w:pPr>
              <w:spacing w:before="120"/>
              <w:jc w:val="center"/>
              <w:rPr>
                <w:rFonts w:cs="Arial"/>
                <w:b/>
                <w:bCs/>
                <w:color w:val="000000"/>
                <w:sz w:val="23"/>
                <w:szCs w:val="23"/>
              </w:rPr>
            </w:pPr>
            <w:r w:rsidRPr="000D142C">
              <w:rPr>
                <w:rFonts w:cs="Arial"/>
                <w:b/>
                <w:bCs/>
                <w:color w:val="000000"/>
                <w:sz w:val="23"/>
                <w:szCs w:val="23"/>
              </w:rPr>
              <w:t>Group</w:t>
            </w:r>
          </w:p>
        </w:tc>
        <w:tc>
          <w:tcPr>
            <w:tcW w:w="1267" w:type="dxa"/>
            <w:shd w:val="clear" w:color="auto" w:fill="A5CD7E"/>
            <w:vAlign w:val="bottom"/>
            <w:hideMark/>
          </w:tcPr>
          <w:p w:rsidR="00A426C4" w:rsidRPr="000D142C" w:rsidRDefault="00A426C4" w:rsidP="006304A4">
            <w:pPr>
              <w:spacing w:before="120"/>
              <w:jc w:val="center"/>
              <w:rPr>
                <w:rFonts w:cs="Arial"/>
                <w:b/>
                <w:bCs/>
                <w:sz w:val="23"/>
                <w:szCs w:val="23"/>
              </w:rPr>
            </w:pPr>
            <w:r w:rsidRPr="000D142C">
              <w:rPr>
                <w:rFonts w:cs="Arial"/>
                <w:b/>
                <w:bCs/>
                <w:sz w:val="23"/>
                <w:szCs w:val="23"/>
              </w:rPr>
              <w:t>Direct</w:t>
            </w:r>
          </w:p>
        </w:tc>
        <w:tc>
          <w:tcPr>
            <w:tcW w:w="1157" w:type="dxa"/>
            <w:shd w:val="clear" w:color="auto" w:fill="A5CD7E"/>
            <w:vAlign w:val="bottom"/>
            <w:hideMark/>
          </w:tcPr>
          <w:p w:rsidR="00A426C4" w:rsidRPr="000D142C" w:rsidRDefault="00A426C4" w:rsidP="006304A4">
            <w:pPr>
              <w:spacing w:before="120"/>
              <w:jc w:val="center"/>
              <w:rPr>
                <w:rFonts w:cs="Arial"/>
                <w:b/>
                <w:bCs/>
                <w:sz w:val="23"/>
                <w:szCs w:val="23"/>
              </w:rPr>
            </w:pPr>
            <w:r w:rsidRPr="000D142C">
              <w:rPr>
                <w:rFonts w:cs="Arial"/>
                <w:b/>
                <w:bCs/>
                <w:sz w:val="23"/>
                <w:szCs w:val="23"/>
              </w:rPr>
              <w:t>Indirect</w:t>
            </w:r>
          </w:p>
        </w:tc>
        <w:tc>
          <w:tcPr>
            <w:tcW w:w="1684" w:type="dxa"/>
            <w:shd w:val="clear" w:color="auto" w:fill="A5CD7E"/>
            <w:vAlign w:val="bottom"/>
            <w:hideMark/>
          </w:tcPr>
          <w:p w:rsidR="00A426C4" w:rsidRPr="000D142C" w:rsidRDefault="00A426C4" w:rsidP="006304A4">
            <w:pPr>
              <w:spacing w:before="120"/>
              <w:jc w:val="center"/>
              <w:rPr>
                <w:rFonts w:cs="Arial"/>
                <w:b/>
                <w:bCs/>
                <w:sz w:val="23"/>
                <w:szCs w:val="23"/>
              </w:rPr>
            </w:pPr>
            <w:r w:rsidRPr="000D142C">
              <w:rPr>
                <w:rFonts w:cs="Arial"/>
                <w:b/>
                <w:bCs/>
                <w:sz w:val="23"/>
                <w:szCs w:val="23"/>
              </w:rPr>
              <w:t>Depreciation</w:t>
            </w:r>
          </w:p>
        </w:tc>
        <w:tc>
          <w:tcPr>
            <w:tcW w:w="1234" w:type="dxa"/>
            <w:shd w:val="clear" w:color="auto" w:fill="A5CD7E"/>
            <w:vAlign w:val="bottom"/>
            <w:hideMark/>
          </w:tcPr>
          <w:p w:rsidR="00A426C4" w:rsidRPr="000D142C" w:rsidRDefault="00A426C4" w:rsidP="006304A4">
            <w:pPr>
              <w:spacing w:before="120"/>
              <w:jc w:val="center"/>
              <w:rPr>
                <w:rFonts w:cs="Arial"/>
                <w:b/>
                <w:bCs/>
                <w:sz w:val="23"/>
                <w:szCs w:val="23"/>
              </w:rPr>
            </w:pPr>
            <w:r w:rsidRPr="000D142C">
              <w:rPr>
                <w:rFonts w:cs="Arial"/>
                <w:b/>
                <w:bCs/>
                <w:sz w:val="23"/>
                <w:szCs w:val="23"/>
              </w:rPr>
              <w:t>Total</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Chairman</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A426C4" w:rsidP="00A426C4">
            <w:pPr>
              <w:spacing w:after="0"/>
              <w:jc w:val="right"/>
              <w:rPr>
                <w:rFonts w:cs="Arial"/>
                <w:color w:val="000000"/>
                <w:sz w:val="23"/>
                <w:szCs w:val="23"/>
              </w:rPr>
            </w:pP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2,181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2,181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Corporate Audit Services</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221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960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1,182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Environmental Management</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311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522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834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Government Affairs</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2,598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1,743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4,341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Facilities Management</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23,300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210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23,510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Financial</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3,293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7,798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11,091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Human Resources</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8,679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3,367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12,046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Information Services</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27,720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10,160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37,879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Office of General Counsel</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7,497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3,080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10,576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PPL Services</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16,474 </w:t>
            </w:r>
          </w:p>
        </w:tc>
        <w:tc>
          <w:tcPr>
            <w:tcW w:w="168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10,378 </w:t>
            </w: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26,852 </w:t>
            </w:r>
          </w:p>
        </w:tc>
      </w:tr>
      <w:tr w:rsidR="00A426C4" w:rsidRPr="000D142C" w:rsidTr="0052607D">
        <w:trPr>
          <w:trHeight w:val="289"/>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Risk Management</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2,664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2,098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4,761 </w:t>
            </w:r>
          </w:p>
        </w:tc>
      </w:tr>
      <w:tr w:rsidR="00A426C4" w:rsidRPr="000D142C" w:rsidTr="0052607D">
        <w:trPr>
          <w:trHeight w:val="56"/>
          <w:jc w:val="center"/>
        </w:trPr>
        <w:tc>
          <w:tcPr>
            <w:tcW w:w="4248" w:type="dxa"/>
            <w:shd w:val="clear" w:color="auto" w:fill="auto"/>
            <w:noWrap/>
            <w:vAlign w:val="bottom"/>
            <w:hideMark/>
          </w:tcPr>
          <w:p w:rsidR="00A426C4" w:rsidRPr="000D142C" w:rsidRDefault="00A426C4" w:rsidP="00A426C4">
            <w:pPr>
              <w:spacing w:after="0"/>
              <w:jc w:val="center"/>
              <w:rPr>
                <w:rFonts w:cs="Arial"/>
                <w:color w:val="000000"/>
                <w:sz w:val="23"/>
                <w:szCs w:val="23"/>
              </w:rPr>
            </w:pPr>
            <w:r w:rsidRPr="000D142C">
              <w:rPr>
                <w:rFonts w:cs="Arial"/>
                <w:color w:val="000000"/>
                <w:sz w:val="23"/>
                <w:szCs w:val="23"/>
              </w:rPr>
              <w:t>Supply Chain</w:t>
            </w:r>
            <w:r w:rsidR="0052607D" w:rsidRPr="000D142C">
              <w:rPr>
                <w:rFonts w:cs="Arial"/>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10,781 </w:t>
            </w:r>
          </w:p>
        </w:tc>
        <w:tc>
          <w:tcPr>
            <w:tcW w:w="1157"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73 </w:t>
            </w:r>
          </w:p>
        </w:tc>
        <w:tc>
          <w:tcPr>
            <w:tcW w:w="1684" w:type="dxa"/>
            <w:shd w:val="clear" w:color="auto" w:fill="auto"/>
            <w:noWrap/>
            <w:vAlign w:val="bottom"/>
            <w:hideMark/>
          </w:tcPr>
          <w:p w:rsidR="00A426C4" w:rsidRPr="000D142C" w:rsidRDefault="00A426C4" w:rsidP="00A426C4">
            <w:pPr>
              <w:spacing w:after="0"/>
              <w:jc w:val="left"/>
              <w:rPr>
                <w:rFonts w:cs="Arial"/>
                <w:color w:val="000000"/>
                <w:sz w:val="23"/>
                <w:szCs w:val="23"/>
              </w:rPr>
            </w:pPr>
          </w:p>
        </w:tc>
        <w:tc>
          <w:tcPr>
            <w:tcW w:w="1234" w:type="dxa"/>
            <w:shd w:val="clear" w:color="auto" w:fill="auto"/>
            <w:noWrap/>
            <w:vAlign w:val="bottom"/>
            <w:hideMark/>
          </w:tcPr>
          <w:p w:rsidR="00A426C4" w:rsidRPr="000D142C" w:rsidRDefault="0052607D" w:rsidP="00A426C4">
            <w:pPr>
              <w:spacing w:after="0"/>
              <w:jc w:val="right"/>
              <w:rPr>
                <w:rFonts w:cs="Arial"/>
                <w:color w:val="000000"/>
                <w:sz w:val="23"/>
                <w:szCs w:val="23"/>
              </w:rPr>
            </w:pPr>
            <w:r w:rsidRPr="000D142C">
              <w:rPr>
                <w:rFonts w:cs="Arial"/>
                <w:color w:val="000000"/>
                <w:sz w:val="23"/>
                <w:szCs w:val="23"/>
              </w:rPr>
              <w:t>$</w:t>
            </w:r>
            <w:r w:rsidR="00A426C4" w:rsidRPr="000D142C">
              <w:rPr>
                <w:rFonts w:cs="Arial"/>
                <w:color w:val="000000"/>
                <w:sz w:val="23"/>
                <w:szCs w:val="23"/>
              </w:rPr>
              <w:t xml:space="preserve">10,855 </w:t>
            </w:r>
          </w:p>
        </w:tc>
      </w:tr>
      <w:tr w:rsidR="00A426C4" w:rsidRPr="000D142C" w:rsidTr="0052607D">
        <w:trPr>
          <w:trHeight w:val="300"/>
          <w:jc w:val="center"/>
        </w:trPr>
        <w:tc>
          <w:tcPr>
            <w:tcW w:w="4248" w:type="dxa"/>
            <w:shd w:val="clear" w:color="auto" w:fill="auto"/>
            <w:noWrap/>
            <w:vAlign w:val="bottom"/>
            <w:hideMark/>
          </w:tcPr>
          <w:p w:rsidR="00A426C4" w:rsidRPr="000D142C" w:rsidRDefault="00A426C4" w:rsidP="00A426C4">
            <w:pPr>
              <w:spacing w:after="0"/>
              <w:jc w:val="center"/>
              <w:rPr>
                <w:rFonts w:cs="Arial"/>
                <w:b/>
                <w:bCs/>
                <w:sz w:val="23"/>
                <w:szCs w:val="23"/>
              </w:rPr>
            </w:pPr>
            <w:r w:rsidRPr="000D142C">
              <w:rPr>
                <w:rFonts w:cs="Arial"/>
                <w:b/>
                <w:bCs/>
                <w:sz w:val="23"/>
                <w:szCs w:val="23"/>
              </w:rPr>
              <w:t>TOTAL</w:t>
            </w:r>
            <w:r w:rsidR="0052607D" w:rsidRPr="000D142C">
              <w:rPr>
                <w:rFonts w:cs="Arial"/>
                <w:b/>
                <w:color w:val="000000"/>
                <w:sz w:val="23"/>
                <w:szCs w:val="23"/>
              </w:rPr>
              <w:t xml:space="preserve"> (thousands)</w:t>
            </w:r>
          </w:p>
        </w:tc>
        <w:tc>
          <w:tcPr>
            <w:tcW w:w="1267" w:type="dxa"/>
            <w:shd w:val="clear" w:color="auto" w:fill="auto"/>
            <w:noWrap/>
            <w:vAlign w:val="bottom"/>
            <w:hideMark/>
          </w:tcPr>
          <w:p w:rsidR="00A426C4" w:rsidRPr="000D142C" w:rsidRDefault="0052607D" w:rsidP="00A426C4">
            <w:pPr>
              <w:spacing w:after="0"/>
              <w:jc w:val="right"/>
              <w:rPr>
                <w:rFonts w:cs="Arial"/>
                <w:b/>
                <w:bCs/>
                <w:sz w:val="23"/>
                <w:szCs w:val="23"/>
              </w:rPr>
            </w:pPr>
            <w:r w:rsidRPr="000D142C">
              <w:rPr>
                <w:rFonts w:cs="Arial"/>
                <w:b/>
                <w:color w:val="000000"/>
                <w:sz w:val="23"/>
                <w:szCs w:val="23"/>
              </w:rPr>
              <w:t>$</w:t>
            </w:r>
            <w:r w:rsidR="00A426C4" w:rsidRPr="000D142C">
              <w:rPr>
                <w:rFonts w:cs="Arial"/>
                <w:b/>
                <w:bCs/>
                <w:sz w:val="23"/>
                <w:szCs w:val="23"/>
              </w:rPr>
              <w:t>87,065</w:t>
            </w:r>
          </w:p>
        </w:tc>
        <w:tc>
          <w:tcPr>
            <w:tcW w:w="1157" w:type="dxa"/>
            <w:shd w:val="clear" w:color="auto" w:fill="auto"/>
            <w:noWrap/>
            <w:vAlign w:val="bottom"/>
            <w:hideMark/>
          </w:tcPr>
          <w:p w:rsidR="00A426C4" w:rsidRPr="000D142C" w:rsidRDefault="0052607D" w:rsidP="00A426C4">
            <w:pPr>
              <w:spacing w:after="0"/>
              <w:jc w:val="right"/>
              <w:rPr>
                <w:rFonts w:cs="Arial"/>
                <w:b/>
                <w:bCs/>
                <w:sz w:val="23"/>
                <w:szCs w:val="23"/>
              </w:rPr>
            </w:pPr>
            <w:r w:rsidRPr="000D142C">
              <w:rPr>
                <w:rFonts w:cs="Arial"/>
                <w:b/>
                <w:color w:val="000000"/>
                <w:sz w:val="23"/>
                <w:szCs w:val="23"/>
              </w:rPr>
              <w:t>$</w:t>
            </w:r>
            <w:r w:rsidR="00A426C4" w:rsidRPr="000D142C">
              <w:rPr>
                <w:rFonts w:cs="Arial"/>
                <w:b/>
                <w:bCs/>
                <w:sz w:val="23"/>
                <w:szCs w:val="23"/>
              </w:rPr>
              <w:t>48,665</w:t>
            </w:r>
          </w:p>
        </w:tc>
        <w:tc>
          <w:tcPr>
            <w:tcW w:w="1684" w:type="dxa"/>
            <w:shd w:val="clear" w:color="auto" w:fill="auto"/>
            <w:noWrap/>
            <w:vAlign w:val="bottom"/>
            <w:hideMark/>
          </w:tcPr>
          <w:p w:rsidR="00A426C4" w:rsidRPr="000D142C" w:rsidRDefault="0052607D" w:rsidP="00A426C4">
            <w:pPr>
              <w:spacing w:after="0"/>
              <w:jc w:val="right"/>
              <w:rPr>
                <w:rFonts w:cs="Arial"/>
                <w:b/>
                <w:bCs/>
                <w:sz w:val="23"/>
                <w:szCs w:val="23"/>
              </w:rPr>
            </w:pPr>
            <w:r w:rsidRPr="000D142C">
              <w:rPr>
                <w:rFonts w:cs="Arial"/>
                <w:b/>
                <w:color w:val="000000"/>
                <w:sz w:val="23"/>
                <w:szCs w:val="23"/>
              </w:rPr>
              <w:t>$</w:t>
            </w:r>
            <w:r w:rsidR="00A426C4" w:rsidRPr="000D142C">
              <w:rPr>
                <w:rFonts w:cs="Arial"/>
                <w:b/>
                <w:bCs/>
                <w:sz w:val="23"/>
                <w:szCs w:val="23"/>
              </w:rPr>
              <w:t>10,378</w:t>
            </w:r>
          </w:p>
        </w:tc>
        <w:tc>
          <w:tcPr>
            <w:tcW w:w="1234" w:type="dxa"/>
            <w:shd w:val="clear" w:color="auto" w:fill="auto"/>
            <w:noWrap/>
            <w:vAlign w:val="bottom"/>
            <w:hideMark/>
          </w:tcPr>
          <w:p w:rsidR="00A426C4" w:rsidRPr="000D142C" w:rsidRDefault="0052607D" w:rsidP="00A426C4">
            <w:pPr>
              <w:spacing w:after="0"/>
              <w:jc w:val="right"/>
              <w:rPr>
                <w:rFonts w:cs="Arial"/>
                <w:b/>
                <w:bCs/>
                <w:sz w:val="23"/>
                <w:szCs w:val="23"/>
              </w:rPr>
            </w:pPr>
            <w:r w:rsidRPr="000D142C">
              <w:rPr>
                <w:rFonts w:cs="Arial"/>
                <w:b/>
                <w:color w:val="000000"/>
                <w:sz w:val="23"/>
                <w:szCs w:val="23"/>
              </w:rPr>
              <w:t>$</w:t>
            </w:r>
            <w:r w:rsidR="00A426C4" w:rsidRPr="000D142C">
              <w:rPr>
                <w:rFonts w:cs="Arial"/>
                <w:b/>
                <w:bCs/>
                <w:sz w:val="23"/>
                <w:szCs w:val="23"/>
              </w:rPr>
              <w:t>146,108</w:t>
            </w:r>
          </w:p>
        </w:tc>
      </w:tr>
      <w:tr w:rsidR="00A426C4" w:rsidRPr="000D142C" w:rsidTr="0052607D">
        <w:trPr>
          <w:trHeight w:val="300"/>
          <w:jc w:val="center"/>
        </w:trPr>
        <w:tc>
          <w:tcPr>
            <w:tcW w:w="9590" w:type="dxa"/>
            <w:gridSpan w:val="5"/>
            <w:shd w:val="clear" w:color="auto" w:fill="auto"/>
            <w:noWrap/>
            <w:vAlign w:val="bottom"/>
          </w:tcPr>
          <w:p w:rsidR="00A426C4" w:rsidRPr="000D142C" w:rsidRDefault="00A426C4" w:rsidP="00A426C4">
            <w:pPr>
              <w:spacing w:after="0"/>
              <w:jc w:val="left"/>
              <w:rPr>
                <w:rFonts w:cs="Arial"/>
                <w:bCs/>
                <w:sz w:val="23"/>
                <w:szCs w:val="23"/>
              </w:rPr>
            </w:pPr>
            <w:r w:rsidRPr="000D142C">
              <w:rPr>
                <w:rFonts w:cs="Arial"/>
                <w:bCs/>
                <w:sz w:val="23"/>
                <w:szCs w:val="23"/>
              </w:rPr>
              <w:t>Source: DN 13-370</w:t>
            </w:r>
          </w:p>
        </w:tc>
      </w:tr>
    </w:tbl>
    <w:p w:rsidR="00A426C4" w:rsidRDefault="00356110" w:rsidP="000D142C">
      <w:pPr>
        <w:pStyle w:val="Caption"/>
        <w:spacing w:before="120"/>
      </w:pPr>
      <w:bookmarkStart w:id="57" w:name="_Toc464552948"/>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D10053">
        <w:br/>
      </w:r>
      <w:r w:rsidR="00A426C4">
        <w:t>2014 PPL SC</w:t>
      </w:r>
      <w:r w:rsidR="00A426C4" w:rsidRPr="00B9479D">
        <w:t xml:space="preserve"> Costs All</w:t>
      </w:r>
      <w:r w:rsidR="00A426C4">
        <w:t>ocated to PPL EU</w:t>
      </w:r>
      <w:bookmarkEnd w:id="57"/>
    </w:p>
    <w:tbl>
      <w:tblPr>
        <w:tblW w:w="9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4A0"/>
      </w:tblPr>
      <w:tblGrid>
        <w:gridCol w:w="4332"/>
        <w:gridCol w:w="1170"/>
        <w:gridCol w:w="1145"/>
        <w:gridCol w:w="1684"/>
        <w:gridCol w:w="1232"/>
      </w:tblGrid>
      <w:tr w:rsidR="00A426C4" w:rsidRPr="001D0C0B" w:rsidTr="0052607D">
        <w:trPr>
          <w:trHeight w:val="289"/>
          <w:tblHeader/>
          <w:jc w:val="center"/>
        </w:trPr>
        <w:tc>
          <w:tcPr>
            <w:tcW w:w="4332" w:type="dxa"/>
            <w:shd w:val="clear" w:color="auto" w:fill="A5CD7E"/>
            <w:noWrap/>
            <w:vAlign w:val="bottom"/>
            <w:hideMark/>
          </w:tcPr>
          <w:p w:rsidR="00A426C4" w:rsidRPr="001D0C0B" w:rsidRDefault="00A426C4" w:rsidP="006304A4">
            <w:pPr>
              <w:spacing w:before="120"/>
              <w:jc w:val="center"/>
              <w:rPr>
                <w:rFonts w:cs="Arial"/>
                <w:b/>
                <w:bCs/>
                <w:color w:val="000000"/>
                <w:szCs w:val="24"/>
              </w:rPr>
            </w:pPr>
            <w:r w:rsidRPr="001D0C0B">
              <w:rPr>
                <w:rFonts w:cs="Arial"/>
                <w:b/>
                <w:bCs/>
                <w:color w:val="000000"/>
                <w:szCs w:val="24"/>
              </w:rPr>
              <w:t>Group</w:t>
            </w:r>
          </w:p>
        </w:tc>
        <w:tc>
          <w:tcPr>
            <w:tcW w:w="1170" w:type="dxa"/>
            <w:shd w:val="clear" w:color="auto" w:fill="A5CD7E"/>
            <w:vAlign w:val="bottom"/>
            <w:hideMark/>
          </w:tcPr>
          <w:p w:rsidR="00A426C4" w:rsidRPr="001D0C0B" w:rsidRDefault="00A426C4" w:rsidP="006304A4">
            <w:pPr>
              <w:spacing w:before="120"/>
              <w:jc w:val="center"/>
              <w:rPr>
                <w:rFonts w:cs="Arial"/>
                <w:b/>
                <w:bCs/>
                <w:szCs w:val="24"/>
              </w:rPr>
            </w:pPr>
            <w:r w:rsidRPr="001D0C0B">
              <w:rPr>
                <w:rFonts w:cs="Arial"/>
                <w:b/>
                <w:bCs/>
                <w:szCs w:val="24"/>
              </w:rPr>
              <w:t>Direct</w:t>
            </w:r>
          </w:p>
        </w:tc>
        <w:tc>
          <w:tcPr>
            <w:tcW w:w="1145" w:type="dxa"/>
            <w:shd w:val="clear" w:color="auto" w:fill="A5CD7E"/>
            <w:vAlign w:val="bottom"/>
            <w:hideMark/>
          </w:tcPr>
          <w:p w:rsidR="00A426C4" w:rsidRPr="001D0C0B" w:rsidRDefault="00A426C4" w:rsidP="006304A4">
            <w:pPr>
              <w:spacing w:before="120"/>
              <w:jc w:val="center"/>
              <w:rPr>
                <w:rFonts w:cs="Arial"/>
                <w:b/>
                <w:bCs/>
                <w:szCs w:val="24"/>
              </w:rPr>
            </w:pPr>
            <w:r w:rsidRPr="001D0C0B">
              <w:rPr>
                <w:rFonts w:cs="Arial"/>
                <w:b/>
                <w:bCs/>
                <w:szCs w:val="24"/>
              </w:rPr>
              <w:t>Indirect</w:t>
            </w:r>
          </w:p>
        </w:tc>
        <w:tc>
          <w:tcPr>
            <w:tcW w:w="1684" w:type="dxa"/>
            <w:shd w:val="clear" w:color="auto" w:fill="A5CD7E"/>
            <w:vAlign w:val="bottom"/>
            <w:hideMark/>
          </w:tcPr>
          <w:p w:rsidR="00A426C4" w:rsidRPr="001D0C0B" w:rsidRDefault="00A426C4" w:rsidP="006304A4">
            <w:pPr>
              <w:spacing w:before="120"/>
              <w:jc w:val="center"/>
              <w:rPr>
                <w:rFonts w:cs="Arial"/>
                <w:b/>
                <w:bCs/>
                <w:szCs w:val="24"/>
              </w:rPr>
            </w:pPr>
            <w:r w:rsidRPr="001D0C0B">
              <w:rPr>
                <w:rFonts w:cs="Arial"/>
                <w:b/>
                <w:bCs/>
                <w:szCs w:val="24"/>
              </w:rPr>
              <w:t>Depreciation</w:t>
            </w:r>
          </w:p>
        </w:tc>
        <w:tc>
          <w:tcPr>
            <w:tcW w:w="1232" w:type="dxa"/>
            <w:shd w:val="clear" w:color="auto" w:fill="A5CD7E"/>
            <w:vAlign w:val="bottom"/>
            <w:hideMark/>
          </w:tcPr>
          <w:p w:rsidR="00A426C4" w:rsidRPr="001D0C0B" w:rsidRDefault="00A426C4" w:rsidP="006304A4">
            <w:pPr>
              <w:spacing w:before="120"/>
              <w:jc w:val="center"/>
              <w:rPr>
                <w:rFonts w:cs="Arial"/>
                <w:b/>
                <w:bCs/>
                <w:szCs w:val="24"/>
              </w:rPr>
            </w:pPr>
            <w:r w:rsidRPr="001D0C0B">
              <w:rPr>
                <w:rFonts w:cs="Arial"/>
                <w:b/>
                <w:bCs/>
                <w:szCs w:val="24"/>
              </w:rPr>
              <w:t>Total</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Chairman</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2,311</w:t>
            </w:r>
            <w:r w:rsidR="00A426C4" w:rsidRPr="001D0C0B">
              <w:rPr>
                <w:rFonts w:cs="Arial"/>
                <w:color w:val="000000"/>
                <w:szCs w:val="24"/>
              </w:rPr>
              <w:t xml:space="preserve">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2,311</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Corporate Audit Services</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200</w:t>
            </w:r>
            <w:r w:rsidR="00A426C4" w:rsidRPr="001D0C0B">
              <w:rPr>
                <w:rFonts w:cs="Arial"/>
                <w:color w:val="000000"/>
                <w:szCs w:val="24"/>
              </w:rPr>
              <w:t xml:space="preserve">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767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967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Environmental Management</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361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433</w:t>
            </w:r>
            <w:r w:rsidR="00A426C4" w:rsidRPr="001D0C0B">
              <w:rPr>
                <w:rFonts w:cs="Arial"/>
                <w:color w:val="000000"/>
                <w:szCs w:val="24"/>
              </w:rPr>
              <w:t xml:space="preserve">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794</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Government Affairs</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2,375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1,517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3,893</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Facilities Management</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25,1</w:t>
            </w:r>
            <w:r w:rsidR="00A426C4">
              <w:rPr>
                <w:rFonts w:cs="Arial"/>
                <w:color w:val="000000"/>
                <w:szCs w:val="24"/>
              </w:rPr>
              <w:t>70</w:t>
            </w:r>
            <w:r w:rsidR="00A426C4" w:rsidRPr="001D0C0B">
              <w:rPr>
                <w:rFonts w:cs="Arial"/>
                <w:color w:val="000000"/>
                <w:szCs w:val="24"/>
              </w:rPr>
              <w:t xml:space="preserve">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167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25,337</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Financial</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3,360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6,700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10,06</w:t>
            </w:r>
            <w:r w:rsidR="00A426C4">
              <w:rPr>
                <w:rFonts w:cs="Arial"/>
                <w:color w:val="000000"/>
                <w:szCs w:val="24"/>
              </w:rPr>
              <w:t>1</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Human Resources</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7,226</w:t>
            </w:r>
            <w:r w:rsidR="00A426C4" w:rsidRPr="001D0C0B">
              <w:rPr>
                <w:rFonts w:cs="Arial"/>
                <w:color w:val="000000"/>
                <w:szCs w:val="24"/>
              </w:rPr>
              <w:t xml:space="preserve">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2,550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9,776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Information Services</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30,996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v</w:t>
            </w:r>
            <w:r w:rsidR="00A426C4">
              <w:rPr>
                <w:rFonts w:cs="Arial"/>
                <w:color w:val="000000"/>
                <w:szCs w:val="24"/>
              </w:rPr>
              <w:t>8,065</w:t>
            </w:r>
            <w:r w:rsidR="00A426C4" w:rsidRPr="001D0C0B">
              <w:rPr>
                <w:rFonts w:cs="Arial"/>
                <w:color w:val="000000"/>
                <w:szCs w:val="24"/>
              </w:rPr>
              <w:t xml:space="preserve">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39,061</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Office of General Counsel</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6,422</w:t>
            </w:r>
            <w:r w:rsidR="00A426C4" w:rsidRPr="001D0C0B">
              <w:rPr>
                <w:rFonts w:cs="Arial"/>
                <w:color w:val="000000"/>
                <w:szCs w:val="24"/>
              </w:rPr>
              <w:t xml:space="preserve">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3,634</w:t>
            </w:r>
            <w:r w:rsidR="00A426C4" w:rsidRPr="001D0C0B">
              <w:rPr>
                <w:rFonts w:cs="Arial"/>
                <w:color w:val="000000"/>
                <w:szCs w:val="24"/>
              </w:rPr>
              <w:t xml:space="preserve">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10,055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PPL Services</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18,926 </w:t>
            </w:r>
          </w:p>
        </w:tc>
        <w:tc>
          <w:tcPr>
            <w:tcW w:w="1684"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14,554 </w:t>
            </w: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33,481</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Risk Management</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2,724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2,109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4,834</w:t>
            </w:r>
            <w:r w:rsidR="00A426C4" w:rsidRPr="001D0C0B">
              <w:rPr>
                <w:rFonts w:cs="Arial"/>
                <w:color w:val="000000"/>
                <w:szCs w:val="24"/>
              </w:rPr>
              <w:t xml:space="preserve"> </w:t>
            </w:r>
          </w:p>
        </w:tc>
      </w:tr>
      <w:tr w:rsidR="00A426C4" w:rsidRPr="001D0C0B" w:rsidTr="0052607D">
        <w:trPr>
          <w:trHeight w:val="289"/>
          <w:jc w:val="center"/>
        </w:trPr>
        <w:tc>
          <w:tcPr>
            <w:tcW w:w="4332" w:type="dxa"/>
            <w:shd w:val="clear" w:color="auto" w:fill="auto"/>
            <w:noWrap/>
            <w:vAlign w:val="bottom"/>
            <w:hideMark/>
          </w:tcPr>
          <w:p w:rsidR="00A426C4" w:rsidRPr="001D0C0B" w:rsidRDefault="00A426C4" w:rsidP="00A426C4">
            <w:pPr>
              <w:spacing w:after="0"/>
              <w:jc w:val="center"/>
              <w:rPr>
                <w:rFonts w:cs="Arial"/>
                <w:color w:val="000000"/>
                <w:szCs w:val="24"/>
              </w:rPr>
            </w:pPr>
            <w:r w:rsidRPr="001D0C0B">
              <w:rPr>
                <w:rFonts w:cs="Arial"/>
                <w:color w:val="000000"/>
                <w:szCs w:val="24"/>
              </w:rPr>
              <w:t>Supply chain</w:t>
            </w:r>
            <w:r w:rsidR="0052607D">
              <w:rPr>
                <w:rFonts w:cs="Arial"/>
                <w:color w:val="000000"/>
                <w:szCs w:val="24"/>
              </w:rPr>
              <w:t xml:space="preserve"> (thousands)</w:t>
            </w:r>
          </w:p>
        </w:tc>
        <w:tc>
          <w:tcPr>
            <w:tcW w:w="1170"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10,379 </w:t>
            </w:r>
          </w:p>
        </w:tc>
        <w:tc>
          <w:tcPr>
            <w:tcW w:w="1145"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 xml:space="preserve">120 </w:t>
            </w:r>
          </w:p>
        </w:tc>
        <w:tc>
          <w:tcPr>
            <w:tcW w:w="1684" w:type="dxa"/>
            <w:shd w:val="clear" w:color="auto" w:fill="auto"/>
            <w:noWrap/>
            <w:vAlign w:val="bottom"/>
            <w:hideMark/>
          </w:tcPr>
          <w:p w:rsidR="00A426C4" w:rsidRPr="001D0C0B" w:rsidRDefault="00A426C4" w:rsidP="00A426C4">
            <w:pPr>
              <w:spacing w:after="0"/>
              <w:jc w:val="left"/>
              <w:rPr>
                <w:rFonts w:cs="Arial"/>
                <w:color w:val="000000"/>
                <w:szCs w:val="24"/>
              </w:rPr>
            </w:pPr>
          </w:p>
        </w:tc>
        <w:tc>
          <w:tcPr>
            <w:tcW w:w="1232" w:type="dxa"/>
            <w:shd w:val="clear" w:color="auto" w:fill="auto"/>
            <w:noWrap/>
            <w:vAlign w:val="bottom"/>
            <w:hideMark/>
          </w:tcPr>
          <w:p w:rsidR="00A426C4" w:rsidRPr="001D0C0B" w:rsidRDefault="0052607D" w:rsidP="00A426C4">
            <w:pPr>
              <w:spacing w:after="0"/>
              <w:jc w:val="right"/>
              <w:rPr>
                <w:rFonts w:cs="Arial"/>
                <w:color w:val="000000"/>
                <w:szCs w:val="24"/>
              </w:rPr>
            </w:pPr>
            <w:r>
              <w:rPr>
                <w:rFonts w:cs="Arial"/>
                <w:color w:val="000000"/>
                <w:szCs w:val="24"/>
              </w:rPr>
              <w:t>$</w:t>
            </w:r>
            <w:r w:rsidR="00A426C4" w:rsidRPr="001D0C0B">
              <w:rPr>
                <w:rFonts w:cs="Arial"/>
                <w:color w:val="000000"/>
                <w:szCs w:val="24"/>
              </w:rPr>
              <w:t>10,</w:t>
            </w:r>
            <w:r w:rsidR="00A426C4">
              <w:rPr>
                <w:rFonts w:cs="Arial"/>
                <w:color w:val="000000"/>
                <w:szCs w:val="24"/>
              </w:rPr>
              <w:t>500</w:t>
            </w:r>
            <w:r w:rsidR="00A426C4" w:rsidRPr="001D0C0B">
              <w:rPr>
                <w:rFonts w:cs="Arial"/>
                <w:color w:val="000000"/>
                <w:szCs w:val="24"/>
              </w:rPr>
              <w:t xml:space="preserve"> </w:t>
            </w:r>
          </w:p>
        </w:tc>
      </w:tr>
      <w:tr w:rsidR="00A426C4" w:rsidRPr="0052607D" w:rsidTr="0052607D">
        <w:trPr>
          <w:trHeight w:val="300"/>
          <w:jc w:val="center"/>
        </w:trPr>
        <w:tc>
          <w:tcPr>
            <w:tcW w:w="4332" w:type="dxa"/>
            <w:shd w:val="clear" w:color="auto" w:fill="auto"/>
            <w:noWrap/>
            <w:vAlign w:val="bottom"/>
            <w:hideMark/>
          </w:tcPr>
          <w:p w:rsidR="00A426C4" w:rsidRPr="0052607D" w:rsidRDefault="00A426C4" w:rsidP="00A426C4">
            <w:pPr>
              <w:spacing w:after="0"/>
              <w:jc w:val="center"/>
              <w:rPr>
                <w:rFonts w:cs="Arial"/>
                <w:b/>
                <w:bCs/>
                <w:szCs w:val="24"/>
              </w:rPr>
            </w:pPr>
            <w:r w:rsidRPr="0052607D">
              <w:rPr>
                <w:rFonts w:cs="Arial"/>
                <w:b/>
                <w:bCs/>
                <w:szCs w:val="24"/>
              </w:rPr>
              <w:t>TOTAL</w:t>
            </w:r>
            <w:r w:rsidR="0052607D" w:rsidRPr="0052607D">
              <w:rPr>
                <w:rFonts w:cs="Arial"/>
                <w:b/>
                <w:color w:val="000000"/>
                <w:szCs w:val="24"/>
              </w:rPr>
              <w:t xml:space="preserve"> (thousands)</w:t>
            </w:r>
          </w:p>
        </w:tc>
        <w:tc>
          <w:tcPr>
            <w:tcW w:w="1170"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89,214</w:t>
            </w:r>
          </w:p>
        </w:tc>
        <w:tc>
          <w:tcPr>
            <w:tcW w:w="1145"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47,300</w:t>
            </w:r>
          </w:p>
        </w:tc>
        <w:tc>
          <w:tcPr>
            <w:tcW w:w="1684"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14,554</w:t>
            </w:r>
          </w:p>
        </w:tc>
        <w:tc>
          <w:tcPr>
            <w:tcW w:w="1232"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151,068</w:t>
            </w:r>
          </w:p>
        </w:tc>
      </w:tr>
      <w:tr w:rsidR="00A426C4" w:rsidRPr="001D0C0B" w:rsidTr="0052607D">
        <w:trPr>
          <w:trHeight w:val="300"/>
          <w:jc w:val="center"/>
        </w:trPr>
        <w:tc>
          <w:tcPr>
            <w:tcW w:w="9563" w:type="dxa"/>
            <w:gridSpan w:val="5"/>
            <w:shd w:val="clear" w:color="auto" w:fill="auto"/>
            <w:noWrap/>
            <w:vAlign w:val="bottom"/>
          </w:tcPr>
          <w:p w:rsidR="00A426C4" w:rsidRPr="002D728C" w:rsidRDefault="00A426C4" w:rsidP="00A426C4">
            <w:pPr>
              <w:spacing w:after="0"/>
              <w:jc w:val="left"/>
              <w:rPr>
                <w:rFonts w:cs="Arial"/>
                <w:bCs/>
                <w:szCs w:val="24"/>
              </w:rPr>
            </w:pPr>
            <w:r w:rsidRPr="001D0C0B">
              <w:rPr>
                <w:rFonts w:cs="Arial"/>
                <w:bCs/>
                <w:szCs w:val="24"/>
              </w:rPr>
              <w:t>Source: DN 13-370</w:t>
            </w:r>
          </w:p>
        </w:tc>
      </w:tr>
    </w:tbl>
    <w:p w:rsidR="00A426C4" w:rsidRDefault="00356110" w:rsidP="00356110">
      <w:pPr>
        <w:pStyle w:val="Caption"/>
      </w:pPr>
      <w:bookmarkStart w:id="58" w:name="_Toc464552949"/>
      <w:r>
        <w:lastRenderedPageBreak/>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6</w:t>
      </w:r>
      <w:r w:rsidR="00CB2B2A">
        <w:rPr>
          <w:noProof/>
        </w:rPr>
        <w:fldChar w:fldCharType="end"/>
      </w:r>
      <w:r w:rsidR="00D10053">
        <w:br/>
      </w:r>
      <w:r w:rsidR="00A426C4">
        <w:t>2015 PPL SC</w:t>
      </w:r>
      <w:r w:rsidR="00A426C4" w:rsidRPr="00B9479D">
        <w:t xml:space="preserve"> Costs All</w:t>
      </w:r>
      <w:r w:rsidR="00A426C4">
        <w:t>ocated to PPL EU</w:t>
      </w:r>
      <w:bookmarkEnd w:id="58"/>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3904"/>
        <w:gridCol w:w="1359"/>
        <w:gridCol w:w="1219"/>
        <w:gridCol w:w="1684"/>
        <w:gridCol w:w="1262"/>
      </w:tblGrid>
      <w:tr w:rsidR="00A426C4" w:rsidRPr="002D728C" w:rsidTr="0052607D">
        <w:trPr>
          <w:trHeight w:val="289"/>
          <w:tblHeader/>
          <w:jc w:val="center"/>
        </w:trPr>
        <w:tc>
          <w:tcPr>
            <w:tcW w:w="3904" w:type="dxa"/>
            <w:shd w:val="clear" w:color="auto" w:fill="A5CD7E"/>
            <w:noWrap/>
            <w:vAlign w:val="bottom"/>
            <w:hideMark/>
          </w:tcPr>
          <w:p w:rsidR="00A426C4" w:rsidRPr="002D728C" w:rsidRDefault="00A426C4" w:rsidP="006304A4">
            <w:pPr>
              <w:spacing w:before="120"/>
              <w:jc w:val="center"/>
              <w:rPr>
                <w:rFonts w:cs="Arial"/>
                <w:b/>
                <w:bCs/>
                <w:color w:val="000000"/>
                <w:szCs w:val="24"/>
              </w:rPr>
            </w:pPr>
            <w:r w:rsidRPr="002D728C">
              <w:rPr>
                <w:rFonts w:cs="Arial"/>
                <w:b/>
                <w:bCs/>
                <w:color w:val="000000"/>
                <w:szCs w:val="24"/>
              </w:rPr>
              <w:t>Group</w:t>
            </w:r>
          </w:p>
        </w:tc>
        <w:tc>
          <w:tcPr>
            <w:tcW w:w="1359" w:type="dxa"/>
            <w:shd w:val="clear" w:color="auto" w:fill="A5CD7E"/>
            <w:vAlign w:val="bottom"/>
            <w:hideMark/>
          </w:tcPr>
          <w:p w:rsidR="00A426C4" w:rsidRPr="002D728C" w:rsidRDefault="00A426C4" w:rsidP="006304A4">
            <w:pPr>
              <w:spacing w:before="120"/>
              <w:jc w:val="center"/>
              <w:rPr>
                <w:rFonts w:cs="Arial"/>
                <w:b/>
                <w:bCs/>
                <w:szCs w:val="24"/>
              </w:rPr>
            </w:pPr>
            <w:r w:rsidRPr="002D728C">
              <w:rPr>
                <w:rFonts w:cs="Arial"/>
                <w:b/>
                <w:bCs/>
                <w:szCs w:val="24"/>
              </w:rPr>
              <w:t>Direct</w:t>
            </w:r>
          </w:p>
        </w:tc>
        <w:tc>
          <w:tcPr>
            <w:tcW w:w="1219" w:type="dxa"/>
            <w:shd w:val="clear" w:color="auto" w:fill="A5CD7E"/>
            <w:vAlign w:val="bottom"/>
            <w:hideMark/>
          </w:tcPr>
          <w:p w:rsidR="00A426C4" w:rsidRPr="002D728C" w:rsidRDefault="00A426C4" w:rsidP="006304A4">
            <w:pPr>
              <w:spacing w:before="120"/>
              <w:jc w:val="center"/>
              <w:rPr>
                <w:rFonts w:cs="Arial"/>
                <w:b/>
                <w:bCs/>
                <w:szCs w:val="24"/>
              </w:rPr>
            </w:pPr>
            <w:r w:rsidRPr="002D728C">
              <w:rPr>
                <w:rFonts w:cs="Arial"/>
                <w:b/>
                <w:bCs/>
                <w:szCs w:val="24"/>
              </w:rPr>
              <w:t>Indirect</w:t>
            </w:r>
          </w:p>
        </w:tc>
        <w:tc>
          <w:tcPr>
            <w:tcW w:w="1684" w:type="dxa"/>
            <w:shd w:val="clear" w:color="auto" w:fill="A5CD7E"/>
            <w:vAlign w:val="bottom"/>
            <w:hideMark/>
          </w:tcPr>
          <w:p w:rsidR="00A426C4" w:rsidRPr="002D728C" w:rsidRDefault="00A426C4" w:rsidP="006304A4">
            <w:pPr>
              <w:spacing w:before="120"/>
              <w:jc w:val="center"/>
              <w:rPr>
                <w:rFonts w:cs="Arial"/>
                <w:b/>
                <w:bCs/>
                <w:szCs w:val="24"/>
              </w:rPr>
            </w:pPr>
            <w:r w:rsidRPr="002D728C">
              <w:rPr>
                <w:rFonts w:cs="Arial"/>
                <w:b/>
                <w:bCs/>
                <w:szCs w:val="24"/>
              </w:rPr>
              <w:t>Depreciation</w:t>
            </w:r>
          </w:p>
        </w:tc>
        <w:tc>
          <w:tcPr>
            <w:tcW w:w="1262" w:type="dxa"/>
            <w:shd w:val="clear" w:color="auto" w:fill="A5CD7E"/>
            <w:vAlign w:val="bottom"/>
            <w:hideMark/>
          </w:tcPr>
          <w:p w:rsidR="00A426C4" w:rsidRPr="002D728C" w:rsidRDefault="00A426C4" w:rsidP="006304A4">
            <w:pPr>
              <w:spacing w:before="120"/>
              <w:jc w:val="center"/>
              <w:rPr>
                <w:rFonts w:cs="Arial"/>
                <w:b/>
                <w:bCs/>
                <w:szCs w:val="24"/>
              </w:rPr>
            </w:pPr>
            <w:r w:rsidRPr="002D728C">
              <w:rPr>
                <w:rFonts w:cs="Arial"/>
                <w:b/>
                <w:bCs/>
                <w:szCs w:val="24"/>
              </w:rPr>
              <w:t>Total</w:t>
            </w:r>
          </w:p>
        </w:tc>
      </w:tr>
      <w:tr w:rsidR="00A426C4" w:rsidRPr="002D728C" w:rsidTr="0052607D">
        <w:trPr>
          <w:trHeight w:val="242"/>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Chairman</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1,846</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1,846</w:t>
            </w:r>
            <w:r w:rsidR="00A426C4" w:rsidRPr="002D728C">
              <w:rPr>
                <w:rFonts w:cs="Arial"/>
                <w:color w:val="000000"/>
                <w:szCs w:val="24"/>
              </w:rPr>
              <w:t xml:space="preserve"> </w:t>
            </w:r>
          </w:p>
        </w:tc>
      </w:tr>
      <w:tr w:rsidR="00A426C4" w:rsidRPr="002D728C" w:rsidTr="0052607D">
        <w:trPr>
          <w:trHeight w:val="215"/>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Corporate Audit Services</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170</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1,427</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1,597</w:t>
            </w:r>
            <w:r w:rsidR="00A426C4" w:rsidRPr="002D728C">
              <w:rPr>
                <w:rFonts w:cs="Arial"/>
                <w:color w:val="000000"/>
                <w:szCs w:val="24"/>
              </w:rPr>
              <w:t xml:space="preserve"> </w:t>
            </w:r>
          </w:p>
        </w:tc>
      </w:tr>
      <w:tr w:rsidR="00A426C4" w:rsidRPr="002D728C" w:rsidTr="0052607D">
        <w:trPr>
          <w:trHeight w:val="107"/>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Financial</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3,698</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10,376</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14,074</w:t>
            </w:r>
            <w:r w:rsidR="00A426C4" w:rsidRPr="002D728C">
              <w:rPr>
                <w:rFonts w:cs="Arial"/>
                <w:color w:val="000000"/>
                <w:szCs w:val="24"/>
              </w:rPr>
              <w:t xml:space="preserve"> </w:t>
            </w:r>
          </w:p>
        </w:tc>
      </w:tr>
      <w:tr w:rsidR="00A426C4" w:rsidRPr="002D728C" w:rsidTr="0052607D">
        <w:trPr>
          <w:trHeight w:val="289"/>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Human Resources</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4,641</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2,847</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7,489</w:t>
            </w:r>
            <w:r w:rsidR="00A426C4" w:rsidRPr="002D728C">
              <w:rPr>
                <w:rFonts w:cs="Arial"/>
                <w:color w:val="000000"/>
                <w:szCs w:val="24"/>
              </w:rPr>
              <w:t xml:space="preserve"> </w:t>
            </w:r>
          </w:p>
        </w:tc>
      </w:tr>
      <w:tr w:rsidR="00A426C4" w:rsidRPr="002D728C" w:rsidTr="0052607D">
        <w:trPr>
          <w:trHeight w:val="289"/>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Information Services</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38,856</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w:t>
            </w:r>
            <w:r w:rsidR="00A426C4" w:rsidRPr="002D728C">
              <w:rPr>
                <w:rFonts w:cs="Arial"/>
                <w:color w:val="000000"/>
                <w:szCs w:val="24"/>
              </w:rPr>
              <w:t>,</w:t>
            </w:r>
            <w:r w:rsidR="00A426C4">
              <w:rPr>
                <w:rFonts w:cs="Arial"/>
                <w:color w:val="000000"/>
                <w:szCs w:val="24"/>
              </w:rPr>
              <w:t>809</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38,665</w:t>
            </w:r>
            <w:r w:rsidR="00A426C4" w:rsidRPr="002D728C">
              <w:rPr>
                <w:rFonts w:cs="Arial"/>
                <w:color w:val="000000"/>
                <w:szCs w:val="24"/>
              </w:rPr>
              <w:t xml:space="preserve"> </w:t>
            </w:r>
          </w:p>
        </w:tc>
      </w:tr>
      <w:tr w:rsidR="00A426C4" w:rsidRPr="002D728C" w:rsidTr="0052607D">
        <w:trPr>
          <w:trHeight w:val="289"/>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Office of General Counsel</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8,670</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5,247</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13,918</w:t>
            </w:r>
            <w:r w:rsidR="00A426C4" w:rsidRPr="002D728C">
              <w:rPr>
                <w:rFonts w:cs="Arial"/>
                <w:color w:val="000000"/>
                <w:szCs w:val="24"/>
              </w:rPr>
              <w:t xml:space="preserve"> </w:t>
            </w:r>
          </w:p>
        </w:tc>
      </w:tr>
      <w:tr w:rsidR="00A426C4" w:rsidRPr="002D728C" w:rsidTr="0052607D">
        <w:trPr>
          <w:trHeight w:val="289"/>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PPL Services</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52607D">
            <w:pPr>
              <w:spacing w:after="0"/>
              <w:jc w:val="right"/>
              <w:rPr>
                <w:rFonts w:cs="Arial"/>
                <w:color w:val="000000"/>
                <w:szCs w:val="24"/>
              </w:rPr>
            </w:pPr>
            <w:r>
              <w:rPr>
                <w:rFonts w:cs="Arial"/>
                <w:color w:val="000000"/>
                <w:szCs w:val="24"/>
              </w:rPr>
              <w:t>$</w:t>
            </w:r>
            <w:r w:rsidR="00A426C4">
              <w:rPr>
                <w:rFonts w:cs="Arial"/>
                <w:color w:val="000000"/>
                <w:szCs w:val="24"/>
              </w:rPr>
              <w:t>96</w:t>
            </w:r>
          </w:p>
        </w:tc>
        <w:tc>
          <w:tcPr>
            <w:tcW w:w="121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25,087</w:t>
            </w:r>
            <w:r w:rsidR="00A426C4" w:rsidRPr="002D728C">
              <w:rPr>
                <w:rFonts w:cs="Arial"/>
                <w:color w:val="000000"/>
                <w:szCs w:val="24"/>
              </w:rPr>
              <w:t xml:space="preserve"> </w:t>
            </w:r>
          </w:p>
        </w:tc>
        <w:tc>
          <w:tcPr>
            <w:tcW w:w="1684"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20,709</w:t>
            </w:r>
            <w:r w:rsidR="00A426C4" w:rsidRPr="002D728C">
              <w:rPr>
                <w:rFonts w:cs="Arial"/>
                <w:color w:val="000000"/>
                <w:szCs w:val="24"/>
              </w:rPr>
              <w:t xml:space="preserve"> </w:t>
            </w: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45,892</w:t>
            </w:r>
            <w:r w:rsidR="00A426C4" w:rsidRPr="002D728C">
              <w:rPr>
                <w:rFonts w:cs="Arial"/>
                <w:color w:val="000000"/>
                <w:szCs w:val="24"/>
              </w:rPr>
              <w:t xml:space="preserve"> </w:t>
            </w:r>
          </w:p>
        </w:tc>
      </w:tr>
      <w:tr w:rsidR="00A426C4" w:rsidRPr="002D728C" w:rsidTr="0052607D">
        <w:trPr>
          <w:trHeight w:val="289"/>
          <w:jc w:val="center"/>
        </w:trPr>
        <w:tc>
          <w:tcPr>
            <w:tcW w:w="3904" w:type="dxa"/>
            <w:shd w:val="clear" w:color="auto" w:fill="auto"/>
            <w:noWrap/>
            <w:vAlign w:val="bottom"/>
            <w:hideMark/>
          </w:tcPr>
          <w:p w:rsidR="00A426C4" w:rsidRPr="002D728C" w:rsidRDefault="00A426C4" w:rsidP="00A426C4">
            <w:pPr>
              <w:spacing w:after="0"/>
              <w:jc w:val="center"/>
              <w:rPr>
                <w:rFonts w:cs="Arial"/>
                <w:color w:val="000000"/>
                <w:szCs w:val="24"/>
              </w:rPr>
            </w:pPr>
            <w:r w:rsidRPr="002D728C">
              <w:rPr>
                <w:rFonts w:cs="Arial"/>
                <w:color w:val="000000"/>
                <w:szCs w:val="24"/>
              </w:rPr>
              <w:t>Supply chain</w:t>
            </w:r>
            <w:r w:rsidR="0052607D">
              <w:rPr>
                <w:rFonts w:cs="Arial"/>
                <w:color w:val="000000"/>
                <w:szCs w:val="24"/>
              </w:rPr>
              <w:t xml:space="preserve"> (thousands)</w:t>
            </w:r>
          </w:p>
        </w:tc>
        <w:tc>
          <w:tcPr>
            <w:tcW w:w="1359"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1,187</w:t>
            </w:r>
            <w:r w:rsidR="00A426C4" w:rsidRPr="002D728C">
              <w:rPr>
                <w:rFonts w:cs="Arial"/>
                <w:color w:val="000000"/>
                <w:szCs w:val="24"/>
              </w:rPr>
              <w:t xml:space="preserve"> </w:t>
            </w:r>
          </w:p>
        </w:tc>
        <w:tc>
          <w:tcPr>
            <w:tcW w:w="1219" w:type="dxa"/>
            <w:shd w:val="clear" w:color="auto" w:fill="auto"/>
            <w:noWrap/>
            <w:vAlign w:val="bottom"/>
            <w:hideMark/>
          </w:tcPr>
          <w:p w:rsidR="00A426C4" w:rsidRPr="002D728C" w:rsidRDefault="00A426C4" w:rsidP="00A426C4">
            <w:pPr>
              <w:spacing w:after="0"/>
              <w:jc w:val="right"/>
              <w:rPr>
                <w:rFonts w:cs="Arial"/>
                <w:color w:val="000000"/>
                <w:szCs w:val="24"/>
              </w:rPr>
            </w:pPr>
            <w:r>
              <w:rPr>
                <w:rFonts w:cs="Arial"/>
                <w:color w:val="000000"/>
                <w:szCs w:val="24"/>
              </w:rPr>
              <w:t>365</w:t>
            </w:r>
            <w:r w:rsidRPr="002D728C">
              <w:rPr>
                <w:rFonts w:cs="Arial"/>
                <w:color w:val="000000"/>
                <w:szCs w:val="24"/>
              </w:rPr>
              <w:t xml:space="preserve"> </w:t>
            </w:r>
          </w:p>
        </w:tc>
        <w:tc>
          <w:tcPr>
            <w:tcW w:w="1684" w:type="dxa"/>
            <w:shd w:val="clear" w:color="auto" w:fill="auto"/>
            <w:noWrap/>
            <w:vAlign w:val="bottom"/>
            <w:hideMark/>
          </w:tcPr>
          <w:p w:rsidR="00A426C4" w:rsidRPr="002D728C" w:rsidRDefault="00A426C4" w:rsidP="00A426C4">
            <w:pPr>
              <w:spacing w:after="0"/>
              <w:jc w:val="left"/>
              <w:rPr>
                <w:rFonts w:cs="Arial"/>
                <w:color w:val="000000"/>
                <w:szCs w:val="24"/>
              </w:rPr>
            </w:pPr>
          </w:p>
        </w:tc>
        <w:tc>
          <w:tcPr>
            <w:tcW w:w="1262" w:type="dxa"/>
            <w:shd w:val="clear" w:color="auto" w:fill="auto"/>
            <w:noWrap/>
            <w:vAlign w:val="bottom"/>
            <w:hideMark/>
          </w:tcPr>
          <w:p w:rsidR="00A426C4" w:rsidRPr="002D728C" w:rsidRDefault="0052607D" w:rsidP="00A426C4">
            <w:pPr>
              <w:spacing w:after="0"/>
              <w:jc w:val="right"/>
              <w:rPr>
                <w:rFonts w:cs="Arial"/>
                <w:color w:val="000000"/>
                <w:szCs w:val="24"/>
              </w:rPr>
            </w:pPr>
            <w:r>
              <w:rPr>
                <w:rFonts w:cs="Arial"/>
                <w:color w:val="000000"/>
                <w:szCs w:val="24"/>
              </w:rPr>
              <w:t>$</w:t>
            </w:r>
            <w:r w:rsidR="00A426C4">
              <w:rPr>
                <w:rFonts w:cs="Arial"/>
                <w:color w:val="000000"/>
                <w:szCs w:val="24"/>
              </w:rPr>
              <w:t>1,552</w:t>
            </w:r>
            <w:r w:rsidR="00A426C4" w:rsidRPr="002D728C">
              <w:rPr>
                <w:rFonts w:cs="Arial"/>
                <w:color w:val="000000"/>
                <w:szCs w:val="24"/>
              </w:rPr>
              <w:t xml:space="preserve"> </w:t>
            </w:r>
          </w:p>
        </w:tc>
      </w:tr>
      <w:tr w:rsidR="00A426C4" w:rsidRPr="0052607D" w:rsidTr="0052607D">
        <w:trPr>
          <w:trHeight w:val="300"/>
          <w:jc w:val="center"/>
        </w:trPr>
        <w:tc>
          <w:tcPr>
            <w:tcW w:w="3904" w:type="dxa"/>
            <w:shd w:val="clear" w:color="auto" w:fill="auto"/>
            <w:noWrap/>
            <w:vAlign w:val="bottom"/>
            <w:hideMark/>
          </w:tcPr>
          <w:p w:rsidR="00A426C4" w:rsidRPr="0052607D" w:rsidRDefault="00A426C4" w:rsidP="00A426C4">
            <w:pPr>
              <w:spacing w:after="0"/>
              <w:jc w:val="center"/>
              <w:rPr>
                <w:rFonts w:cs="Arial"/>
                <w:b/>
                <w:bCs/>
                <w:szCs w:val="24"/>
              </w:rPr>
            </w:pPr>
            <w:r w:rsidRPr="0052607D">
              <w:rPr>
                <w:rFonts w:cs="Arial"/>
                <w:b/>
                <w:bCs/>
                <w:szCs w:val="24"/>
              </w:rPr>
              <w:t>TOTAL</w:t>
            </w:r>
            <w:r w:rsidR="0052607D" w:rsidRPr="0052607D">
              <w:rPr>
                <w:rFonts w:cs="Arial"/>
                <w:b/>
                <w:color w:val="000000"/>
                <w:szCs w:val="24"/>
              </w:rPr>
              <w:t xml:space="preserve"> (thousands)</w:t>
            </w:r>
          </w:p>
        </w:tc>
        <w:tc>
          <w:tcPr>
            <w:tcW w:w="1359"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55,319</w:t>
            </w:r>
          </w:p>
        </w:tc>
        <w:tc>
          <w:tcPr>
            <w:tcW w:w="1219"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49,004</w:t>
            </w:r>
          </w:p>
        </w:tc>
        <w:tc>
          <w:tcPr>
            <w:tcW w:w="1684"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20,709</w:t>
            </w:r>
          </w:p>
        </w:tc>
        <w:tc>
          <w:tcPr>
            <w:tcW w:w="1262" w:type="dxa"/>
            <w:shd w:val="clear" w:color="auto" w:fill="auto"/>
            <w:noWrap/>
            <w:vAlign w:val="bottom"/>
            <w:hideMark/>
          </w:tcPr>
          <w:p w:rsidR="00A426C4" w:rsidRPr="0052607D" w:rsidRDefault="0052607D" w:rsidP="00A426C4">
            <w:pPr>
              <w:spacing w:after="0"/>
              <w:jc w:val="right"/>
              <w:rPr>
                <w:rFonts w:cs="Arial"/>
                <w:b/>
                <w:bCs/>
                <w:szCs w:val="24"/>
              </w:rPr>
            </w:pPr>
            <w:r w:rsidRPr="0052607D">
              <w:rPr>
                <w:rFonts w:cs="Arial"/>
                <w:b/>
                <w:color w:val="000000"/>
                <w:szCs w:val="24"/>
              </w:rPr>
              <w:t>$</w:t>
            </w:r>
            <w:r w:rsidR="00A426C4" w:rsidRPr="0052607D">
              <w:rPr>
                <w:rFonts w:cs="Arial"/>
                <w:b/>
                <w:bCs/>
                <w:szCs w:val="24"/>
              </w:rPr>
              <w:t>125,032</w:t>
            </w:r>
          </w:p>
        </w:tc>
      </w:tr>
      <w:tr w:rsidR="00A426C4" w:rsidRPr="002D728C" w:rsidTr="0052607D">
        <w:trPr>
          <w:trHeight w:val="300"/>
          <w:jc w:val="center"/>
        </w:trPr>
        <w:tc>
          <w:tcPr>
            <w:tcW w:w="9428" w:type="dxa"/>
            <w:gridSpan w:val="5"/>
            <w:shd w:val="clear" w:color="auto" w:fill="auto"/>
            <w:noWrap/>
            <w:vAlign w:val="bottom"/>
          </w:tcPr>
          <w:p w:rsidR="00A426C4" w:rsidRPr="002D728C" w:rsidRDefault="004328DF" w:rsidP="00A426C4">
            <w:pPr>
              <w:spacing w:after="0"/>
              <w:jc w:val="left"/>
              <w:rPr>
                <w:rFonts w:cs="Arial"/>
                <w:bCs/>
                <w:szCs w:val="24"/>
              </w:rPr>
            </w:pPr>
            <w:r w:rsidRPr="001D0C0B">
              <w:rPr>
                <w:rFonts w:cs="Arial"/>
                <w:bCs/>
                <w:szCs w:val="24"/>
              </w:rPr>
              <w:t>Source: DN 13-370</w:t>
            </w:r>
          </w:p>
        </w:tc>
      </w:tr>
    </w:tbl>
    <w:p w:rsidR="00A426C4" w:rsidRDefault="00A426C4" w:rsidP="00A426C4">
      <w:pPr>
        <w:pStyle w:val="Heading40"/>
      </w:pPr>
      <w:r>
        <w:t>PPL EUS Charges to PPL EU</w:t>
      </w:r>
    </w:p>
    <w:p w:rsidR="00A426C4" w:rsidRDefault="00A426C4" w:rsidP="00A426C4">
      <w:pPr>
        <w:pStyle w:val="Heading40"/>
        <w:rPr>
          <w:b w:val="0"/>
        </w:rPr>
      </w:pPr>
      <w:r>
        <w:rPr>
          <w:b w:val="0"/>
        </w:rPr>
        <w:t>The following table shows the PPL EU budget and actual payments to PPL EUS for 2015 by group.</w:t>
      </w:r>
    </w:p>
    <w:p w:rsidR="00A426C4" w:rsidRDefault="00356110" w:rsidP="00356110">
      <w:pPr>
        <w:pStyle w:val="Caption"/>
      </w:pPr>
      <w:bookmarkStart w:id="59" w:name="_Toc464552950"/>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7</w:t>
      </w:r>
      <w:r w:rsidR="00CB2B2A">
        <w:rPr>
          <w:noProof/>
        </w:rPr>
        <w:fldChar w:fldCharType="end"/>
      </w:r>
      <w:r w:rsidR="00D10053">
        <w:br/>
      </w:r>
      <w:r w:rsidR="00A426C4">
        <w:t>PPL EU 2015 Payments to PPL EUS</w:t>
      </w:r>
      <w:bookmarkEnd w:id="59"/>
    </w:p>
    <w:tbl>
      <w:tblPr>
        <w:tblStyle w:val="TableGrid"/>
        <w:tblW w:w="0" w:type="auto"/>
        <w:jc w:val="center"/>
        <w:tblLook w:val="04A0"/>
      </w:tblPr>
      <w:tblGrid>
        <w:gridCol w:w="5739"/>
        <w:gridCol w:w="1644"/>
        <w:gridCol w:w="1551"/>
      </w:tblGrid>
      <w:tr w:rsidR="00A426C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sidRPr="00C61898">
              <w:rPr>
                <w:b/>
              </w:rPr>
              <w:t>Service</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r>
              <w:rPr>
                <w:b/>
              </w:rPr>
              <w:t xml:space="preserve"> Budget</w:t>
            </w:r>
          </w:p>
        </w:tc>
        <w:tc>
          <w:tcPr>
            <w:tcW w:w="0" w:type="auto"/>
            <w:shd w:val="clear" w:color="auto" w:fill="A5CD7E"/>
            <w:vAlign w:val="center"/>
          </w:tcPr>
          <w:p w:rsidR="00A426C4" w:rsidRPr="00C61898" w:rsidRDefault="00A426C4" w:rsidP="006304A4">
            <w:pPr>
              <w:spacing w:before="120"/>
              <w:jc w:val="center"/>
              <w:rPr>
                <w:b/>
              </w:rPr>
            </w:pPr>
            <w:r>
              <w:rPr>
                <w:b/>
              </w:rPr>
              <w:t>2015 Actual</w:t>
            </w:r>
          </w:p>
        </w:tc>
      </w:tr>
      <w:tr w:rsidR="00A426C4" w:rsidTr="00A426C4">
        <w:trPr>
          <w:jc w:val="center"/>
        </w:trPr>
        <w:tc>
          <w:tcPr>
            <w:tcW w:w="0" w:type="auto"/>
            <w:vAlign w:val="center"/>
          </w:tcPr>
          <w:p w:rsidR="00A426C4" w:rsidRDefault="00A426C4" w:rsidP="00A426C4">
            <w:pPr>
              <w:spacing w:after="0"/>
              <w:jc w:val="center"/>
            </w:pPr>
            <w:r>
              <w:t>Communications – Direct</w:t>
            </w:r>
            <w:r w:rsidR="0052607D">
              <w:rPr>
                <w:rFonts w:cs="Arial"/>
                <w:color w:val="000000"/>
                <w:szCs w:val="24"/>
              </w:rPr>
              <w:t xml:space="preserve"> (thousands)</w:t>
            </w:r>
          </w:p>
        </w:tc>
        <w:tc>
          <w:tcPr>
            <w:tcW w:w="0" w:type="auto"/>
            <w:vAlign w:val="center"/>
          </w:tcPr>
          <w:p w:rsidR="00A426C4" w:rsidRDefault="0052607D" w:rsidP="00A426C4">
            <w:pPr>
              <w:spacing w:after="0"/>
              <w:jc w:val="right"/>
            </w:pPr>
            <w:r>
              <w:rPr>
                <w:rFonts w:cs="Arial"/>
                <w:color w:val="000000"/>
                <w:szCs w:val="24"/>
              </w:rPr>
              <w:t>$</w:t>
            </w:r>
            <w:r w:rsidR="00A426C4">
              <w:t>2,533</w:t>
            </w:r>
          </w:p>
        </w:tc>
        <w:tc>
          <w:tcPr>
            <w:tcW w:w="0" w:type="auto"/>
          </w:tcPr>
          <w:p w:rsidR="00A426C4" w:rsidRDefault="0052607D" w:rsidP="00A426C4">
            <w:pPr>
              <w:spacing w:after="0"/>
              <w:jc w:val="right"/>
            </w:pPr>
            <w:r>
              <w:rPr>
                <w:rFonts w:cs="Arial"/>
                <w:color w:val="000000"/>
                <w:szCs w:val="24"/>
              </w:rPr>
              <w:t>$</w:t>
            </w:r>
            <w:r w:rsidR="00A426C4">
              <w:t>3,007</w:t>
            </w:r>
          </w:p>
        </w:tc>
      </w:tr>
      <w:tr w:rsidR="00A426C4" w:rsidTr="00A426C4">
        <w:trPr>
          <w:jc w:val="center"/>
        </w:trPr>
        <w:tc>
          <w:tcPr>
            <w:tcW w:w="0" w:type="auto"/>
            <w:vAlign w:val="center"/>
          </w:tcPr>
          <w:p w:rsidR="00A426C4" w:rsidRDefault="00A426C4" w:rsidP="00A426C4">
            <w:pPr>
              <w:spacing w:after="0"/>
              <w:jc w:val="center"/>
            </w:pPr>
            <w:r>
              <w:t>Facilities Management – Direct</w:t>
            </w:r>
            <w:r w:rsidR="0052607D">
              <w:rPr>
                <w:rFonts w:cs="Arial"/>
                <w:color w:val="000000"/>
                <w:szCs w:val="24"/>
              </w:rPr>
              <w:t xml:space="preserve"> (thousands)</w:t>
            </w:r>
          </w:p>
        </w:tc>
        <w:tc>
          <w:tcPr>
            <w:tcW w:w="0" w:type="auto"/>
            <w:vAlign w:val="center"/>
          </w:tcPr>
          <w:p w:rsidR="00A426C4" w:rsidRDefault="0052607D" w:rsidP="00A426C4">
            <w:pPr>
              <w:spacing w:after="0"/>
              <w:jc w:val="right"/>
            </w:pPr>
            <w:r>
              <w:rPr>
                <w:rFonts w:cs="Arial"/>
                <w:color w:val="000000"/>
                <w:szCs w:val="24"/>
              </w:rPr>
              <w:t>$</w:t>
            </w:r>
            <w:r w:rsidR="00A426C4">
              <w:t>17,259</w:t>
            </w:r>
          </w:p>
        </w:tc>
        <w:tc>
          <w:tcPr>
            <w:tcW w:w="0" w:type="auto"/>
            <w:vAlign w:val="center"/>
          </w:tcPr>
          <w:p w:rsidR="00A426C4" w:rsidRDefault="0052607D" w:rsidP="00A426C4">
            <w:pPr>
              <w:spacing w:after="0"/>
              <w:jc w:val="right"/>
            </w:pPr>
            <w:r>
              <w:rPr>
                <w:rFonts w:cs="Arial"/>
                <w:color w:val="000000"/>
                <w:szCs w:val="24"/>
              </w:rPr>
              <w:t>$</w:t>
            </w:r>
            <w:r w:rsidR="00A426C4">
              <w:t>22,640</w:t>
            </w:r>
          </w:p>
        </w:tc>
      </w:tr>
      <w:tr w:rsidR="00A426C4" w:rsidTr="00A426C4">
        <w:trPr>
          <w:jc w:val="center"/>
        </w:trPr>
        <w:tc>
          <w:tcPr>
            <w:tcW w:w="0" w:type="auto"/>
            <w:vAlign w:val="center"/>
          </w:tcPr>
          <w:p w:rsidR="00A426C4" w:rsidRDefault="00A426C4" w:rsidP="00A426C4">
            <w:pPr>
              <w:spacing w:after="0"/>
              <w:jc w:val="center"/>
            </w:pPr>
            <w:r>
              <w:t>Finance and Regulatory Affairs – Direct</w:t>
            </w:r>
            <w:r w:rsidR="0052607D">
              <w:rPr>
                <w:rFonts w:cs="Arial"/>
                <w:color w:val="000000"/>
                <w:szCs w:val="24"/>
              </w:rPr>
              <w:t xml:space="preserve"> (thousands)</w:t>
            </w:r>
          </w:p>
        </w:tc>
        <w:tc>
          <w:tcPr>
            <w:tcW w:w="0" w:type="auto"/>
            <w:vAlign w:val="center"/>
          </w:tcPr>
          <w:p w:rsidR="00A426C4" w:rsidRDefault="0052607D" w:rsidP="00A426C4">
            <w:pPr>
              <w:spacing w:after="0"/>
              <w:jc w:val="right"/>
            </w:pPr>
            <w:r>
              <w:rPr>
                <w:rFonts w:cs="Arial"/>
                <w:color w:val="000000"/>
                <w:szCs w:val="24"/>
              </w:rPr>
              <w:t>$</w:t>
            </w:r>
            <w:r w:rsidR="00A426C4">
              <w:t>12,899</w:t>
            </w:r>
          </w:p>
        </w:tc>
        <w:tc>
          <w:tcPr>
            <w:tcW w:w="0" w:type="auto"/>
            <w:vAlign w:val="center"/>
          </w:tcPr>
          <w:p w:rsidR="00A426C4" w:rsidRDefault="0052607D" w:rsidP="00A426C4">
            <w:pPr>
              <w:spacing w:after="0"/>
              <w:jc w:val="right"/>
            </w:pPr>
            <w:r>
              <w:rPr>
                <w:rFonts w:cs="Arial"/>
                <w:color w:val="000000"/>
                <w:szCs w:val="24"/>
              </w:rPr>
              <w:t>$</w:t>
            </w:r>
            <w:r w:rsidR="00A426C4">
              <w:t>10,682</w:t>
            </w:r>
          </w:p>
        </w:tc>
      </w:tr>
      <w:tr w:rsidR="00A426C4" w:rsidTr="00A426C4">
        <w:trPr>
          <w:jc w:val="center"/>
        </w:trPr>
        <w:tc>
          <w:tcPr>
            <w:tcW w:w="0" w:type="auto"/>
            <w:vAlign w:val="center"/>
          </w:tcPr>
          <w:p w:rsidR="00A426C4" w:rsidRDefault="00A426C4" w:rsidP="00A426C4">
            <w:pPr>
              <w:spacing w:after="0"/>
              <w:jc w:val="center"/>
            </w:pPr>
            <w:r>
              <w:t>Human Resources – Direct</w:t>
            </w:r>
            <w:r w:rsidR="0052607D">
              <w:rPr>
                <w:rFonts w:cs="Arial"/>
                <w:color w:val="000000"/>
                <w:szCs w:val="24"/>
              </w:rPr>
              <w:t xml:space="preserve"> (thousands)</w:t>
            </w:r>
          </w:p>
        </w:tc>
        <w:tc>
          <w:tcPr>
            <w:tcW w:w="0" w:type="auto"/>
            <w:vAlign w:val="center"/>
          </w:tcPr>
          <w:p w:rsidR="00A426C4" w:rsidRDefault="0052607D" w:rsidP="00A426C4">
            <w:pPr>
              <w:spacing w:after="0"/>
              <w:jc w:val="right"/>
            </w:pPr>
            <w:r>
              <w:rPr>
                <w:rFonts w:cs="Arial"/>
                <w:color w:val="000000"/>
                <w:szCs w:val="24"/>
              </w:rPr>
              <w:t>$</w:t>
            </w:r>
            <w:r w:rsidR="00A426C4">
              <w:t>1,513</w:t>
            </w:r>
          </w:p>
        </w:tc>
        <w:tc>
          <w:tcPr>
            <w:tcW w:w="0" w:type="auto"/>
            <w:vAlign w:val="center"/>
          </w:tcPr>
          <w:p w:rsidR="00A426C4" w:rsidRDefault="0052607D" w:rsidP="00A426C4">
            <w:pPr>
              <w:spacing w:after="0"/>
              <w:jc w:val="right"/>
            </w:pPr>
            <w:r>
              <w:rPr>
                <w:rFonts w:cs="Arial"/>
                <w:color w:val="000000"/>
                <w:szCs w:val="24"/>
              </w:rPr>
              <w:t>$</w:t>
            </w:r>
            <w:r w:rsidR="00A426C4">
              <w:t>1,611</w:t>
            </w:r>
          </w:p>
        </w:tc>
      </w:tr>
      <w:tr w:rsidR="00A426C4" w:rsidTr="00A426C4">
        <w:trPr>
          <w:jc w:val="center"/>
        </w:trPr>
        <w:tc>
          <w:tcPr>
            <w:tcW w:w="0" w:type="auto"/>
            <w:vAlign w:val="center"/>
          </w:tcPr>
          <w:p w:rsidR="00A426C4" w:rsidRDefault="00A426C4" w:rsidP="00A426C4">
            <w:pPr>
              <w:spacing w:after="0"/>
              <w:jc w:val="center"/>
            </w:pPr>
            <w:r>
              <w:t>Technical Development – Direct</w:t>
            </w:r>
            <w:r w:rsidR="0052607D">
              <w:rPr>
                <w:rFonts w:cs="Arial"/>
                <w:color w:val="000000"/>
                <w:szCs w:val="24"/>
              </w:rPr>
              <w:t xml:space="preserve"> (thousands)</w:t>
            </w:r>
          </w:p>
        </w:tc>
        <w:tc>
          <w:tcPr>
            <w:tcW w:w="0" w:type="auto"/>
            <w:vAlign w:val="center"/>
          </w:tcPr>
          <w:p w:rsidR="00A426C4" w:rsidRDefault="0052607D" w:rsidP="00A426C4">
            <w:pPr>
              <w:spacing w:after="0"/>
              <w:jc w:val="right"/>
            </w:pPr>
            <w:r>
              <w:rPr>
                <w:rFonts w:cs="Arial"/>
                <w:color w:val="000000"/>
                <w:szCs w:val="24"/>
              </w:rPr>
              <w:t>$</w:t>
            </w:r>
            <w:r w:rsidR="00A426C4">
              <w:t>31</w:t>
            </w:r>
          </w:p>
        </w:tc>
        <w:tc>
          <w:tcPr>
            <w:tcW w:w="0" w:type="auto"/>
            <w:vAlign w:val="center"/>
          </w:tcPr>
          <w:p w:rsidR="00A426C4" w:rsidRDefault="0052607D" w:rsidP="00A426C4">
            <w:pPr>
              <w:spacing w:after="0"/>
              <w:jc w:val="right"/>
            </w:pPr>
            <w:r>
              <w:rPr>
                <w:rFonts w:cs="Arial"/>
                <w:color w:val="000000"/>
                <w:szCs w:val="24"/>
              </w:rPr>
              <w:t>$</w:t>
            </w:r>
            <w:r w:rsidR="00A426C4">
              <w:t>254</w:t>
            </w:r>
          </w:p>
        </w:tc>
      </w:tr>
      <w:tr w:rsidR="00A426C4" w:rsidTr="00A426C4">
        <w:trPr>
          <w:jc w:val="center"/>
        </w:trPr>
        <w:tc>
          <w:tcPr>
            <w:tcW w:w="0" w:type="auto"/>
            <w:vAlign w:val="center"/>
          </w:tcPr>
          <w:p w:rsidR="00A426C4" w:rsidRPr="00F626FA" w:rsidRDefault="00A426C4" w:rsidP="00A426C4">
            <w:pPr>
              <w:spacing w:after="0"/>
              <w:jc w:val="center"/>
            </w:pPr>
            <w:r>
              <w:t>Supply Chain – Direct</w:t>
            </w:r>
            <w:r w:rsidR="0052607D">
              <w:rPr>
                <w:rFonts w:cs="Arial"/>
                <w:color w:val="000000"/>
                <w:szCs w:val="24"/>
              </w:rPr>
              <w:t xml:space="preserve"> (thousands)</w:t>
            </w:r>
          </w:p>
        </w:tc>
        <w:tc>
          <w:tcPr>
            <w:tcW w:w="0" w:type="auto"/>
            <w:vAlign w:val="center"/>
          </w:tcPr>
          <w:p w:rsidR="00A426C4" w:rsidRPr="00F626FA" w:rsidRDefault="0052607D" w:rsidP="00A426C4">
            <w:pPr>
              <w:spacing w:after="0"/>
              <w:jc w:val="right"/>
            </w:pPr>
            <w:r>
              <w:rPr>
                <w:rFonts w:cs="Arial"/>
                <w:color w:val="000000"/>
                <w:szCs w:val="24"/>
              </w:rPr>
              <w:t>$</w:t>
            </w:r>
            <w:r w:rsidR="00A426C4" w:rsidRPr="00F626FA">
              <w:t>231</w:t>
            </w:r>
          </w:p>
        </w:tc>
        <w:tc>
          <w:tcPr>
            <w:tcW w:w="0" w:type="auto"/>
            <w:vAlign w:val="center"/>
          </w:tcPr>
          <w:p w:rsidR="00A426C4" w:rsidRPr="00F626FA" w:rsidRDefault="0052607D" w:rsidP="00A426C4">
            <w:pPr>
              <w:spacing w:after="0"/>
              <w:jc w:val="right"/>
            </w:pPr>
            <w:r>
              <w:rPr>
                <w:rFonts w:cs="Arial"/>
                <w:color w:val="000000"/>
                <w:szCs w:val="24"/>
              </w:rPr>
              <w:t>$</w:t>
            </w:r>
            <w:r w:rsidR="00A426C4">
              <w:t>9,665</w:t>
            </w:r>
          </w:p>
        </w:tc>
      </w:tr>
      <w:tr w:rsidR="00A426C4" w:rsidTr="00A426C4">
        <w:trPr>
          <w:jc w:val="center"/>
        </w:trPr>
        <w:tc>
          <w:tcPr>
            <w:tcW w:w="0" w:type="auto"/>
            <w:vAlign w:val="center"/>
          </w:tcPr>
          <w:p w:rsidR="00A426C4" w:rsidRDefault="00A426C4" w:rsidP="00A426C4">
            <w:pPr>
              <w:spacing w:after="0"/>
              <w:jc w:val="center"/>
            </w:pPr>
            <w:r>
              <w:t>Storms – Direct</w:t>
            </w:r>
            <w:r w:rsidR="0052607D">
              <w:rPr>
                <w:rFonts w:cs="Arial"/>
                <w:color w:val="000000"/>
                <w:szCs w:val="24"/>
              </w:rPr>
              <w:t xml:space="preserve"> (thousands)</w:t>
            </w:r>
          </w:p>
        </w:tc>
        <w:tc>
          <w:tcPr>
            <w:tcW w:w="0" w:type="auto"/>
            <w:vAlign w:val="center"/>
          </w:tcPr>
          <w:p w:rsidR="00A426C4" w:rsidRPr="00F626FA" w:rsidRDefault="00A426C4" w:rsidP="00A426C4">
            <w:pPr>
              <w:spacing w:after="0"/>
              <w:jc w:val="right"/>
            </w:pPr>
          </w:p>
        </w:tc>
        <w:tc>
          <w:tcPr>
            <w:tcW w:w="0" w:type="auto"/>
            <w:vAlign w:val="center"/>
          </w:tcPr>
          <w:p w:rsidR="00A426C4" w:rsidRPr="00F626FA" w:rsidRDefault="0052607D" w:rsidP="00A426C4">
            <w:pPr>
              <w:spacing w:after="0"/>
              <w:jc w:val="right"/>
            </w:pPr>
            <w:r>
              <w:rPr>
                <w:rFonts w:cs="Arial"/>
                <w:color w:val="000000"/>
                <w:szCs w:val="24"/>
              </w:rPr>
              <w:t>$</w:t>
            </w:r>
            <w:r w:rsidR="00A426C4">
              <w:t>14</w:t>
            </w:r>
          </w:p>
        </w:tc>
      </w:tr>
      <w:tr w:rsidR="00A426C4" w:rsidTr="00A426C4">
        <w:trPr>
          <w:jc w:val="center"/>
        </w:trPr>
        <w:tc>
          <w:tcPr>
            <w:tcW w:w="0" w:type="auto"/>
            <w:vAlign w:val="center"/>
          </w:tcPr>
          <w:p w:rsidR="00A426C4" w:rsidRDefault="00A426C4" w:rsidP="00A426C4">
            <w:pPr>
              <w:spacing w:after="0"/>
              <w:jc w:val="center"/>
            </w:pPr>
            <w:r>
              <w:t>Indirect and Other Support</w:t>
            </w:r>
            <w:r w:rsidR="0052607D">
              <w:rPr>
                <w:rFonts w:cs="Arial"/>
                <w:color w:val="000000"/>
                <w:szCs w:val="24"/>
              </w:rPr>
              <w:t xml:space="preserve"> (thousands)</w:t>
            </w:r>
          </w:p>
        </w:tc>
        <w:tc>
          <w:tcPr>
            <w:tcW w:w="0" w:type="auto"/>
            <w:vAlign w:val="center"/>
          </w:tcPr>
          <w:p w:rsidR="00A426C4" w:rsidRPr="00F626FA" w:rsidRDefault="0052607D" w:rsidP="00A426C4">
            <w:pPr>
              <w:spacing w:after="0"/>
              <w:jc w:val="right"/>
            </w:pPr>
            <w:r>
              <w:rPr>
                <w:rFonts w:cs="Arial"/>
                <w:color w:val="000000"/>
                <w:szCs w:val="24"/>
              </w:rPr>
              <w:t>$</w:t>
            </w:r>
            <w:r w:rsidR="00A426C4">
              <w:t>9,065</w:t>
            </w:r>
          </w:p>
        </w:tc>
        <w:tc>
          <w:tcPr>
            <w:tcW w:w="0" w:type="auto"/>
            <w:vAlign w:val="center"/>
          </w:tcPr>
          <w:p w:rsidR="00A426C4" w:rsidRPr="00F626FA" w:rsidRDefault="0052607D" w:rsidP="00A426C4">
            <w:pPr>
              <w:spacing w:after="0"/>
              <w:jc w:val="right"/>
            </w:pPr>
            <w:r>
              <w:rPr>
                <w:rFonts w:cs="Arial"/>
                <w:color w:val="000000"/>
                <w:szCs w:val="24"/>
              </w:rPr>
              <w:t>$</w:t>
            </w:r>
            <w:r w:rsidR="00A426C4">
              <w:t>12,063</w:t>
            </w:r>
          </w:p>
        </w:tc>
      </w:tr>
      <w:tr w:rsidR="00A426C4" w:rsidRPr="0052607D" w:rsidTr="00A426C4">
        <w:trPr>
          <w:jc w:val="center"/>
        </w:trPr>
        <w:tc>
          <w:tcPr>
            <w:tcW w:w="0" w:type="auto"/>
            <w:vAlign w:val="center"/>
          </w:tcPr>
          <w:p w:rsidR="00A426C4" w:rsidRPr="0052607D" w:rsidRDefault="00A426C4" w:rsidP="00A426C4">
            <w:pPr>
              <w:spacing w:after="0"/>
              <w:jc w:val="center"/>
              <w:rPr>
                <w:b/>
              </w:rPr>
            </w:pPr>
            <w:r w:rsidRPr="0052607D">
              <w:rPr>
                <w:b/>
              </w:rPr>
              <w:t>Total Payments</w:t>
            </w:r>
            <w:r w:rsidR="0052607D" w:rsidRPr="0052607D">
              <w:rPr>
                <w:rFonts w:cs="Arial"/>
                <w:b/>
                <w:color w:val="000000"/>
                <w:szCs w:val="24"/>
              </w:rPr>
              <w:t xml:space="preserve"> (thousands)</w:t>
            </w:r>
          </w:p>
        </w:tc>
        <w:tc>
          <w:tcPr>
            <w:tcW w:w="0" w:type="auto"/>
            <w:vAlign w:val="center"/>
          </w:tcPr>
          <w:p w:rsidR="00A426C4" w:rsidRPr="0052607D" w:rsidRDefault="0052607D" w:rsidP="00A426C4">
            <w:pPr>
              <w:spacing w:after="0"/>
              <w:jc w:val="right"/>
              <w:rPr>
                <w:b/>
              </w:rPr>
            </w:pPr>
            <w:r w:rsidRPr="0052607D">
              <w:rPr>
                <w:rFonts w:cs="Arial"/>
                <w:b/>
                <w:color w:val="000000"/>
                <w:szCs w:val="24"/>
              </w:rPr>
              <w:t>$</w:t>
            </w:r>
            <w:r w:rsidR="00A426C4" w:rsidRPr="0052607D">
              <w:rPr>
                <w:b/>
              </w:rPr>
              <w:t>43,531</w:t>
            </w:r>
          </w:p>
        </w:tc>
        <w:tc>
          <w:tcPr>
            <w:tcW w:w="0" w:type="auto"/>
          </w:tcPr>
          <w:p w:rsidR="00A426C4" w:rsidRPr="0052607D" w:rsidRDefault="0052607D" w:rsidP="00A426C4">
            <w:pPr>
              <w:spacing w:after="0"/>
              <w:jc w:val="right"/>
              <w:rPr>
                <w:b/>
              </w:rPr>
            </w:pPr>
            <w:r w:rsidRPr="0052607D">
              <w:rPr>
                <w:rFonts w:cs="Arial"/>
                <w:b/>
                <w:color w:val="000000"/>
                <w:szCs w:val="24"/>
              </w:rPr>
              <w:t>$</w:t>
            </w:r>
            <w:r w:rsidR="00A426C4" w:rsidRPr="0052607D">
              <w:rPr>
                <w:b/>
              </w:rPr>
              <w:t>59,936</w:t>
            </w:r>
          </w:p>
        </w:tc>
      </w:tr>
      <w:tr w:rsidR="00A426C4" w:rsidTr="00A426C4">
        <w:trPr>
          <w:jc w:val="center"/>
        </w:trPr>
        <w:tc>
          <w:tcPr>
            <w:tcW w:w="0" w:type="auto"/>
            <w:gridSpan w:val="3"/>
            <w:vAlign w:val="center"/>
          </w:tcPr>
          <w:p w:rsidR="00A426C4" w:rsidRDefault="00A426C4" w:rsidP="00A426C4">
            <w:pPr>
              <w:spacing w:after="0"/>
              <w:rPr>
                <w:b/>
              </w:rPr>
            </w:pPr>
            <w:r>
              <w:t>Source: DN 13A-159</w:t>
            </w:r>
          </w:p>
        </w:tc>
      </w:tr>
    </w:tbl>
    <w:p w:rsidR="00A426C4" w:rsidRDefault="00A426C4" w:rsidP="00A426C4">
      <w:pPr>
        <w:pStyle w:val="Normal-aftertable"/>
      </w:pPr>
      <w:r>
        <w:t xml:space="preserve">The actual payments were 38% higher than the budget.  </w:t>
      </w:r>
    </w:p>
    <w:p w:rsidR="00A426C4" w:rsidRDefault="00A426C4" w:rsidP="00A426C4">
      <w:pPr>
        <w:pStyle w:val="Heading40"/>
      </w:pPr>
      <w:r>
        <w:t>PPLSolutions Charges to PPL EU</w:t>
      </w:r>
    </w:p>
    <w:p w:rsidR="00A426C4" w:rsidRDefault="00A426C4" w:rsidP="00A426C4">
      <w:pPr>
        <w:spacing w:after="200"/>
        <w:rPr>
          <w:rFonts w:cs="Arial"/>
          <w:szCs w:val="24"/>
        </w:rPr>
      </w:pPr>
      <w:r>
        <w:rPr>
          <w:rFonts w:cs="Arial"/>
          <w:szCs w:val="24"/>
        </w:rPr>
        <w:t>The following table shows the PPL EU payments to PPLSolutions for the years 2012 through 2015 by service.</w:t>
      </w:r>
    </w:p>
    <w:p w:rsidR="00CF419C" w:rsidRDefault="00CF419C">
      <w:pPr>
        <w:spacing w:after="0"/>
        <w:jc w:val="left"/>
        <w:rPr>
          <w:b/>
          <w:bCs/>
          <w:szCs w:val="18"/>
        </w:rPr>
      </w:pPr>
    </w:p>
    <w:p w:rsidR="00A426C4" w:rsidRDefault="00356110" w:rsidP="00356110">
      <w:pPr>
        <w:pStyle w:val="Caption"/>
      </w:pPr>
      <w:bookmarkStart w:id="60" w:name="_Toc464552951"/>
      <w:r>
        <w:lastRenderedPageBreak/>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8</w:t>
      </w:r>
      <w:r w:rsidR="00CB2B2A">
        <w:rPr>
          <w:noProof/>
        </w:rPr>
        <w:fldChar w:fldCharType="end"/>
      </w:r>
      <w:r w:rsidR="00D10053">
        <w:br/>
      </w:r>
      <w:r w:rsidR="00A426C4">
        <w:t>PPL EU Payments to PPLSolutions by Service</w:t>
      </w:r>
      <w:bookmarkEnd w:id="60"/>
      <w:r w:rsidR="00A426C4">
        <w:t xml:space="preserve"> </w:t>
      </w:r>
    </w:p>
    <w:tbl>
      <w:tblPr>
        <w:tblStyle w:val="TableGrid"/>
        <w:tblW w:w="0" w:type="auto"/>
        <w:jc w:val="center"/>
        <w:tblLook w:val="04A0"/>
      </w:tblPr>
      <w:tblGrid>
        <w:gridCol w:w="4749"/>
        <w:gridCol w:w="990"/>
        <w:gridCol w:w="956"/>
        <w:gridCol w:w="951"/>
        <w:gridCol w:w="951"/>
      </w:tblGrid>
      <w:tr w:rsidR="00A426C4" w:rsidTr="0052607D">
        <w:trPr>
          <w:cantSplit/>
          <w:tblHeader/>
          <w:jc w:val="center"/>
        </w:trPr>
        <w:tc>
          <w:tcPr>
            <w:tcW w:w="4749" w:type="dxa"/>
            <w:shd w:val="clear" w:color="auto" w:fill="A5CD7E"/>
            <w:vAlign w:val="center"/>
          </w:tcPr>
          <w:p w:rsidR="00A426C4" w:rsidRPr="00C61898" w:rsidRDefault="00A426C4" w:rsidP="006304A4">
            <w:pPr>
              <w:spacing w:before="120"/>
              <w:jc w:val="center"/>
              <w:rPr>
                <w:b/>
              </w:rPr>
            </w:pPr>
            <w:r w:rsidRPr="00C61898">
              <w:rPr>
                <w:b/>
              </w:rPr>
              <w:t>Service</w:t>
            </w:r>
          </w:p>
        </w:tc>
        <w:tc>
          <w:tcPr>
            <w:tcW w:w="990" w:type="dxa"/>
            <w:shd w:val="clear" w:color="auto" w:fill="A5CD7E"/>
            <w:vAlign w:val="center"/>
          </w:tcPr>
          <w:p w:rsidR="00A426C4" w:rsidRPr="00C61898" w:rsidRDefault="00A426C4" w:rsidP="006304A4">
            <w:pPr>
              <w:spacing w:before="120"/>
              <w:jc w:val="center"/>
              <w:rPr>
                <w:b/>
              </w:rPr>
            </w:pPr>
            <w:r w:rsidRPr="00C61898">
              <w:rPr>
                <w:b/>
              </w:rPr>
              <w:t>2012</w:t>
            </w:r>
          </w:p>
        </w:tc>
        <w:tc>
          <w:tcPr>
            <w:tcW w:w="956" w:type="dxa"/>
            <w:shd w:val="clear" w:color="auto" w:fill="A5CD7E"/>
            <w:vAlign w:val="center"/>
          </w:tcPr>
          <w:p w:rsidR="00A426C4" w:rsidRPr="00C61898" w:rsidRDefault="00A426C4" w:rsidP="006304A4">
            <w:pPr>
              <w:spacing w:before="120"/>
              <w:jc w:val="center"/>
              <w:rPr>
                <w:b/>
              </w:rPr>
            </w:pPr>
            <w:r w:rsidRPr="00C61898">
              <w:rPr>
                <w:b/>
              </w:rPr>
              <w:t>2013</w:t>
            </w:r>
          </w:p>
        </w:tc>
        <w:tc>
          <w:tcPr>
            <w:tcW w:w="951" w:type="dxa"/>
            <w:shd w:val="clear" w:color="auto" w:fill="A5CD7E"/>
            <w:vAlign w:val="center"/>
          </w:tcPr>
          <w:p w:rsidR="00A426C4" w:rsidRPr="00C61898" w:rsidRDefault="00A426C4" w:rsidP="006304A4">
            <w:pPr>
              <w:spacing w:before="120"/>
              <w:jc w:val="center"/>
              <w:rPr>
                <w:b/>
              </w:rPr>
            </w:pPr>
            <w:r w:rsidRPr="00C61898">
              <w:rPr>
                <w:b/>
              </w:rPr>
              <w:t>2014</w:t>
            </w:r>
          </w:p>
        </w:tc>
        <w:tc>
          <w:tcPr>
            <w:tcW w:w="951" w:type="dxa"/>
            <w:shd w:val="clear" w:color="auto" w:fill="A5CD7E"/>
            <w:vAlign w:val="center"/>
          </w:tcPr>
          <w:p w:rsidR="00A426C4" w:rsidRPr="00C61898" w:rsidRDefault="00A426C4" w:rsidP="006304A4">
            <w:pPr>
              <w:spacing w:before="120"/>
              <w:jc w:val="center"/>
              <w:rPr>
                <w:b/>
              </w:rPr>
            </w:pPr>
            <w:r w:rsidRPr="00C61898">
              <w:rPr>
                <w:b/>
              </w:rPr>
              <w:t>2015</w:t>
            </w:r>
          </w:p>
        </w:tc>
      </w:tr>
      <w:tr w:rsidR="00A426C4" w:rsidTr="0052607D">
        <w:trPr>
          <w:jc w:val="center"/>
        </w:trPr>
        <w:tc>
          <w:tcPr>
            <w:tcW w:w="4749" w:type="dxa"/>
            <w:vAlign w:val="center"/>
          </w:tcPr>
          <w:p w:rsidR="00A426C4" w:rsidRDefault="00A426C4" w:rsidP="00A426C4">
            <w:pPr>
              <w:spacing w:after="0"/>
              <w:jc w:val="center"/>
            </w:pPr>
            <w:r>
              <w:t>Electronic Data Interchange</w:t>
            </w:r>
            <w:r w:rsidR="0052607D">
              <w:t xml:space="preserve"> (thousands)</w:t>
            </w:r>
          </w:p>
        </w:tc>
        <w:tc>
          <w:tcPr>
            <w:tcW w:w="990" w:type="dxa"/>
            <w:vAlign w:val="center"/>
          </w:tcPr>
          <w:p w:rsidR="00A426C4" w:rsidRDefault="0052607D" w:rsidP="00A426C4">
            <w:pPr>
              <w:spacing w:after="0"/>
              <w:jc w:val="right"/>
            </w:pPr>
            <w:r>
              <w:t>$</w:t>
            </w:r>
            <w:r w:rsidR="00A426C4">
              <w:t>833</w:t>
            </w:r>
          </w:p>
        </w:tc>
        <w:tc>
          <w:tcPr>
            <w:tcW w:w="956" w:type="dxa"/>
            <w:vAlign w:val="center"/>
          </w:tcPr>
          <w:p w:rsidR="00A426C4" w:rsidRDefault="0052607D" w:rsidP="00A426C4">
            <w:pPr>
              <w:spacing w:after="0"/>
              <w:jc w:val="right"/>
            </w:pPr>
            <w:r>
              <w:t>$</w:t>
            </w:r>
            <w:r w:rsidR="00A426C4">
              <w:t>867</w:t>
            </w:r>
          </w:p>
        </w:tc>
        <w:tc>
          <w:tcPr>
            <w:tcW w:w="951" w:type="dxa"/>
            <w:vAlign w:val="center"/>
          </w:tcPr>
          <w:p w:rsidR="00A426C4" w:rsidRDefault="0052607D" w:rsidP="00A426C4">
            <w:pPr>
              <w:spacing w:after="0"/>
              <w:jc w:val="right"/>
            </w:pPr>
            <w:r>
              <w:t>$</w:t>
            </w:r>
            <w:r w:rsidR="00A426C4">
              <w:t>724</w:t>
            </w:r>
          </w:p>
        </w:tc>
        <w:tc>
          <w:tcPr>
            <w:tcW w:w="951" w:type="dxa"/>
            <w:vAlign w:val="center"/>
          </w:tcPr>
          <w:p w:rsidR="00A426C4" w:rsidRDefault="0052607D" w:rsidP="00A426C4">
            <w:pPr>
              <w:spacing w:after="0"/>
              <w:jc w:val="right"/>
            </w:pPr>
            <w:r>
              <w:t>$</w:t>
            </w:r>
            <w:r w:rsidR="00A426C4">
              <w:t>742</w:t>
            </w:r>
          </w:p>
        </w:tc>
      </w:tr>
      <w:tr w:rsidR="00A426C4" w:rsidTr="0052607D">
        <w:trPr>
          <w:jc w:val="center"/>
        </w:trPr>
        <w:tc>
          <w:tcPr>
            <w:tcW w:w="4749" w:type="dxa"/>
            <w:vAlign w:val="center"/>
          </w:tcPr>
          <w:p w:rsidR="00A426C4" w:rsidRDefault="00A426C4" w:rsidP="00A426C4">
            <w:pPr>
              <w:spacing w:after="0"/>
              <w:jc w:val="center"/>
            </w:pPr>
            <w:r>
              <w:t>Call Center Agents</w:t>
            </w:r>
            <w:r w:rsidR="0052607D">
              <w:t xml:space="preserve"> (thousands)</w:t>
            </w:r>
          </w:p>
        </w:tc>
        <w:tc>
          <w:tcPr>
            <w:tcW w:w="990" w:type="dxa"/>
            <w:vAlign w:val="center"/>
          </w:tcPr>
          <w:p w:rsidR="00A426C4" w:rsidRDefault="0052607D" w:rsidP="00A426C4">
            <w:pPr>
              <w:spacing w:after="0"/>
              <w:jc w:val="right"/>
            </w:pPr>
            <w:r>
              <w:t>$</w:t>
            </w:r>
            <w:r w:rsidR="00A426C4">
              <w:t>3,708</w:t>
            </w:r>
          </w:p>
        </w:tc>
        <w:tc>
          <w:tcPr>
            <w:tcW w:w="956" w:type="dxa"/>
            <w:vAlign w:val="center"/>
          </w:tcPr>
          <w:p w:rsidR="00A426C4" w:rsidRDefault="0052607D" w:rsidP="00A426C4">
            <w:pPr>
              <w:spacing w:after="0"/>
              <w:jc w:val="right"/>
            </w:pPr>
            <w:r>
              <w:t>$</w:t>
            </w:r>
            <w:r w:rsidR="00A426C4">
              <w:t>3,691</w:t>
            </w:r>
          </w:p>
        </w:tc>
        <w:tc>
          <w:tcPr>
            <w:tcW w:w="951" w:type="dxa"/>
            <w:vAlign w:val="center"/>
          </w:tcPr>
          <w:p w:rsidR="00A426C4" w:rsidRDefault="0052607D" w:rsidP="00A426C4">
            <w:pPr>
              <w:spacing w:after="0"/>
              <w:jc w:val="right"/>
            </w:pPr>
            <w:r>
              <w:t>$</w:t>
            </w:r>
            <w:r w:rsidR="00A426C4">
              <w:t>3,476</w:t>
            </w:r>
          </w:p>
        </w:tc>
        <w:tc>
          <w:tcPr>
            <w:tcW w:w="951" w:type="dxa"/>
            <w:vAlign w:val="center"/>
          </w:tcPr>
          <w:p w:rsidR="00A426C4" w:rsidRDefault="0052607D" w:rsidP="00A426C4">
            <w:pPr>
              <w:spacing w:after="0"/>
              <w:jc w:val="right"/>
            </w:pPr>
            <w:r>
              <w:t>$</w:t>
            </w:r>
            <w:r w:rsidR="00A426C4">
              <w:t>3,993</w:t>
            </w:r>
          </w:p>
        </w:tc>
      </w:tr>
      <w:tr w:rsidR="00A426C4" w:rsidTr="0052607D">
        <w:trPr>
          <w:jc w:val="center"/>
        </w:trPr>
        <w:tc>
          <w:tcPr>
            <w:tcW w:w="4749" w:type="dxa"/>
            <w:vAlign w:val="center"/>
          </w:tcPr>
          <w:p w:rsidR="00A426C4" w:rsidRDefault="00A426C4" w:rsidP="00A426C4">
            <w:pPr>
              <w:spacing w:after="0"/>
              <w:jc w:val="center"/>
            </w:pPr>
            <w:r>
              <w:t>Special Services</w:t>
            </w:r>
            <w:r w:rsidR="0052607D">
              <w:t xml:space="preserve"> (thousands)</w:t>
            </w:r>
            <w:r>
              <w:t xml:space="preserve"> </w:t>
            </w:r>
          </w:p>
        </w:tc>
        <w:tc>
          <w:tcPr>
            <w:tcW w:w="990" w:type="dxa"/>
            <w:vAlign w:val="center"/>
          </w:tcPr>
          <w:p w:rsidR="00A426C4" w:rsidRDefault="0052607D" w:rsidP="00A426C4">
            <w:pPr>
              <w:spacing w:after="0"/>
              <w:jc w:val="right"/>
            </w:pPr>
            <w:r>
              <w:t>$</w:t>
            </w:r>
            <w:r w:rsidR="00A426C4">
              <w:t>115</w:t>
            </w:r>
          </w:p>
        </w:tc>
        <w:tc>
          <w:tcPr>
            <w:tcW w:w="956" w:type="dxa"/>
            <w:vAlign w:val="center"/>
          </w:tcPr>
          <w:p w:rsidR="00A426C4" w:rsidRDefault="0052607D" w:rsidP="00A426C4">
            <w:pPr>
              <w:spacing w:after="0"/>
              <w:jc w:val="right"/>
            </w:pPr>
            <w:r>
              <w:t>$</w:t>
            </w:r>
            <w:r w:rsidR="00A426C4">
              <w:t>26</w:t>
            </w:r>
          </w:p>
        </w:tc>
        <w:tc>
          <w:tcPr>
            <w:tcW w:w="951" w:type="dxa"/>
            <w:vAlign w:val="center"/>
          </w:tcPr>
          <w:p w:rsidR="00A426C4" w:rsidRDefault="0052607D" w:rsidP="00A426C4">
            <w:pPr>
              <w:spacing w:after="0"/>
              <w:jc w:val="right"/>
            </w:pPr>
            <w:r>
              <w:t>$</w:t>
            </w:r>
            <w:r w:rsidR="00A426C4">
              <w:t>11</w:t>
            </w:r>
          </w:p>
        </w:tc>
        <w:tc>
          <w:tcPr>
            <w:tcW w:w="951" w:type="dxa"/>
            <w:vAlign w:val="center"/>
          </w:tcPr>
          <w:p w:rsidR="00A426C4" w:rsidRDefault="0052607D" w:rsidP="00A426C4">
            <w:pPr>
              <w:spacing w:after="0"/>
              <w:jc w:val="right"/>
            </w:pPr>
            <w:r>
              <w:t>$</w:t>
            </w:r>
            <w:r w:rsidR="00A426C4">
              <w:t>31</w:t>
            </w:r>
          </w:p>
        </w:tc>
      </w:tr>
      <w:tr w:rsidR="00A426C4" w:rsidTr="0052607D">
        <w:trPr>
          <w:jc w:val="center"/>
        </w:trPr>
        <w:tc>
          <w:tcPr>
            <w:tcW w:w="4749" w:type="dxa"/>
            <w:vAlign w:val="center"/>
          </w:tcPr>
          <w:p w:rsidR="00A426C4" w:rsidRDefault="00A426C4" w:rsidP="00A426C4">
            <w:pPr>
              <w:spacing w:after="0"/>
              <w:jc w:val="center"/>
            </w:pPr>
            <w:r>
              <w:t>Standard Offer Program</w:t>
            </w:r>
            <w:r w:rsidR="0052607D">
              <w:t xml:space="preserve"> (thousands)</w:t>
            </w:r>
          </w:p>
        </w:tc>
        <w:tc>
          <w:tcPr>
            <w:tcW w:w="990" w:type="dxa"/>
            <w:vAlign w:val="center"/>
          </w:tcPr>
          <w:p w:rsidR="00A426C4" w:rsidRDefault="00A426C4" w:rsidP="00A426C4">
            <w:pPr>
              <w:spacing w:after="0"/>
              <w:jc w:val="right"/>
            </w:pPr>
            <w:r>
              <w:t>0</w:t>
            </w:r>
          </w:p>
        </w:tc>
        <w:tc>
          <w:tcPr>
            <w:tcW w:w="956" w:type="dxa"/>
            <w:vAlign w:val="center"/>
          </w:tcPr>
          <w:p w:rsidR="00A426C4" w:rsidRDefault="0052607D" w:rsidP="00A426C4">
            <w:pPr>
              <w:spacing w:after="0"/>
              <w:jc w:val="right"/>
            </w:pPr>
            <w:r>
              <w:t>$</w:t>
            </w:r>
            <w:r w:rsidR="00A426C4">
              <w:t>1,256</w:t>
            </w:r>
          </w:p>
        </w:tc>
        <w:tc>
          <w:tcPr>
            <w:tcW w:w="951" w:type="dxa"/>
            <w:vAlign w:val="center"/>
          </w:tcPr>
          <w:p w:rsidR="00A426C4" w:rsidRDefault="0052607D" w:rsidP="00A426C4">
            <w:pPr>
              <w:spacing w:after="0"/>
              <w:jc w:val="right"/>
            </w:pPr>
            <w:r>
              <w:t>$</w:t>
            </w:r>
            <w:r w:rsidR="00A426C4">
              <w:t>2,063</w:t>
            </w:r>
          </w:p>
        </w:tc>
        <w:tc>
          <w:tcPr>
            <w:tcW w:w="951" w:type="dxa"/>
            <w:vAlign w:val="center"/>
          </w:tcPr>
          <w:p w:rsidR="00A426C4" w:rsidRDefault="0052607D" w:rsidP="00A426C4">
            <w:pPr>
              <w:spacing w:after="0"/>
              <w:jc w:val="right"/>
            </w:pPr>
            <w:r>
              <w:t>$</w:t>
            </w:r>
            <w:r w:rsidR="00A426C4">
              <w:t>1,903</w:t>
            </w:r>
          </w:p>
        </w:tc>
      </w:tr>
      <w:tr w:rsidR="00A426C4" w:rsidRPr="0052607D" w:rsidTr="0052607D">
        <w:trPr>
          <w:jc w:val="center"/>
        </w:trPr>
        <w:tc>
          <w:tcPr>
            <w:tcW w:w="4749" w:type="dxa"/>
            <w:vAlign w:val="center"/>
          </w:tcPr>
          <w:p w:rsidR="00A426C4" w:rsidRPr="0052607D" w:rsidRDefault="00A426C4" w:rsidP="00A426C4">
            <w:pPr>
              <w:spacing w:after="0"/>
              <w:jc w:val="center"/>
              <w:rPr>
                <w:b/>
              </w:rPr>
            </w:pPr>
            <w:r w:rsidRPr="0052607D">
              <w:rPr>
                <w:b/>
              </w:rPr>
              <w:t>Total Payments</w:t>
            </w:r>
            <w:r w:rsidR="0052607D" w:rsidRPr="0052607D">
              <w:rPr>
                <w:b/>
              </w:rPr>
              <w:t xml:space="preserve"> (thousands)</w:t>
            </w:r>
          </w:p>
        </w:tc>
        <w:tc>
          <w:tcPr>
            <w:tcW w:w="990" w:type="dxa"/>
            <w:vAlign w:val="center"/>
          </w:tcPr>
          <w:p w:rsidR="00A426C4" w:rsidRPr="0052607D" w:rsidRDefault="0052607D" w:rsidP="00A426C4">
            <w:pPr>
              <w:spacing w:after="0"/>
              <w:jc w:val="right"/>
              <w:rPr>
                <w:b/>
              </w:rPr>
            </w:pPr>
            <w:r w:rsidRPr="0052607D">
              <w:rPr>
                <w:b/>
              </w:rPr>
              <w:t>$</w:t>
            </w:r>
            <w:r w:rsidR="00A426C4" w:rsidRPr="0052607D">
              <w:rPr>
                <w:b/>
              </w:rPr>
              <w:t>4,656</w:t>
            </w:r>
          </w:p>
        </w:tc>
        <w:tc>
          <w:tcPr>
            <w:tcW w:w="956" w:type="dxa"/>
            <w:vAlign w:val="center"/>
          </w:tcPr>
          <w:p w:rsidR="00A426C4" w:rsidRPr="0052607D" w:rsidRDefault="0052607D" w:rsidP="00A426C4">
            <w:pPr>
              <w:spacing w:after="0"/>
              <w:jc w:val="right"/>
              <w:rPr>
                <w:b/>
              </w:rPr>
            </w:pPr>
            <w:r w:rsidRPr="0052607D">
              <w:rPr>
                <w:b/>
              </w:rPr>
              <w:t>$</w:t>
            </w:r>
            <w:r w:rsidR="00A426C4" w:rsidRPr="0052607D">
              <w:rPr>
                <w:b/>
              </w:rPr>
              <w:t>5,840</w:t>
            </w:r>
          </w:p>
        </w:tc>
        <w:tc>
          <w:tcPr>
            <w:tcW w:w="951" w:type="dxa"/>
            <w:vAlign w:val="center"/>
          </w:tcPr>
          <w:p w:rsidR="00A426C4" w:rsidRPr="0052607D" w:rsidRDefault="0052607D" w:rsidP="00A426C4">
            <w:pPr>
              <w:spacing w:after="0"/>
              <w:jc w:val="right"/>
              <w:rPr>
                <w:b/>
              </w:rPr>
            </w:pPr>
            <w:r w:rsidRPr="0052607D">
              <w:rPr>
                <w:b/>
              </w:rPr>
              <w:t>$</w:t>
            </w:r>
            <w:r w:rsidR="00A426C4" w:rsidRPr="0052607D">
              <w:rPr>
                <w:b/>
              </w:rPr>
              <w:t>6,274</w:t>
            </w:r>
          </w:p>
        </w:tc>
        <w:tc>
          <w:tcPr>
            <w:tcW w:w="951" w:type="dxa"/>
            <w:vAlign w:val="center"/>
          </w:tcPr>
          <w:p w:rsidR="00A426C4" w:rsidRPr="0052607D" w:rsidRDefault="0052607D" w:rsidP="00A426C4">
            <w:pPr>
              <w:spacing w:after="0"/>
              <w:jc w:val="right"/>
              <w:rPr>
                <w:b/>
              </w:rPr>
            </w:pPr>
            <w:r w:rsidRPr="0052607D">
              <w:rPr>
                <w:b/>
              </w:rPr>
              <w:t>$</w:t>
            </w:r>
            <w:r w:rsidR="00A426C4" w:rsidRPr="0052607D">
              <w:rPr>
                <w:b/>
              </w:rPr>
              <w:t>6,669</w:t>
            </w:r>
          </w:p>
        </w:tc>
      </w:tr>
      <w:tr w:rsidR="00A426C4" w:rsidTr="0052607D">
        <w:trPr>
          <w:jc w:val="center"/>
        </w:trPr>
        <w:tc>
          <w:tcPr>
            <w:tcW w:w="8597" w:type="dxa"/>
            <w:gridSpan w:val="5"/>
            <w:vAlign w:val="center"/>
          </w:tcPr>
          <w:p w:rsidR="00A426C4" w:rsidRDefault="00A426C4" w:rsidP="00A426C4">
            <w:pPr>
              <w:spacing w:after="0"/>
              <w:jc w:val="left"/>
            </w:pPr>
            <w:r>
              <w:t xml:space="preserve">Sources: DN 13-423, </w:t>
            </w:r>
          </w:p>
        </w:tc>
      </w:tr>
    </w:tbl>
    <w:p w:rsidR="00A426C4" w:rsidRPr="00C61898" w:rsidRDefault="00A426C4" w:rsidP="00A426C4">
      <w:pPr>
        <w:pStyle w:val="Normal-aftertable"/>
      </w:pPr>
      <w:r>
        <w:t>The PPL EU payments to PPLSolutions increased by $2 million over the 2012 to 2015 period, or 43%.</w:t>
      </w:r>
    </w:p>
    <w:p w:rsidR="00A426C4" w:rsidRDefault="00A426C4" w:rsidP="00A426C4">
      <w:pPr>
        <w:pStyle w:val="Heading40"/>
      </w:pPr>
      <w:r>
        <w:t>PPL Infrastructure Charges to PPL EU</w:t>
      </w:r>
    </w:p>
    <w:p w:rsidR="00A426C4" w:rsidRDefault="00A426C4" w:rsidP="00A426C4">
      <w:pPr>
        <w:rPr>
          <w:rFonts w:cs="Arial"/>
          <w:szCs w:val="24"/>
        </w:rPr>
      </w:pPr>
      <w:r>
        <w:rPr>
          <w:rFonts w:cs="Arial"/>
          <w:szCs w:val="24"/>
        </w:rPr>
        <w:t xml:space="preserve">There are no Infrastructure charges to PPL EU.  Infrastructure pays PPL EU for design review and related services.  Infrastructure also pays PPL EU an annual attachment charge that is set at the discretion of PPL EU.  See Section F. Pricing of Affiliate Transactions for more information on this arrangement. </w:t>
      </w:r>
    </w:p>
    <w:p w:rsidR="00A426C4" w:rsidRDefault="00A426C4" w:rsidP="00A426C4">
      <w:pPr>
        <w:pStyle w:val="Heading40"/>
      </w:pPr>
      <w:r>
        <w:t>PPL Power Insurance Ltd. Charges to PPL EU</w:t>
      </w:r>
    </w:p>
    <w:p w:rsidR="00A426C4" w:rsidRDefault="00A426C4" w:rsidP="00A426C4">
      <w:pPr>
        <w:rPr>
          <w:rFonts w:cs="Arial"/>
          <w:szCs w:val="24"/>
        </w:rPr>
      </w:pPr>
      <w:r>
        <w:rPr>
          <w:rFonts w:cs="Arial"/>
          <w:szCs w:val="24"/>
        </w:rPr>
        <w:t xml:space="preserve">Since 2003, Power Insurance has provided a </w:t>
      </w:r>
      <w:proofErr w:type="spellStart"/>
      <w:r>
        <w:rPr>
          <w:rFonts w:cs="Arial"/>
          <w:szCs w:val="24"/>
        </w:rPr>
        <w:t>workers</w:t>
      </w:r>
      <w:proofErr w:type="spellEnd"/>
      <w:r>
        <w:rPr>
          <w:rFonts w:cs="Arial"/>
          <w:szCs w:val="24"/>
        </w:rPr>
        <w:t xml:space="preserve"> compensation policy to PPL Corporation and its subsidiaries, including PPL EU, each year.  The Power Insurance policy covers the deductible portion of the statutory workers compensation policy purchased from a non-affiliated independent insurance company.  This policy is separate from the other various insurance policies that Power Insurance has provided in the past.  </w:t>
      </w:r>
    </w:p>
    <w:p w:rsidR="00A426C4" w:rsidRDefault="00A426C4" w:rsidP="00A426C4">
      <w:pPr>
        <w:rPr>
          <w:rFonts w:cs="Arial"/>
          <w:szCs w:val="24"/>
        </w:rPr>
      </w:pPr>
      <w:r>
        <w:rPr>
          <w:rFonts w:cs="Arial"/>
          <w:szCs w:val="24"/>
        </w:rPr>
        <w:t xml:space="preserve">Insurance premiums paid by PPL EU to PPL Power Insurance are </w:t>
      </w:r>
      <w:r w:rsidR="00CF67D7">
        <w:rPr>
          <w:rFonts w:cs="Arial"/>
          <w:szCs w:val="24"/>
        </w:rPr>
        <w:t xml:space="preserve">proprietary and </w:t>
      </w:r>
      <w:r>
        <w:rPr>
          <w:rFonts w:cs="Arial"/>
          <w:szCs w:val="24"/>
        </w:rPr>
        <w:t xml:space="preserve">confidential. </w:t>
      </w:r>
    </w:p>
    <w:p w:rsidR="00A426C4" w:rsidRDefault="00A426C4" w:rsidP="00A426C4">
      <w:pPr>
        <w:pStyle w:val="Heading40"/>
      </w:pPr>
      <w:r>
        <w:t>PPL EU Transactions with CEP Commerce</w:t>
      </w:r>
    </w:p>
    <w:p w:rsidR="00A426C4" w:rsidRDefault="00A426C4" w:rsidP="00A426C4">
      <w:r>
        <w:t>PPL EU makes capital contributions to CEP Commerce and receives return of capital and dividends from CEP Commerce.  The following table summarizes the transactions for 2012 through 2015.</w:t>
      </w:r>
    </w:p>
    <w:p w:rsidR="00A426C4" w:rsidRDefault="00356110" w:rsidP="00356110">
      <w:pPr>
        <w:pStyle w:val="Caption"/>
      </w:pPr>
      <w:bookmarkStart w:id="61" w:name="_Toc464552952"/>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9</w:t>
      </w:r>
      <w:r w:rsidR="00CB2B2A">
        <w:rPr>
          <w:noProof/>
        </w:rPr>
        <w:fldChar w:fldCharType="end"/>
      </w:r>
      <w:r w:rsidR="00D10053">
        <w:br/>
      </w:r>
      <w:r w:rsidR="00A426C4">
        <w:t>PPL EU Transactions with CEP Commerce</w:t>
      </w:r>
      <w:bookmarkEnd w:id="61"/>
      <w:r w:rsidR="00A426C4">
        <w:t xml:space="preserve"> </w:t>
      </w:r>
    </w:p>
    <w:tbl>
      <w:tblPr>
        <w:tblStyle w:val="TableGrid"/>
        <w:tblW w:w="0" w:type="auto"/>
        <w:jc w:val="center"/>
        <w:tblLook w:val="04A0"/>
      </w:tblPr>
      <w:tblGrid>
        <w:gridCol w:w="3778"/>
        <w:gridCol w:w="1377"/>
        <w:gridCol w:w="1377"/>
        <w:gridCol w:w="1377"/>
        <w:gridCol w:w="1377"/>
      </w:tblGrid>
      <w:tr w:rsidR="00A426C4" w:rsidRPr="006304A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Pr>
                <w:b/>
              </w:rPr>
              <w:t>Category</w:t>
            </w:r>
          </w:p>
        </w:tc>
        <w:tc>
          <w:tcPr>
            <w:tcW w:w="0" w:type="auto"/>
            <w:shd w:val="clear" w:color="auto" w:fill="A5CD7E"/>
            <w:vAlign w:val="center"/>
          </w:tcPr>
          <w:p w:rsidR="00A426C4" w:rsidRPr="00C61898" w:rsidRDefault="00A426C4" w:rsidP="006304A4">
            <w:pPr>
              <w:spacing w:before="120"/>
              <w:jc w:val="center"/>
              <w:rPr>
                <w:b/>
              </w:rPr>
            </w:pPr>
            <w:r w:rsidRPr="00C61898">
              <w:rPr>
                <w:b/>
              </w:rPr>
              <w:t>2012</w:t>
            </w:r>
          </w:p>
        </w:tc>
        <w:tc>
          <w:tcPr>
            <w:tcW w:w="0" w:type="auto"/>
            <w:shd w:val="clear" w:color="auto" w:fill="A5CD7E"/>
            <w:vAlign w:val="center"/>
          </w:tcPr>
          <w:p w:rsidR="00A426C4" w:rsidRPr="00C61898" w:rsidRDefault="00A426C4" w:rsidP="006304A4">
            <w:pPr>
              <w:spacing w:before="120"/>
              <w:jc w:val="center"/>
              <w:rPr>
                <w:b/>
              </w:rPr>
            </w:pPr>
            <w:r w:rsidRPr="00C61898">
              <w:rPr>
                <w:b/>
              </w:rPr>
              <w:t>2013</w:t>
            </w:r>
          </w:p>
        </w:tc>
        <w:tc>
          <w:tcPr>
            <w:tcW w:w="0" w:type="auto"/>
            <w:shd w:val="clear" w:color="auto" w:fill="A5CD7E"/>
            <w:vAlign w:val="center"/>
          </w:tcPr>
          <w:p w:rsidR="00A426C4" w:rsidRPr="00C61898" w:rsidRDefault="00A426C4" w:rsidP="006304A4">
            <w:pPr>
              <w:spacing w:before="120"/>
              <w:jc w:val="center"/>
              <w:rPr>
                <w:b/>
              </w:rPr>
            </w:pPr>
            <w:r w:rsidRPr="00C61898">
              <w:rPr>
                <w:b/>
              </w:rPr>
              <w:t>2014</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p>
        </w:tc>
      </w:tr>
      <w:tr w:rsidR="00A426C4" w:rsidTr="00A426C4">
        <w:trPr>
          <w:jc w:val="center"/>
        </w:trPr>
        <w:tc>
          <w:tcPr>
            <w:tcW w:w="0" w:type="auto"/>
            <w:vAlign w:val="center"/>
          </w:tcPr>
          <w:p w:rsidR="00A426C4" w:rsidRDefault="00A426C4" w:rsidP="00A426C4">
            <w:pPr>
              <w:spacing w:after="0"/>
              <w:jc w:val="center"/>
            </w:pPr>
            <w:r>
              <w:t>Capital Contributions</w:t>
            </w:r>
            <w:r w:rsidR="0052607D">
              <w:t xml:space="preserve"> (thousands)</w:t>
            </w:r>
          </w:p>
        </w:tc>
        <w:tc>
          <w:tcPr>
            <w:tcW w:w="0" w:type="auto"/>
            <w:vAlign w:val="center"/>
          </w:tcPr>
          <w:p w:rsidR="00A426C4" w:rsidRDefault="0052607D" w:rsidP="0052607D">
            <w:pPr>
              <w:spacing w:after="0"/>
              <w:jc w:val="right"/>
            </w:pPr>
            <w:r>
              <w:t>$</w:t>
            </w:r>
            <w:r w:rsidR="00A426C4">
              <w:t>(305,000)</w:t>
            </w:r>
          </w:p>
        </w:tc>
        <w:tc>
          <w:tcPr>
            <w:tcW w:w="0" w:type="auto"/>
            <w:vAlign w:val="center"/>
          </w:tcPr>
          <w:p w:rsidR="00A426C4" w:rsidRDefault="0052607D" w:rsidP="0052607D">
            <w:pPr>
              <w:spacing w:after="0"/>
              <w:jc w:val="right"/>
            </w:pPr>
            <w:r>
              <w:t>$</w:t>
            </w:r>
            <w:r w:rsidR="00A426C4">
              <w:t>(233,110)</w:t>
            </w:r>
          </w:p>
        </w:tc>
        <w:tc>
          <w:tcPr>
            <w:tcW w:w="0" w:type="auto"/>
            <w:vAlign w:val="center"/>
          </w:tcPr>
          <w:p w:rsidR="00A426C4" w:rsidRDefault="0052607D" w:rsidP="0052607D">
            <w:pPr>
              <w:spacing w:after="0"/>
              <w:jc w:val="right"/>
            </w:pPr>
            <w:r>
              <w:t>$</w:t>
            </w:r>
            <w:r w:rsidR="00A426C4">
              <w:t>(225,000)</w:t>
            </w:r>
          </w:p>
        </w:tc>
        <w:tc>
          <w:tcPr>
            <w:tcW w:w="0" w:type="auto"/>
            <w:vAlign w:val="center"/>
          </w:tcPr>
          <w:p w:rsidR="00A426C4" w:rsidRDefault="0052607D" w:rsidP="0052607D">
            <w:pPr>
              <w:spacing w:after="0"/>
              <w:jc w:val="right"/>
            </w:pPr>
            <w:r>
              <w:t>$</w:t>
            </w:r>
            <w:r w:rsidR="00A426C4">
              <w:t>(185,000)</w:t>
            </w:r>
          </w:p>
        </w:tc>
      </w:tr>
      <w:tr w:rsidR="00A426C4" w:rsidTr="00A426C4">
        <w:trPr>
          <w:jc w:val="center"/>
        </w:trPr>
        <w:tc>
          <w:tcPr>
            <w:tcW w:w="0" w:type="auto"/>
            <w:vAlign w:val="center"/>
          </w:tcPr>
          <w:p w:rsidR="00A426C4" w:rsidRDefault="00A426C4" w:rsidP="00A426C4">
            <w:pPr>
              <w:spacing w:after="0"/>
              <w:jc w:val="center"/>
            </w:pPr>
            <w:r>
              <w:t>Return of Capital</w:t>
            </w:r>
            <w:r w:rsidR="0052607D">
              <w:t xml:space="preserve"> (thousands)</w:t>
            </w:r>
          </w:p>
        </w:tc>
        <w:tc>
          <w:tcPr>
            <w:tcW w:w="0" w:type="auto"/>
            <w:vAlign w:val="center"/>
          </w:tcPr>
          <w:p w:rsidR="00A426C4" w:rsidRDefault="0052607D" w:rsidP="0052607D">
            <w:pPr>
              <w:spacing w:after="0"/>
              <w:jc w:val="right"/>
            </w:pPr>
            <w:r>
              <w:t>$</w:t>
            </w:r>
            <w:r w:rsidR="00A426C4">
              <w:t>605,000</w:t>
            </w:r>
          </w:p>
        </w:tc>
        <w:tc>
          <w:tcPr>
            <w:tcW w:w="0" w:type="auto"/>
            <w:vAlign w:val="center"/>
          </w:tcPr>
          <w:p w:rsidR="00A426C4" w:rsidRDefault="0052607D" w:rsidP="0052607D">
            <w:pPr>
              <w:spacing w:after="0"/>
              <w:jc w:val="right"/>
            </w:pPr>
            <w:r>
              <w:t>$</w:t>
            </w:r>
            <w:r w:rsidR="00A426C4">
              <w:t>90,279</w:t>
            </w:r>
          </w:p>
        </w:tc>
        <w:tc>
          <w:tcPr>
            <w:tcW w:w="0" w:type="auto"/>
            <w:vAlign w:val="center"/>
          </w:tcPr>
          <w:p w:rsidR="00A426C4" w:rsidRDefault="0052607D" w:rsidP="0052607D">
            <w:pPr>
              <w:spacing w:after="0"/>
              <w:jc w:val="right"/>
            </w:pPr>
            <w:r>
              <w:t>$</w:t>
            </w:r>
            <w:r w:rsidR="00A426C4">
              <w:t>194,837</w:t>
            </w:r>
          </w:p>
        </w:tc>
        <w:tc>
          <w:tcPr>
            <w:tcW w:w="0" w:type="auto"/>
            <w:vAlign w:val="center"/>
          </w:tcPr>
          <w:p w:rsidR="00A426C4" w:rsidRDefault="0052607D" w:rsidP="0052607D">
            <w:pPr>
              <w:spacing w:after="0"/>
              <w:jc w:val="right"/>
            </w:pPr>
            <w:r>
              <w:t>$</w:t>
            </w:r>
            <w:r w:rsidR="00A426C4">
              <w:t>364,892</w:t>
            </w:r>
          </w:p>
        </w:tc>
      </w:tr>
      <w:tr w:rsidR="00A426C4" w:rsidTr="00A426C4">
        <w:trPr>
          <w:jc w:val="center"/>
        </w:trPr>
        <w:tc>
          <w:tcPr>
            <w:tcW w:w="0" w:type="auto"/>
            <w:vAlign w:val="center"/>
          </w:tcPr>
          <w:p w:rsidR="00A426C4" w:rsidRDefault="00A426C4" w:rsidP="00A426C4">
            <w:pPr>
              <w:spacing w:after="0"/>
              <w:jc w:val="center"/>
            </w:pPr>
            <w:r>
              <w:t>Dividends</w:t>
            </w:r>
            <w:r w:rsidR="0052607D">
              <w:t xml:space="preserve"> (thousands)</w:t>
            </w:r>
          </w:p>
        </w:tc>
        <w:tc>
          <w:tcPr>
            <w:tcW w:w="0" w:type="auto"/>
            <w:vAlign w:val="center"/>
          </w:tcPr>
          <w:p w:rsidR="00A426C4" w:rsidRDefault="00A426C4" w:rsidP="0052607D">
            <w:pPr>
              <w:spacing w:after="0"/>
              <w:jc w:val="right"/>
            </w:pPr>
            <w:r>
              <w:t>0</w:t>
            </w:r>
          </w:p>
        </w:tc>
        <w:tc>
          <w:tcPr>
            <w:tcW w:w="0" w:type="auto"/>
            <w:vAlign w:val="center"/>
          </w:tcPr>
          <w:p w:rsidR="00A426C4" w:rsidRDefault="00A426C4" w:rsidP="0052607D">
            <w:pPr>
              <w:spacing w:after="0"/>
              <w:jc w:val="right"/>
            </w:pPr>
            <w:r>
              <w:t>0</w:t>
            </w:r>
          </w:p>
        </w:tc>
        <w:tc>
          <w:tcPr>
            <w:tcW w:w="0" w:type="auto"/>
            <w:vAlign w:val="center"/>
          </w:tcPr>
          <w:p w:rsidR="00A426C4" w:rsidRDefault="0052607D" w:rsidP="0052607D">
            <w:pPr>
              <w:spacing w:after="0"/>
              <w:jc w:val="right"/>
            </w:pPr>
            <w:r>
              <w:t>$</w:t>
            </w:r>
            <w:r w:rsidR="00A426C4">
              <w:t>163</w:t>
            </w:r>
          </w:p>
        </w:tc>
        <w:tc>
          <w:tcPr>
            <w:tcW w:w="0" w:type="auto"/>
            <w:vAlign w:val="center"/>
          </w:tcPr>
          <w:p w:rsidR="00A426C4" w:rsidRDefault="0052607D" w:rsidP="0052607D">
            <w:pPr>
              <w:spacing w:after="0"/>
              <w:jc w:val="right"/>
            </w:pPr>
            <w:r>
              <w:t>$</w:t>
            </w:r>
            <w:r w:rsidR="00A426C4">
              <w:t>109</w:t>
            </w:r>
          </w:p>
        </w:tc>
      </w:tr>
      <w:tr w:rsidR="00A426C4" w:rsidTr="00A426C4">
        <w:trPr>
          <w:trHeight w:val="56"/>
          <w:jc w:val="center"/>
        </w:trPr>
        <w:tc>
          <w:tcPr>
            <w:tcW w:w="0" w:type="auto"/>
            <w:gridSpan w:val="5"/>
            <w:vAlign w:val="center"/>
          </w:tcPr>
          <w:p w:rsidR="00A426C4" w:rsidRDefault="00A426C4" w:rsidP="00A426C4">
            <w:pPr>
              <w:spacing w:after="0"/>
              <w:jc w:val="left"/>
            </w:pPr>
            <w:r>
              <w:t>Source:  DN 13-412</w:t>
            </w:r>
          </w:p>
        </w:tc>
      </w:tr>
    </w:tbl>
    <w:p w:rsidR="00A426C4" w:rsidRDefault="00A426C4" w:rsidP="00A426C4">
      <w:pPr>
        <w:pStyle w:val="Normal-aftertable"/>
      </w:pPr>
      <w:r>
        <w:t>Over the 2012 through 2015 period, PPL EU made $948.11 million in capital contributions to CEP Commerce and received $1,255.0 million in return of capital and $272 thousand in dividends.</w:t>
      </w:r>
    </w:p>
    <w:p w:rsidR="00A426C4" w:rsidRDefault="00A426C4" w:rsidP="00A426C4">
      <w:pPr>
        <w:pStyle w:val="Heading40"/>
      </w:pPr>
      <w:r>
        <w:lastRenderedPageBreak/>
        <w:t xml:space="preserve">Louisville Gas and Electric Company Charges to PPL EU </w:t>
      </w:r>
    </w:p>
    <w:p w:rsidR="00A426C4" w:rsidRDefault="00A426C4" w:rsidP="00A426C4">
      <w:r>
        <w:t>LG&amp;E charged PPL EU $472 thousand in 2012 and $32 thousand in 2013 for Hurricane Sandy mutual aid assistance.  LG&amp;E charged PPL EU $140 thousand in mutual aid assistance for two storms in 2014.  There were no other charges by LG&amp;E to PPL EU.</w:t>
      </w:r>
    </w:p>
    <w:p w:rsidR="00A426C4" w:rsidRDefault="00A426C4" w:rsidP="00A426C4">
      <w:pPr>
        <w:pStyle w:val="Heading40"/>
      </w:pPr>
      <w:r>
        <w:t>Kentucky Utilities Company Charges to PPL EU</w:t>
      </w:r>
    </w:p>
    <w:p w:rsidR="00A426C4" w:rsidRDefault="00A426C4" w:rsidP="00A426C4">
      <w:r>
        <w:t xml:space="preserve">KU charged PPL EU $943 thousand in 2012 for Hurricane Sandy mutual aid assistance.  KU also charged PPL EU $149 thousand for mutual aid assistance in two storms in 2014.  There were no other material charges from KU to PPL EU. </w:t>
      </w:r>
    </w:p>
    <w:p w:rsidR="00A426C4" w:rsidRDefault="00A426C4" w:rsidP="00A426C4">
      <w:pPr>
        <w:pStyle w:val="Heading40"/>
      </w:pPr>
      <w:r>
        <w:t>PPL EU Charges to Affiliates</w:t>
      </w:r>
    </w:p>
    <w:p w:rsidR="00A426C4" w:rsidRDefault="00A426C4" w:rsidP="00A426C4">
      <w:r>
        <w:t>The following table lists the PPL EU charges to affiliates from 2012 through 2015 for rent.</w:t>
      </w:r>
    </w:p>
    <w:p w:rsidR="00A426C4" w:rsidRDefault="00356110" w:rsidP="00356110">
      <w:pPr>
        <w:pStyle w:val="Caption"/>
      </w:pPr>
      <w:bookmarkStart w:id="62" w:name="_Toc464552953"/>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10</w:t>
      </w:r>
      <w:r w:rsidR="00CB2B2A">
        <w:rPr>
          <w:noProof/>
        </w:rPr>
        <w:fldChar w:fldCharType="end"/>
      </w:r>
      <w:r w:rsidR="00D10053">
        <w:br/>
      </w:r>
      <w:r w:rsidR="00A426C4">
        <w:t>PPL EU Charges to Affiliates for Rent</w:t>
      </w:r>
      <w:bookmarkEnd w:id="62"/>
      <w:r w:rsidR="00A426C4">
        <w:t xml:space="preserve"> </w:t>
      </w:r>
    </w:p>
    <w:tbl>
      <w:tblPr>
        <w:tblStyle w:val="TableGrid"/>
        <w:tblW w:w="0" w:type="auto"/>
        <w:jc w:val="center"/>
        <w:tblLook w:val="04A0"/>
      </w:tblPr>
      <w:tblGrid>
        <w:gridCol w:w="2991"/>
        <w:gridCol w:w="951"/>
        <w:gridCol w:w="1084"/>
        <w:gridCol w:w="1084"/>
        <w:gridCol w:w="1084"/>
      </w:tblGrid>
      <w:tr w:rsidR="00A426C4" w:rsidRPr="006304A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Pr>
                <w:b/>
              </w:rPr>
              <w:t>Affiliate</w:t>
            </w:r>
          </w:p>
        </w:tc>
        <w:tc>
          <w:tcPr>
            <w:tcW w:w="0" w:type="auto"/>
            <w:shd w:val="clear" w:color="auto" w:fill="A5CD7E"/>
            <w:vAlign w:val="center"/>
          </w:tcPr>
          <w:p w:rsidR="00A426C4" w:rsidRPr="00C61898" w:rsidRDefault="00A426C4" w:rsidP="006304A4">
            <w:pPr>
              <w:spacing w:before="120"/>
              <w:jc w:val="center"/>
              <w:rPr>
                <w:b/>
              </w:rPr>
            </w:pPr>
            <w:r w:rsidRPr="00C61898">
              <w:rPr>
                <w:b/>
              </w:rPr>
              <w:t>2012</w:t>
            </w:r>
          </w:p>
        </w:tc>
        <w:tc>
          <w:tcPr>
            <w:tcW w:w="0" w:type="auto"/>
            <w:shd w:val="clear" w:color="auto" w:fill="A5CD7E"/>
            <w:vAlign w:val="center"/>
          </w:tcPr>
          <w:p w:rsidR="00A426C4" w:rsidRPr="00C61898" w:rsidRDefault="00A426C4" w:rsidP="006304A4">
            <w:pPr>
              <w:spacing w:before="120"/>
              <w:jc w:val="center"/>
              <w:rPr>
                <w:b/>
              </w:rPr>
            </w:pPr>
            <w:r w:rsidRPr="00C61898">
              <w:rPr>
                <w:b/>
              </w:rPr>
              <w:t>2013</w:t>
            </w:r>
          </w:p>
        </w:tc>
        <w:tc>
          <w:tcPr>
            <w:tcW w:w="0" w:type="auto"/>
            <w:shd w:val="clear" w:color="auto" w:fill="A5CD7E"/>
            <w:vAlign w:val="center"/>
          </w:tcPr>
          <w:p w:rsidR="00A426C4" w:rsidRPr="00C61898" w:rsidRDefault="00A426C4" w:rsidP="006304A4">
            <w:pPr>
              <w:spacing w:before="120"/>
              <w:jc w:val="center"/>
              <w:rPr>
                <w:b/>
              </w:rPr>
            </w:pPr>
            <w:r w:rsidRPr="00C61898">
              <w:rPr>
                <w:b/>
              </w:rPr>
              <w:t>2014</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r>
              <w:rPr>
                <w:b/>
              </w:rPr>
              <w:t xml:space="preserve"> </w:t>
            </w:r>
          </w:p>
        </w:tc>
      </w:tr>
      <w:tr w:rsidR="00A426C4" w:rsidTr="00A426C4">
        <w:trPr>
          <w:jc w:val="center"/>
        </w:trPr>
        <w:tc>
          <w:tcPr>
            <w:tcW w:w="0" w:type="auto"/>
            <w:vAlign w:val="center"/>
          </w:tcPr>
          <w:p w:rsidR="00A426C4" w:rsidRDefault="00A426C4" w:rsidP="00A426C4">
            <w:pPr>
              <w:spacing w:after="0"/>
              <w:jc w:val="center"/>
            </w:pPr>
            <w:r>
              <w:t>PPL SC</w:t>
            </w:r>
            <w:r w:rsidR="0052607D">
              <w:t xml:space="preserve"> (thousands)</w:t>
            </w:r>
          </w:p>
        </w:tc>
        <w:tc>
          <w:tcPr>
            <w:tcW w:w="0" w:type="auto"/>
            <w:vAlign w:val="center"/>
          </w:tcPr>
          <w:p w:rsidR="00A426C4" w:rsidRDefault="0052607D" w:rsidP="00A426C4">
            <w:pPr>
              <w:spacing w:after="0"/>
              <w:jc w:val="right"/>
            </w:pPr>
            <w:r>
              <w:t>$</w:t>
            </w:r>
            <w:r w:rsidR="00A426C4">
              <w:t>9,630</w:t>
            </w:r>
          </w:p>
        </w:tc>
        <w:tc>
          <w:tcPr>
            <w:tcW w:w="0" w:type="auto"/>
            <w:vAlign w:val="center"/>
          </w:tcPr>
          <w:p w:rsidR="00A426C4" w:rsidRDefault="0052607D" w:rsidP="00A426C4">
            <w:pPr>
              <w:spacing w:after="0"/>
              <w:jc w:val="right"/>
            </w:pPr>
            <w:r>
              <w:t>$</w:t>
            </w:r>
            <w:r w:rsidR="00A426C4">
              <w:t>12,910</w:t>
            </w:r>
          </w:p>
        </w:tc>
        <w:tc>
          <w:tcPr>
            <w:tcW w:w="0" w:type="auto"/>
            <w:vAlign w:val="center"/>
          </w:tcPr>
          <w:p w:rsidR="00A426C4" w:rsidRDefault="0052607D" w:rsidP="00A426C4">
            <w:pPr>
              <w:spacing w:after="0"/>
              <w:jc w:val="right"/>
            </w:pPr>
            <w:r>
              <w:t>$</w:t>
            </w:r>
            <w:r w:rsidR="00A426C4">
              <w:t>15,683</w:t>
            </w:r>
          </w:p>
        </w:tc>
        <w:tc>
          <w:tcPr>
            <w:tcW w:w="0" w:type="auto"/>
            <w:vAlign w:val="center"/>
          </w:tcPr>
          <w:p w:rsidR="00A426C4" w:rsidRDefault="0052607D" w:rsidP="00A426C4">
            <w:pPr>
              <w:spacing w:after="0"/>
              <w:jc w:val="right"/>
            </w:pPr>
            <w:r>
              <w:t>$</w:t>
            </w:r>
            <w:r w:rsidR="00A426C4">
              <w:t>11,766</w:t>
            </w:r>
          </w:p>
        </w:tc>
      </w:tr>
      <w:tr w:rsidR="00A426C4" w:rsidTr="00A426C4">
        <w:trPr>
          <w:jc w:val="center"/>
        </w:trPr>
        <w:tc>
          <w:tcPr>
            <w:tcW w:w="0" w:type="auto"/>
            <w:vAlign w:val="center"/>
          </w:tcPr>
          <w:p w:rsidR="00A426C4" w:rsidRDefault="00A426C4" w:rsidP="00A426C4">
            <w:pPr>
              <w:spacing w:after="0"/>
              <w:jc w:val="center"/>
            </w:pPr>
            <w:r>
              <w:t>PPL EUS</w:t>
            </w:r>
            <w:r w:rsidR="0052607D">
              <w:t xml:space="preserve"> (thousands)</w:t>
            </w:r>
          </w:p>
        </w:tc>
        <w:tc>
          <w:tcPr>
            <w:tcW w:w="0" w:type="auto"/>
            <w:vAlign w:val="center"/>
          </w:tcPr>
          <w:p w:rsidR="00A426C4" w:rsidRDefault="00A426C4" w:rsidP="00A426C4">
            <w:pPr>
              <w:spacing w:after="0"/>
              <w:jc w:val="right"/>
            </w:pPr>
          </w:p>
        </w:tc>
        <w:tc>
          <w:tcPr>
            <w:tcW w:w="0" w:type="auto"/>
            <w:vAlign w:val="center"/>
          </w:tcPr>
          <w:p w:rsidR="00A426C4" w:rsidRDefault="00A426C4" w:rsidP="00A426C4">
            <w:pPr>
              <w:spacing w:after="0"/>
              <w:jc w:val="right"/>
            </w:pPr>
          </w:p>
        </w:tc>
        <w:tc>
          <w:tcPr>
            <w:tcW w:w="0" w:type="auto"/>
            <w:vAlign w:val="center"/>
          </w:tcPr>
          <w:p w:rsidR="00A426C4" w:rsidRDefault="00A426C4" w:rsidP="00A426C4">
            <w:pPr>
              <w:spacing w:after="0"/>
              <w:jc w:val="right"/>
            </w:pPr>
          </w:p>
        </w:tc>
        <w:tc>
          <w:tcPr>
            <w:tcW w:w="0" w:type="auto"/>
            <w:vAlign w:val="center"/>
          </w:tcPr>
          <w:p w:rsidR="00A426C4" w:rsidRDefault="0052607D" w:rsidP="00A426C4">
            <w:pPr>
              <w:spacing w:after="0"/>
              <w:jc w:val="right"/>
            </w:pPr>
            <w:r>
              <w:t>$</w:t>
            </w:r>
            <w:r w:rsidR="00A426C4">
              <w:t>3,832</w:t>
            </w:r>
          </w:p>
        </w:tc>
      </w:tr>
      <w:tr w:rsidR="00A426C4" w:rsidTr="00A426C4">
        <w:trPr>
          <w:jc w:val="center"/>
        </w:trPr>
        <w:tc>
          <w:tcPr>
            <w:tcW w:w="0" w:type="auto"/>
            <w:vAlign w:val="center"/>
          </w:tcPr>
          <w:p w:rsidR="00A426C4" w:rsidRDefault="00A426C4" w:rsidP="00A426C4">
            <w:pPr>
              <w:spacing w:after="0"/>
              <w:jc w:val="center"/>
            </w:pPr>
            <w:r>
              <w:t>PPLSolutions</w:t>
            </w:r>
            <w:r w:rsidR="0052607D">
              <w:t xml:space="preserve"> (thousands)</w:t>
            </w:r>
          </w:p>
        </w:tc>
        <w:tc>
          <w:tcPr>
            <w:tcW w:w="0" w:type="auto"/>
            <w:vAlign w:val="center"/>
          </w:tcPr>
          <w:p w:rsidR="00A426C4" w:rsidRDefault="0052607D" w:rsidP="00A426C4">
            <w:pPr>
              <w:spacing w:after="0"/>
              <w:jc w:val="right"/>
            </w:pPr>
            <w:r>
              <w:t>$</w:t>
            </w:r>
            <w:r w:rsidR="00A426C4">
              <w:t>159</w:t>
            </w:r>
          </w:p>
        </w:tc>
        <w:tc>
          <w:tcPr>
            <w:tcW w:w="0" w:type="auto"/>
            <w:vAlign w:val="center"/>
          </w:tcPr>
          <w:p w:rsidR="00A426C4" w:rsidRDefault="0052607D" w:rsidP="00A426C4">
            <w:pPr>
              <w:spacing w:after="0"/>
              <w:jc w:val="right"/>
            </w:pPr>
            <w:r>
              <w:t>$</w:t>
            </w:r>
            <w:r w:rsidR="00A426C4">
              <w:t>173</w:t>
            </w:r>
          </w:p>
        </w:tc>
        <w:tc>
          <w:tcPr>
            <w:tcW w:w="0" w:type="auto"/>
            <w:vAlign w:val="center"/>
          </w:tcPr>
          <w:p w:rsidR="00A426C4" w:rsidRDefault="00A426C4" w:rsidP="00A426C4">
            <w:pPr>
              <w:spacing w:after="0"/>
              <w:jc w:val="right"/>
            </w:pPr>
          </w:p>
        </w:tc>
        <w:tc>
          <w:tcPr>
            <w:tcW w:w="0" w:type="auto"/>
            <w:vAlign w:val="center"/>
          </w:tcPr>
          <w:p w:rsidR="00A426C4" w:rsidRDefault="00A426C4" w:rsidP="00A426C4">
            <w:pPr>
              <w:spacing w:after="0"/>
              <w:jc w:val="right"/>
            </w:pPr>
          </w:p>
        </w:tc>
      </w:tr>
      <w:tr w:rsidR="00A426C4" w:rsidRPr="0052607D" w:rsidTr="00A426C4">
        <w:trPr>
          <w:jc w:val="center"/>
        </w:trPr>
        <w:tc>
          <w:tcPr>
            <w:tcW w:w="0" w:type="auto"/>
            <w:vAlign w:val="center"/>
          </w:tcPr>
          <w:p w:rsidR="00A426C4" w:rsidRPr="0052607D" w:rsidRDefault="00A426C4" w:rsidP="00A426C4">
            <w:pPr>
              <w:spacing w:after="0"/>
              <w:jc w:val="center"/>
              <w:rPr>
                <w:b/>
              </w:rPr>
            </w:pPr>
            <w:r w:rsidRPr="0052607D">
              <w:rPr>
                <w:b/>
              </w:rPr>
              <w:t>Totals</w:t>
            </w:r>
            <w:r w:rsidR="0052607D" w:rsidRPr="0052607D">
              <w:rPr>
                <w:b/>
              </w:rPr>
              <w:t xml:space="preserve"> (thousands)</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9,789</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13,083</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15,683</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15,598</w:t>
            </w:r>
          </w:p>
        </w:tc>
      </w:tr>
      <w:tr w:rsidR="00A426C4" w:rsidTr="00A426C4">
        <w:trPr>
          <w:jc w:val="center"/>
        </w:trPr>
        <w:tc>
          <w:tcPr>
            <w:tcW w:w="0" w:type="auto"/>
            <w:gridSpan w:val="5"/>
            <w:vAlign w:val="center"/>
          </w:tcPr>
          <w:p w:rsidR="00A426C4" w:rsidRDefault="00A426C4" w:rsidP="00A426C4">
            <w:pPr>
              <w:spacing w:after="0"/>
              <w:jc w:val="left"/>
            </w:pPr>
            <w:r>
              <w:t>Source:  PPL EU Report Fact Edit</w:t>
            </w:r>
          </w:p>
        </w:tc>
      </w:tr>
    </w:tbl>
    <w:p w:rsidR="00A426C4" w:rsidRDefault="00A426C4" w:rsidP="00A426C4">
      <w:pPr>
        <w:pStyle w:val="Normal-aftertable"/>
      </w:pPr>
      <w:r>
        <w:t>PPL EU charges to affiliates for rent increased $5.8 million, or 59% over the 2012 through 2015 period.</w:t>
      </w:r>
    </w:p>
    <w:p w:rsidR="00A426C4" w:rsidRDefault="00356110" w:rsidP="00356110">
      <w:pPr>
        <w:pStyle w:val="Caption"/>
      </w:pPr>
      <w:bookmarkStart w:id="63" w:name="_Toc464552954"/>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11</w:t>
      </w:r>
      <w:r w:rsidR="00CB2B2A">
        <w:rPr>
          <w:noProof/>
        </w:rPr>
        <w:fldChar w:fldCharType="end"/>
      </w:r>
      <w:r w:rsidR="00D10053">
        <w:br/>
      </w:r>
      <w:r w:rsidR="00A426C4">
        <w:t>PPL EU Charges to Affiliates for Facilities Services</w:t>
      </w:r>
      <w:bookmarkEnd w:id="63"/>
      <w:r w:rsidR="00A426C4">
        <w:t xml:space="preserve"> </w:t>
      </w:r>
    </w:p>
    <w:tbl>
      <w:tblPr>
        <w:tblStyle w:val="TableGrid"/>
        <w:tblW w:w="0" w:type="auto"/>
        <w:jc w:val="center"/>
        <w:tblLook w:val="04A0"/>
      </w:tblPr>
      <w:tblGrid>
        <w:gridCol w:w="2564"/>
        <w:gridCol w:w="750"/>
        <w:gridCol w:w="750"/>
        <w:gridCol w:w="750"/>
        <w:gridCol w:w="750"/>
      </w:tblGrid>
      <w:tr w:rsidR="00A426C4" w:rsidRPr="006304A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Pr>
                <w:b/>
              </w:rPr>
              <w:t>Affiliate</w:t>
            </w:r>
          </w:p>
        </w:tc>
        <w:tc>
          <w:tcPr>
            <w:tcW w:w="0" w:type="auto"/>
            <w:shd w:val="clear" w:color="auto" w:fill="A5CD7E"/>
            <w:vAlign w:val="center"/>
          </w:tcPr>
          <w:p w:rsidR="00A426C4" w:rsidRPr="00C61898" w:rsidRDefault="00A426C4" w:rsidP="006304A4">
            <w:pPr>
              <w:spacing w:before="120"/>
              <w:jc w:val="center"/>
              <w:rPr>
                <w:b/>
              </w:rPr>
            </w:pPr>
            <w:r w:rsidRPr="00C61898">
              <w:rPr>
                <w:b/>
              </w:rPr>
              <w:t>2012</w:t>
            </w:r>
          </w:p>
        </w:tc>
        <w:tc>
          <w:tcPr>
            <w:tcW w:w="0" w:type="auto"/>
            <w:shd w:val="clear" w:color="auto" w:fill="A5CD7E"/>
            <w:vAlign w:val="center"/>
          </w:tcPr>
          <w:p w:rsidR="00A426C4" w:rsidRPr="00C61898" w:rsidRDefault="00A426C4" w:rsidP="006304A4">
            <w:pPr>
              <w:spacing w:before="120"/>
              <w:jc w:val="center"/>
              <w:rPr>
                <w:b/>
              </w:rPr>
            </w:pPr>
            <w:r w:rsidRPr="00C61898">
              <w:rPr>
                <w:b/>
              </w:rPr>
              <w:t>2013</w:t>
            </w:r>
          </w:p>
        </w:tc>
        <w:tc>
          <w:tcPr>
            <w:tcW w:w="0" w:type="auto"/>
            <w:shd w:val="clear" w:color="auto" w:fill="A5CD7E"/>
            <w:vAlign w:val="center"/>
          </w:tcPr>
          <w:p w:rsidR="00A426C4" w:rsidRPr="00C61898" w:rsidRDefault="00A426C4" w:rsidP="006304A4">
            <w:pPr>
              <w:spacing w:before="120"/>
              <w:jc w:val="center"/>
              <w:rPr>
                <w:b/>
              </w:rPr>
            </w:pPr>
            <w:r w:rsidRPr="00C61898">
              <w:rPr>
                <w:b/>
              </w:rPr>
              <w:t>2014</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r>
              <w:rPr>
                <w:b/>
              </w:rPr>
              <w:t xml:space="preserve"> </w:t>
            </w:r>
          </w:p>
        </w:tc>
      </w:tr>
      <w:tr w:rsidR="00A426C4" w:rsidTr="00A426C4">
        <w:trPr>
          <w:jc w:val="center"/>
        </w:trPr>
        <w:tc>
          <w:tcPr>
            <w:tcW w:w="0" w:type="auto"/>
            <w:vAlign w:val="center"/>
          </w:tcPr>
          <w:p w:rsidR="00A426C4" w:rsidRDefault="00A426C4" w:rsidP="00A426C4">
            <w:pPr>
              <w:spacing w:after="0"/>
              <w:jc w:val="center"/>
            </w:pPr>
            <w:r>
              <w:t>PPL SC</w:t>
            </w:r>
            <w:r w:rsidR="0052607D">
              <w:t xml:space="preserve"> (thousands)</w:t>
            </w:r>
          </w:p>
        </w:tc>
        <w:tc>
          <w:tcPr>
            <w:tcW w:w="0" w:type="auto"/>
            <w:vAlign w:val="center"/>
          </w:tcPr>
          <w:p w:rsidR="00A426C4" w:rsidRDefault="0052607D" w:rsidP="00A426C4">
            <w:pPr>
              <w:spacing w:after="0"/>
              <w:jc w:val="right"/>
            </w:pPr>
            <w:r>
              <w:t>$</w:t>
            </w:r>
            <w:r w:rsidR="00A426C4">
              <w:t>874</w:t>
            </w:r>
          </w:p>
        </w:tc>
        <w:tc>
          <w:tcPr>
            <w:tcW w:w="0" w:type="auto"/>
            <w:vAlign w:val="center"/>
          </w:tcPr>
          <w:p w:rsidR="00A426C4" w:rsidRDefault="0052607D" w:rsidP="00A426C4">
            <w:pPr>
              <w:spacing w:after="0"/>
              <w:jc w:val="right"/>
            </w:pPr>
            <w:r>
              <w:t>$</w:t>
            </w:r>
            <w:r w:rsidR="00A426C4">
              <w:t>505</w:t>
            </w:r>
          </w:p>
        </w:tc>
        <w:tc>
          <w:tcPr>
            <w:tcW w:w="0" w:type="auto"/>
            <w:vAlign w:val="center"/>
          </w:tcPr>
          <w:p w:rsidR="00A426C4" w:rsidRDefault="0052607D" w:rsidP="00A426C4">
            <w:pPr>
              <w:spacing w:after="0"/>
              <w:jc w:val="right"/>
            </w:pPr>
            <w:r>
              <w:t>$</w:t>
            </w:r>
            <w:r w:rsidR="00A426C4">
              <w:t>564</w:t>
            </w:r>
          </w:p>
        </w:tc>
        <w:tc>
          <w:tcPr>
            <w:tcW w:w="0" w:type="auto"/>
            <w:vAlign w:val="center"/>
          </w:tcPr>
          <w:p w:rsidR="00A426C4" w:rsidRDefault="0052607D" w:rsidP="00A426C4">
            <w:pPr>
              <w:spacing w:after="0"/>
              <w:jc w:val="right"/>
            </w:pPr>
            <w:r>
              <w:t>$</w:t>
            </w:r>
            <w:r w:rsidR="00A426C4">
              <w:t>404</w:t>
            </w:r>
          </w:p>
        </w:tc>
      </w:tr>
      <w:tr w:rsidR="00A426C4" w:rsidTr="00A426C4">
        <w:trPr>
          <w:jc w:val="center"/>
        </w:trPr>
        <w:tc>
          <w:tcPr>
            <w:tcW w:w="0" w:type="auto"/>
            <w:vAlign w:val="center"/>
          </w:tcPr>
          <w:p w:rsidR="00A426C4" w:rsidRDefault="00A426C4" w:rsidP="00A426C4">
            <w:pPr>
              <w:spacing w:after="0"/>
              <w:jc w:val="center"/>
            </w:pPr>
            <w:r>
              <w:t>PPL EUS</w:t>
            </w:r>
            <w:r w:rsidR="0052607D">
              <w:t xml:space="preserve"> (thousands)</w:t>
            </w:r>
          </w:p>
        </w:tc>
        <w:tc>
          <w:tcPr>
            <w:tcW w:w="0" w:type="auto"/>
            <w:vAlign w:val="center"/>
          </w:tcPr>
          <w:p w:rsidR="00A426C4" w:rsidRDefault="00A426C4" w:rsidP="00A426C4">
            <w:pPr>
              <w:spacing w:after="0"/>
              <w:jc w:val="right"/>
            </w:pPr>
          </w:p>
        </w:tc>
        <w:tc>
          <w:tcPr>
            <w:tcW w:w="0" w:type="auto"/>
            <w:vAlign w:val="center"/>
          </w:tcPr>
          <w:p w:rsidR="00A426C4" w:rsidRDefault="00A426C4" w:rsidP="00A426C4">
            <w:pPr>
              <w:spacing w:after="0"/>
              <w:jc w:val="right"/>
            </w:pPr>
          </w:p>
        </w:tc>
        <w:tc>
          <w:tcPr>
            <w:tcW w:w="0" w:type="auto"/>
            <w:vAlign w:val="center"/>
          </w:tcPr>
          <w:p w:rsidR="00A426C4" w:rsidRDefault="00A426C4" w:rsidP="00A426C4">
            <w:pPr>
              <w:spacing w:after="0"/>
              <w:jc w:val="right"/>
            </w:pPr>
          </w:p>
        </w:tc>
        <w:tc>
          <w:tcPr>
            <w:tcW w:w="0" w:type="auto"/>
            <w:vAlign w:val="center"/>
          </w:tcPr>
          <w:p w:rsidR="00A426C4" w:rsidRDefault="0052607D" w:rsidP="00A426C4">
            <w:pPr>
              <w:spacing w:after="0"/>
              <w:jc w:val="right"/>
            </w:pPr>
            <w:r>
              <w:t>$</w:t>
            </w:r>
            <w:r w:rsidR="00A426C4">
              <w:t>130</w:t>
            </w:r>
          </w:p>
        </w:tc>
      </w:tr>
      <w:tr w:rsidR="00A426C4" w:rsidRPr="0052607D" w:rsidTr="00A426C4">
        <w:trPr>
          <w:jc w:val="center"/>
        </w:trPr>
        <w:tc>
          <w:tcPr>
            <w:tcW w:w="0" w:type="auto"/>
            <w:vAlign w:val="center"/>
          </w:tcPr>
          <w:p w:rsidR="00A426C4" w:rsidRPr="0052607D" w:rsidRDefault="00A426C4" w:rsidP="00A426C4">
            <w:pPr>
              <w:spacing w:after="0"/>
              <w:jc w:val="center"/>
              <w:rPr>
                <w:b/>
              </w:rPr>
            </w:pPr>
            <w:r w:rsidRPr="0052607D">
              <w:rPr>
                <w:b/>
              </w:rPr>
              <w:t>Totals</w:t>
            </w:r>
            <w:r w:rsidR="0052607D" w:rsidRPr="0052607D">
              <w:rPr>
                <w:b/>
              </w:rPr>
              <w:t xml:space="preserve"> (thousands)</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874</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505</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564</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534</w:t>
            </w:r>
          </w:p>
        </w:tc>
      </w:tr>
      <w:tr w:rsidR="00A426C4" w:rsidTr="00A426C4">
        <w:trPr>
          <w:jc w:val="center"/>
        </w:trPr>
        <w:tc>
          <w:tcPr>
            <w:tcW w:w="0" w:type="auto"/>
            <w:gridSpan w:val="5"/>
            <w:vAlign w:val="center"/>
          </w:tcPr>
          <w:p w:rsidR="00A426C4" w:rsidRDefault="00A426C4" w:rsidP="00A426C4">
            <w:pPr>
              <w:spacing w:after="0"/>
              <w:jc w:val="left"/>
            </w:pPr>
            <w:r>
              <w:t>Source:  PPL EU Report Fact Edit</w:t>
            </w:r>
          </w:p>
        </w:tc>
      </w:tr>
    </w:tbl>
    <w:p w:rsidR="00A426C4" w:rsidRDefault="00A426C4" w:rsidP="00A426C4">
      <w:pPr>
        <w:pStyle w:val="Normal-aftertable"/>
      </w:pPr>
      <w:r>
        <w:t>PPL EU charges to affiliates for facilities services decreased $340 thousand, or 39% from 2012 through 2015.</w:t>
      </w:r>
    </w:p>
    <w:p w:rsidR="00A426C4" w:rsidRDefault="00A426C4" w:rsidP="00A426C4">
      <w:pPr>
        <w:pStyle w:val="Normal-aftertable"/>
      </w:pPr>
      <w:r>
        <w:t>In addition, PPL EU charged LG&amp;E $76 thousand for mutual aid assistance for one storm in 2015.  PPL EU charged KU $148 thousand for mutual aid assistance for one storm in 2015.</w:t>
      </w:r>
    </w:p>
    <w:p w:rsidR="00A426C4" w:rsidRDefault="00A426C4" w:rsidP="00A426C4">
      <w:pPr>
        <w:pStyle w:val="Normal-aftertable"/>
      </w:pPr>
      <w:r>
        <w:t>The amounts of Infrastructure payments to PPL EU were not reported.</w:t>
      </w:r>
    </w:p>
    <w:p w:rsidR="00D10053" w:rsidRDefault="00D10053">
      <w:pPr>
        <w:spacing w:after="0"/>
        <w:jc w:val="left"/>
        <w:rPr>
          <w:rFonts w:ascii="Arial Bold" w:hAnsi="Arial Bold"/>
          <w:b/>
          <w:caps/>
        </w:rPr>
      </w:pPr>
      <w:r>
        <w:br w:type="page"/>
      </w:r>
    </w:p>
    <w:p w:rsidR="00A426C4" w:rsidRDefault="00A426C4" w:rsidP="005123A6">
      <w:pPr>
        <w:pStyle w:val="Heading-forToC"/>
      </w:pPr>
      <w:bookmarkStart w:id="64" w:name="_Toc464551992"/>
      <w:r>
        <w:lastRenderedPageBreak/>
        <w:t>findings</w:t>
      </w:r>
      <w:bookmarkEnd w:id="64"/>
    </w:p>
    <w:p w:rsidR="00A426C4" w:rsidRDefault="00A426C4" w:rsidP="004F00E5">
      <w:pPr>
        <w:pStyle w:val="Findings"/>
        <w:numPr>
          <w:ilvl w:val="0"/>
          <w:numId w:val="69"/>
        </w:numPr>
      </w:pPr>
      <w:r>
        <w:t xml:space="preserve">PPL EU has substantial payments to affiliated service companies and they increased dramatically in 2015. </w:t>
      </w:r>
    </w:p>
    <w:p w:rsidR="00A426C4" w:rsidRDefault="00A426C4" w:rsidP="00A426C4">
      <w:r>
        <w:t>The following table summarizes PPL EU’s payments to affiliated service companies from 2012 through 2015.</w:t>
      </w:r>
    </w:p>
    <w:p w:rsidR="00A426C4" w:rsidRDefault="00356110" w:rsidP="00356110">
      <w:pPr>
        <w:pStyle w:val="Caption"/>
      </w:pPr>
      <w:bookmarkStart w:id="65" w:name="_Toc464552955"/>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12</w:t>
      </w:r>
      <w:r w:rsidR="00CB2B2A">
        <w:rPr>
          <w:noProof/>
        </w:rPr>
        <w:fldChar w:fldCharType="end"/>
      </w:r>
      <w:r w:rsidR="00D10053">
        <w:br/>
      </w:r>
      <w:r w:rsidR="00A426C4">
        <w:t>PPL EU Payments to Affiliate Service Companies</w:t>
      </w:r>
      <w:bookmarkEnd w:id="65"/>
      <w:r w:rsidR="00A426C4">
        <w:t xml:space="preserve"> </w:t>
      </w:r>
    </w:p>
    <w:tbl>
      <w:tblPr>
        <w:tblStyle w:val="TableGrid"/>
        <w:tblW w:w="0" w:type="auto"/>
        <w:jc w:val="center"/>
        <w:tblLook w:val="04A0"/>
      </w:tblPr>
      <w:tblGrid>
        <w:gridCol w:w="2564"/>
        <w:gridCol w:w="1218"/>
        <w:gridCol w:w="1218"/>
        <w:gridCol w:w="1218"/>
        <w:gridCol w:w="1218"/>
      </w:tblGrid>
      <w:tr w:rsidR="00A426C4" w:rsidRPr="006304A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Pr>
                <w:b/>
              </w:rPr>
              <w:t>Affiliate</w:t>
            </w:r>
          </w:p>
        </w:tc>
        <w:tc>
          <w:tcPr>
            <w:tcW w:w="0" w:type="auto"/>
            <w:shd w:val="clear" w:color="auto" w:fill="A5CD7E"/>
            <w:vAlign w:val="center"/>
          </w:tcPr>
          <w:p w:rsidR="00A426C4" w:rsidRPr="00C61898" w:rsidRDefault="00A426C4" w:rsidP="006304A4">
            <w:pPr>
              <w:spacing w:before="120"/>
              <w:jc w:val="center"/>
              <w:rPr>
                <w:b/>
              </w:rPr>
            </w:pPr>
            <w:r w:rsidRPr="00C61898">
              <w:rPr>
                <w:b/>
              </w:rPr>
              <w:t>2012</w:t>
            </w:r>
          </w:p>
        </w:tc>
        <w:tc>
          <w:tcPr>
            <w:tcW w:w="0" w:type="auto"/>
            <w:shd w:val="clear" w:color="auto" w:fill="A5CD7E"/>
            <w:vAlign w:val="center"/>
          </w:tcPr>
          <w:p w:rsidR="00A426C4" w:rsidRPr="00C61898" w:rsidRDefault="00A426C4" w:rsidP="006304A4">
            <w:pPr>
              <w:spacing w:before="120"/>
              <w:jc w:val="center"/>
              <w:rPr>
                <w:b/>
              </w:rPr>
            </w:pPr>
            <w:r w:rsidRPr="00C61898">
              <w:rPr>
                <w:b/>
              </w:rPr>
              <w:t>2013</w:t>
            </w:r>
          </w:p>
        </w:tc>
        <w:tc>
          <w:tcPr>
            <w:tcW w:w="0" w:type="auto"/>
            <w:shd w:val="clear" w:color="auto" w:fill="A5CD7E"/>
            <w:vAlign w:val="center"/>
          </w:tcPr>
          <w:p w:rsidR="00A426C4" w:rsidRPr="00C61898" w:rsidRDefault="00A426C4" w:rsidP="006304A4">
            <w:pPr>
              <w:spacing w:before="120"/>
              <w:jc w:val="center"/>
              <w:rPr>
                <w:b/>
              </w:rPr>
            </w:pPr>
            <w:r w:rsidRPr="00C61898">
              <w:rPr>
                <w:b/>
              </w:rPr>
              <w:t>2014</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r>
              <w:rPr>
                <w:b/>
              </w:rPr>
              <w:t xml:space="preserve"> </w:t>
            </w:r>
          </w:p>
        </w:tc>
      </w:tr>
      <w:tr w:rsidR="00A426C4" w:rsidTr="00A426C4">
        <w:trPr>
          <w:jc w:val="center"/>
        </w:trPr>
        <w:tc>
          <w:tcPr>
            <w:tcW w:w="0" w:type="auto"/>
            <w:vAlign w:val="center"/>
          </w:tcPr>
          <w:p w:rsidR="00A426C4" w:rsidRDefault="00A426C4" w:rsidP="00A426C4">
            <w:pPr>
              <w:spacing w:after="0"/>
              <w:jc w:val="center"/>
            </w:pPr>
            <w:r>
              <w:t>PPL SC</w:t>
            </w:r>
            <w:r w:rsidR="0052607D">
              <w:t xml:space="preserve"> (thousands)</w:t>
            </w:r>
          </w:p>
        </w:tc>
        <w:tc>
          <w:tcPr>
            <w:tcW w:w="0" w:type="auto"/>
            <w:vAlign w:val="center"/>
          </w:tcPr>
          <w:p w:rsidR="00A426C4" w:rsidRPr="0073627A" w:rsidRDefault="0052607D" w:rsidP="00A426C4">
            <w:pPr>
              <w:spacing w:after="0"/>
              <w:jc w:val="right"/>
            </w:pPr>
            <w:r>
              <w:t>$</w:t>
            </w:r>
            <w:r w:rsidR="00A426C4" w:rsidRPr="0073627A">
              <w:t>156,034</w:t>
            </w:r>
          </w:p>
        </w:tc>
        <w:tc>
          <w:tcPr>
            <w:tcW w:w="0" w:type="auto"/>
            <w:vAlign w:val="center"/>
          </w:tcPr>
          <w:p w:rsidR="00A426C4" w:rsidRPr="0073627A" w:rsidRDefault="0052607D" w:rsidP="00A426C4">
            <w:pPr>
              <w:spacing w:after="0"/>
              <w:jc w:val="right"/>
            </w:pPr>
            <w:r>
              <w:t>$</w:t>
            </w:r>
            <w:r w:rsidR="00A426C4" w:rsidRPr="0073627A">
              <w:t>146,108</w:t>
            </w:r>
          </w:p>
        </w:tc>
        <w:tc>
          <w:tcPr>
            <w:tcW w:w="0" w:type="auto"/>
            <w:vAlign w:val="center"/>
          </w:tcPr>
          <w:p w:rsidR="00A426C4" w:rsidRPr="0073627A" w:rsidRDefault="0052607D" w:rsidP="00A426C4">
            <w:pPr>
              <w:spacing w:after="0"/>
              <w:jc w:val="right"/>
            </w:pPr>
            <w:r>
              <w:t>$</w:t>
            </w:r>
            <w:r w:rsidR="00A426C4" w:rsidRPr="0073627A">
              <w:t>151,068</w:t>
            </w:r>
          </w:p>
        </w:tc>
        <w:tc>
          <w:tcPr>
            <w:tcW w:w="0" w:type="auto"/>
            <w:vAlign w:val="center"/>
          </w:tcPr>
          <w:p w:rsidR="00A426C4" w:rsidRPr="0073627A" w:rsidRDefault="0052607D" w:rsidP="00A426C4">
            <w:pPr>
              <w:spacing w:after="0"/>
              <w:jc w:val="right"/>
            </w:pPr>
            <w:r>
              <w:t>$</w:t>
            </w:r>
            <w:r w:rsidR="00A426C4">
              <w:t>125,032</w:t>
            </w:r>
          </w:p>
        </w:tc>
      </w:tr>
      <w:tr w:rsidR="00A426C4" w:rsidTr="00A426C4">
        <w:trPr>
          <w:jc w:val="center"/>
        </w:trPr>
        <w:tc>
          <w:tcPr>
            <w:tcW w:w="0" w:type="auto"/>
            <w:vAlign w:val="center"/>
          </w:tcPr>
          <w:p w:rsidR="00A426C4" w:rsidRDefault="00A426C4" w:rsidP="00A426C4">
            <w:pPr>
              <w:spacing w:after="0"/>
              <w:jc w:val="center"/>
            </w:pPr>
            <w:r>
              <w:t>PPL EUS</w:t>
            </w:r>
            <w:r w:rsidR="0052607D">
              <w:t xml:space="preserve"> (thousands)</w:t>
            </w:r>
          </w:p>
        </w:tc>
        <w:tc>
          <w:tcPr>
            <w:tcW w:w="0" w:type="auto"/>
            <w:vAlign w:val="center"/>
          </w:tcPr>
          <w:p w:rsidR="00A426C4" w:rsidRPr="0073627A" w:rsidRDefault="00A426C4" w:rsidP="00A426C4">
            <w:pPr>
              <w:spacing w:after="0"/>
              <w:jc w:val="right"/>
            </w:pPr>
            <w:r>
              <w:t>0</w:t>
            </w:r>
          </w:p>
        </w:tc>
        <w:tc>
          <w:tcPr>
            <w:tcW w:w="0" w:type="auto"/>
            <w:vAlign w:val="center"/>
          </w:tcPr>
          <w:p w:rsidR="00A426C4" w:rsidRPr="0073627A" w:rsidRDefault="00A426C4" w:rsidP="00A426C4">
            <w:pPr>
              <w:spacing w:after="0"/>
              <w:jc w:val="right"/>
            </w:pPr>
            <w:r>
              <w:t>0</w:t>
            </w:r>
          </w:p>
        </w:tc>
        <w:tc>
          <w:tcPr>
            <w:tcW w:w="0" w:type="auto"/>
            <w:vAlign w:val="center"/>
          </w:tcPr>
          <w:p w:rsidR="00A426C4" w:rsidRPr="0073627A" w:rsidRDefault="00A426C4" w:rsidP="00A426C4">
            <w:pPr>
              <w:spacing w:after="0"/>
              <w:jc w:val="right"/>
            </w:pPr>
            <w:r>
              <w:t>0</w:t>
            </w:r>
          </w:p>
        </w:tc>
        <w:tc>
          <w:tcPr>
            <w:tcW w:w="0" w:type="auto"/>
            <w:vAlign w:val="center"/>
          </w:tcPr>
          <w:p w:rsidR="00A426C4" w:rsidRPr="0073627A" w:rsidRDefault="0052607D" w:rsidP="00A426C4">
            <w:pPr>
              <w:spacing w:after="0"/>
              <w:jc w:val="right"/>
            </w:pPr>
            <w:r>
              <w:t>$</w:t>
            </w:r>
            <w:r w:rsidR="00A426C4">
              <w:t>59,936</w:t>
            </w:r>
          </w:p>
        </w:tc>
      </w:tr>
      <w:tr w:rsidR="00A426C4" w:rsidRPr="0052607D" w:rsidTr="00A426C4">
        <w:trPr>
          <w:jc w:val="center"/>
        </w:trPr>
        <w:tc>
          <w:tcPr>
            <w:tcW w:w="0" w:type="auto"/>
            <w:vAlign w:val="center"/>
          </w:tcPr>
          <w:p w:rsidR="00A426C4" w:rsidRPr="0052607D" w:rsidRDefault="00A426C4" w:rsidP="00A426C4">
            <w:pPr>
              <w:spacing w:after="0"/>
              <w:jc w:val="center"/>
              <w:rPr>
                <w:b/>
              </w:rPr>
            </w:pPr>
            <w:r w:rsidRPr="0052607D">
              <w:rPr>
                <w:b/>
              </w:rPr>
              <w:t>Totals</w:t>
            </w:r>
            <w:r w:rsidR="0052607D" w:rsidRPr="0052607D">
              <w:rPr>
                <w:b/>
              </w:rPr>
              <w:t xml:space="preserve"> (thousands)</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156,034</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146,108</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151,068</w:t>
            </w:r>
          </w:p>
        </w:tc>
        <w:tc>
          <w:tcPr>
            <w:tcW w:w="0" w:type="auto"/>
            <w:vAlign w:val="center"/>
          </w:tcPr>
          <w:p w:rsidR="00A426C4" w:rsidRPr="0052607D" w:rsidRDefault="0052607D" w:rsidP="00A426C4">
            <w:pPr>
              <w:spacing w:after="0"/>
              <w:jc w:val="right"/>
              <w:rPr>
                <w:b/>
              </w:rPr>
            </w:pPr>
            <w:r w:rsidRPr="0052607D">
              <w:rPr>
                <w:b/>
              </w:rPr>
              <w:t>$</w:t>
            </w:r>
            <w:r w:rsidR="00A426C4" w:rsidRPr="0052607D">
              <w:rPr>
                <w:b/>
              </w:rPr>
              <w:t>184,968</w:t>
            </w:r>
          </w:p>
        </w:tc>
      </w:tr>
      <w:tr w:rsidR="00A426C4" w:rsidTr="00A426C4">
        <w:trPr>
          <w:jc w:val="center"/>
        </w:trPr>
        <w:tc>
          <w:tcPr>
            <w:tcW w:w="0" w:type="auto"/>
            <w:gridSpan w:val="5"/>
            <w:vAlign w:val="center"/>
          </w:tcPr>
          <w:p w:rsidR="00A426C4" w:rsidRDefault="00A426C4" w:rsidP="00A426C4">
            <w:pPr>
              <w:spacing w:after="0"/>
              <w:jc w:val="left"/>
            </w:pPr>
            <w:r>
              <w:t>Source:  Summaries of prior tables</w:t>
            </w:r>
          </w:p>
        </w:tc>
      </w:tr>
    </w:tbl>
    <w:p w:rsidR="00A426C4" w:rsidRDefault="00A426C4" w:rsidP="00A426C4">
      <w:pPr>
        <w:pStyle w:val="Normal-aftertable"/>
      </w:pPr>
      <w:r>
        <w:t xml:space="preserve">PPL EU payments to affiliate service companies increased $33.9 million, or 22% from 2014 to 2015.  2015 is the year in which PPL EUS began operations and when the Talen spinoff occurred.  </w:t>
      </w:r>
    </w:p>
    <w:p w:rsidR="00A426C4" w:rsidRPr="00A92E26" w:rsidRDefault="00A426C4" w:rsidP="00A426C4">
      <w:pPr>
        <w:pStyle w:val="Normal-aftertable"/>
      </w:pPr>
      <w:r>
        <w:t>The increase in 2015 payments can be partially explained by the transfer of Regulatory Affairs from PPL EU to PPL EUS.  Additionally, the increase includes $6 million higher PPL SC d</w:t>
      </w:r>
      <w:r w:rsidRPr="004E7BCF">
        <w:t>epreciation</w:t>
      </w:r>
      <w:r>
        <w:t xml:space="preserve"> charges</w:t>
      </w:r>
      <w:r w:rsidRPr="004E7BCF">
        <w:t xml:space="preserve"> as a result of </w:t>
      </w:r>
      <w:r>
        <w:t xml:space="preserve">PPL </w:t>
      </w:r>
      <w:r w:rsidRPr="004E7BCF">
        <w:t xml:space="preserve">EU receiving a higher percentage of shared assets as a result of the Talen spinoff.  </w:t>
      </w:r>
      <w:r>
        <w:t>Further, $23 million higher PPL SC direct and indirect charges are</w:t>
      </w:r>
      <w:r w:rsidRPr="004E7BCF">
        <w:t xml:space="preserve"> primarily due to the higher percentages of cha</w:t>
      </w:r>
      <w:r>
        <w:t>rges going to PPL EU</w:t>
      </w:r>
      <w:r w:rsidRPr="004E7BCF">
        <w:t xml:space="preserve"> as a result of the Talen spinoff.</w:t>
      </w:r>
    </w:p>
    <w:p w:rsidR="00A426C4" w:rsidRDefault="00A426C4" w:rsidP="0011052F">
      <w:pPr>
        <w:pStyle w:val="Findings"/>
      </w:pPr>
      <w:r>
        <w:t>PPL EU transactions with the non-service company affiliates are not regularly tracked and documented.</w:t>
      </w:r>
    </w:p>
    <w:p w:rsidR="00A426C4" w:rsidRDefault="00A426C4" w:rsidP="00A426C4">
      <w:r>
        <w:t>PPL EU had great difficulty in identifying payment and receipt trends to and from affiliates other than PPL SC and PPL EUS.  It is a good practice to track and report all affiliate payments by service on an annual basis.</w:t>
      </w:r>
    </w:p>
    <w:p w:rsidR="00A426C4" w:rsidRDefault="00A426C4" w:rsidP="0011052F">
      <w:pPr>
        <w:pStyle w:val="Findings"/>
      </w:pPr>
      <w:r>
        <w:t xml:space="preserve">Indirect charges as a percentage of total charges by PPL SC to PPL EU increased significantly in 2015. </w:t>
      </w:r>
    </w:p>
    <w:p w:rsidR="00A426C4" w:rsidRDefault="00A426C4" w:rsidP="00A426C4">
      <w:r>
        <w:t>The following table summarized the direct to indirect charge ratio from PPL SC to PPL</w:t>
      </w:r>
      <w:r w:rsidR="001A7B05">
        <w:t> </w:t>
      </w:r>
      <w:r>
        <w:t>EU.</w:t>
      </w:r>
    </w:p>
    <w:p w:rsidR="00A426C4" w:rsidRDefault="00356110" w:rsidP="00356110">
      <w:pPr>
        <w:pStyle w:val="Caption"/>
      </w:pPr>
      <w:bookmarkStart w:id="66" w:name="_Toc464552956"/>
      <w:r>
        <w:t xml:space="preserve">Exhibit </w:t>
      </w:r>
      <w:r w:rsidR="00CB2B2A">
        <w:fldChar w:fldCharType="begin"/>
      </w:r>
      <w:r w:rsidR="00EC053E">
        <w:instrText xml:space="preserve"> STYLEREF 1 \s </w:instrText>
      </w:r>
      <w:r w:rsidR="00CB2B2A">
        <w:fldChar w:fldCharType="separate"/>
      </w:r>
      <w:r w:rsidR="00CA3BDB">
        <w:rPr>
          <w:noProof/>
        </w:rPr>
        <w:t>IV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13</w:t>
      </w:r>
      <w:r w:rsidR="00CB2B2A">
        <w:rPr>
          <w:noProof/>
        </w:rPr>
        <w:fldChar w:fldCharType="end"/>
      </w:r>
      <w:r w:rsidR="00D10053">
        <w:br/>
      </w:r>
      <w:r w:rsidR="00A426C4">
        <w:t>PPL SC Direct and Indirect Charges to PPL EU</w:t>
      </w:r>
      <w:bookmarkEnd w:id="66"/>
      <w:r w:rsidR="00A426C4">
        <w:t xml:space="preserve"> </w:t>
      </w:r>
    </w:p>
    <w:tbl>
      <w:tblPr>
        <w:tblStyle w:val="TableGrid"/>
        <w:tblW w:w="0" w:type="auto"/>
        <w:jc w:val="center"/>
        <w:tblLook w:val="04A0"/>
      </w:tblPr>
      <w:tblGrid>
        <w:gridCol w:w="4098"/>
        <w:gridCol w:w="1218"/>
        <w:gridCol w:w="1218"/>
        <w:gridCol w:w="1218"/>
        <w:gridCol w:w="1218"/>
      </w:tblGrid>
      <w:tr w:rsidR="00A426C4" w:rsidRPr="006304A4" w:rsidTr="00A426C4">
        <w:trPr>
          <w:cantSplit/>
          <w:tblHeader/>
          <w:jc w:val="center"/>
        </w:trPr>
        <w:tc>
          <w:tcPr>
            <w:tcW w:w="0" w:type="auto"/>
            <w:shd w:val="clear" w:color="auto" w:fill="A5CD7E"/>
            <w:vAlign w:val="center"/>
          </w:tcPr>
          <w:p w:rsidR="00A426C4" w:rsidRPr="00C61898" w:rsidRDefault="00A426C4" w:rsidP="006304A4">
            <w:pPr>
              <w:spacing w:before="120"/>
              <w:jc w:val="center"/>
              <w:rPr>
                <w:b/>
              </w:rPr>
            </w:pPr>
            <w:r>
              <w:rPr>
                <w:b/>
              </w:rPr>
              <w:t>Type of Charge</w:t>
            </w:r>
          </w:p>
        </w:tc>
        <w:tc>
          <w:tcPr>
            <w:tcW w:w="0" w:type="auto"/>
            <w:shd w:val="clear" w:color="auto" w:fill="A5CD7E"/>
            <w:vAlign w:val="center"/>
          </w:tcPr>
          <w:p w:rsidR="00A426C4" w:rsidRPr="00C61898" w:rsidRDefault="00A426C4" w:rsidP="006304A4">
            <w:pPr>
              <w:spacing w:before="120"/>
              <w:jc w:val="center"/>
              <w:rPr>
                <w:b/>
              </w:rPr>
            </w:pPr>
            <w:r w:rsidRPr="00C61898">
              <w:rPr>
                <w:b/>
              </w:rPr>
              <w:t>2012</w:t>
            </w:r>
          </w:p>
        </w:tc>
        <w:tc>
          <w:tcPr>
            <w:tcW w:w="0" w:type="auto"/>
            <w:shd w:val="clear" w:color="auto" w:fill="A5CD7E"/>
            <w:vAlign w:val="center"/>
          </w:tcPr>
          <w:p w:rsidR="00A426C4" w:rsidRPr="00C61898" w:rsidRDefault="00A426C4" w:rsidP="006304A4">
            <w:pPr>
              <w:spacing w:before="120"/>
              <w:jc w:val="center"/>
              <w:rPr>
                <w:b/>
              </w:rPr>
            </w:pPr>
            <w:r w:rsidRPr="00C61898">
              <w:rPr>
                <w:b/>
              </w:rPr>
              <w:t>2013</w:t>
            </w:r>
          </w:p>
        </w:tc>
        <w:tc>
          <w:tcPr>
            <w:tcW w:w="0" w:type="auto"/>
            <w:shd w:val="clear" w:color="auto" w:fill="A5CD7E"/>
            <w:vAlign w:val="center"/>
          </w:tcPr>
          <w:p w:rsidR="00A426C4" w:rsidRPr="00C61898" w:rsidRDefault="00A426C4" w:rsidP="006304A4">
            <w:pPr>
              <w:spacing w:before="120"/>
              <w:jc w:val="center"/>
              <w:rPr>
                <w:b/>
              </w:rPr>
            </w:pPr>
            <w:r w:rsidRPr="00C61898">
              <w:rPr>
                <w:b/>
              </w:rPr>
              <w:t>2014</w:t>
            </w:r>
          </w:p>
        </w:tc>
        <w:tc>
          <w:tcPr>
            <w:tcW w:w="0" w:type="auto"/>
            <w:shd w:val="clear" w:color="auto" w:fill="A5CD7E"/>
            <w:vAlign w:val="center"/>
          </w:tcPr>
          <w:p w:rsidR="00A426C4" w:rsidRPr="00C61898" w:rsidRDefault="00A426C4" w:rsidP="006304A4">
            <w:pPr>
              <w:spacing w:before="120"/>
              <w:jc w:val="center"/>
              <w:rPr>
                <w:b/>
              </w:rPr>
            </w:pPr>
            <w:r w:rsidRPr="00C61898">
              <w:rPr>
                <w:b/>
              </w:rPr>
              <w:t>2015</w:t>
            </w:r>
            <w:r>
              <w:rPr>
                <w:b/>
              </w:rPr>
              <w:t xml:space="preserve"> </w:t>
            </w:r>
          </w:p>
        </w:tc>
      </w:tr>
      <w:tr w:rsidR="00A426C4" w:rsidTr="00A426C4">
        <w:trPr>
          <w:jc w:val="center"/>
        </w:trPr>
        <w:tc>
          <w:tcPr>
            <w:tcW w:w="0" w:type="auto"/>
            <w:vAlign w:val="center"/>
          </w:tcPr>
          <w:p w:rsidR="00A426C4" w:rsidRDefault="00A426C4" w:rsidP="00A426C4">
            <w:pPr>
              <w:spacing w:after="0"/>
              <w:jc w:val="center"/>
            </w:pPr>
            <w:r>
              <w:t>Direct</w:t>
            </w:r>
            <w:r w:rsidR="0052607D">
              <w:t xml:space="preserve"> (thousands)</w:t>
            </w:r>
          </w:p>
        </w:tc>
        <w:tc>
          <w:tcPr>
            <w:tcW w:w="0" w:type="auto"/>
            <w:vAlign w:val="center"/>
          </w:tcPr>
          <w:p w:rsidR="00A426C4" w:rsidRDefault="0052607D" w:rsidP="00A426C4">
            <w:pPr>
              <w:spacing w:after="0"/>
              <w:jc w:val="center"/>
            </w:pPr>
            <w:r>
              <w:t>$</w:t>
            </w:r>
            <w:r w:rsidR="00A426C4">
              <w:t>94,763</w:t>
            </w:r>
          </w:p>
        </w:tc>
        <w:tc>
          <w:tcPr>
            <w:tcW w:w="0" w:type="auto"/>
            <w:vAlign w:val="center"/>
          </w:tcPr>
          <w:p w:rsidR="00A426C4" w:rsidRDefault="0052607D" w:rsidP="00A426C4">
            <w:pPr>
              <w:spacing w:after="0"/>
              <w:jc w:val="center"/>
            </w:pPr>
            <w:r>
              <w:t>$</w:t>
            </w:r>
            <w:r w:rsidR="00A426C4">
              <w:t>87,065</w:t>
            </w:r>
          </w:p>
        </w:tc>
        <w:tc>
          <w:tcPr>
            <w:tcW w:w="0" w:type="auto"/>
            <w:vAlign w:val="center"/>
          </w:tcPr>
          <w:p w:rsidR="00A426C4" w:rsidRDefault="0052607D" w:rsidP="00A426C4">
            <w:pPr>
              <w:spacing w:after="0"/>
              <w:jc w:val="center"/>
            </w:pPr>
            <w:r>
              <w:t>$</w:t>
            </w:r>
            <w:r w:rsidR="00A426C4">
              <w:t>89,214</w:t>
            </w:r>
          </w:p>
        </w:tc>
        <w:tc>
          <w:tcPr>
            <w:tcW w:w="0" w:type="auto"/>
            <w:vAlign w:val="center"/>
          </w:tcPr>
          <w:p w:rsidR="00A426C4" w:rsidRDefault="0052607D" w:rsidP="00A426C4">
            <w:pPr>
              <w:spacing w:after="0"/>
              <w:jc w:val="center"/>
            </w:pPr>
            <w:r>
              <w:t>$</w:t>
            </w:r>
            <w:r w:rsidR="00A426C4">
              <w:t>55,319</w:t>
            </w:r>
          </w:p>
        </w:tc>
      </w:tr>
      <w:tr w:rsidR="00A426C4" w:rsidTr="00A426C4">
        <w:trPr>
          <w:jc w:val="center"/>
        </w:trPr>
        <w:tc>
          <w:tcPr>
            <w:tcW w:w="0" w:type="auto"/>
            <w:vAlign w:val="center"/>
          </w:tcPr>
          <w:p w:rsidR="00A426C4" w:rsidRDefault="00A426C4" w:rsidP="00A426C4">
            <w:pPr>
              <w:spacing w:after="0"/>
              <w:jc w:val="center"/>
            </w:pPr>
            <w:r>
              <w:t>Indirect</w:t>
            </w:r>
            <w:r w:rsidR="0052607D">
              <w:t xml:space="preserve"> (thousands)</w:t>
            </w:r>
          </w:p>
        </w:tc>
        <w:tc>
          <w:tcPr>
            <w:tcW w:w="0" w:type="auto"/>
            <w:vAlign w:val="center"/>
          </w:tcPr>
          <w:p w:rsidR="00A426C4" w:rsidRDefault="0052607D" w:rsidP="00A426C4">
            <w:pPr>
              <w:spacing w:after="0"/>
              <w:jc w:val="center"/>
            </w:pPr>
            <w:r>
              <w:t>$</w:t>
            </w:r>
            <w:r w:rsidR="00A426C4">
              <w:t>53,896</w:t>
            </w:r>
          </w:p>
        </w:tc>
        <w:tc>
          <w:tcPr>
            <w:tcW w:w="0" w:type="auto"/>
            <w:vAlign w:val="center"/>
          </w:tcPr>
          <w:p w:rsidR="00A426C4" w:rsidRDefault="0052607D" w:rsidP="00A426C4">
            <w:pPr>
              <w:spacing w:after="0"/>
              <w:jc w:val="center"/>
            </w:pPr>
            <w:r>
              <w:t>$</w:t>
            </w:r>
            <w:r w:rsidR="00A426C4">
              <w:t>48,665</w:t>
            </w:r>
          </w:p>
        </w:tc>
        <w:tc>
          <w:tcPr>
            <w:tcW w:w="0" w:type="auto"/>
            <w:vAlign w:val="center"/>
          </w:tcPr>
          <w:p w:rsidR="00A426C4" w:rsidRDefault="0052607D" w:rsidP="00A426C4">
            <w:pPr>
              <w:spacing w:after="0"/>
              <w:jc w:val="center"/>
            </w:pPr>
            <w:r>
              <w:t>$</w:t>
            </w:r>
            <w:r w:rsidR="00A426C4">
              <w:t>47,300</w:t>
            </w:r>
          </w:p>
        </w:tc>
        <w:tc>
          <w:tcPr>
            <w:tcW w:w="0" w:type="auto"/>
            <w:vAlign w:val="center"/>
          </w:tcPr>
          <w:p w:rsidR="00A426C4" w:rsidRDefault="0052607D" w:rsidP="00A426C4">
            <w:pPr>
              <w:spacing w:after="0"/>
              <w:jc w:val="center"/>
            </w:pPr>
            <w:r>
              <w:t>$</w:t>
            </w:r>
            <w:r w:rsidR="00A426C4">
              <w:t>49,004</w:t>
            </w:r>
          </w:p>
        </w:tc>
      </w:tr>
      <w:tr w:rsidR="00A426C4" w:rsidTr="00A426C4">
        <w:trPr>
          <w:jc w:val="center"/>
        </w:trPr>
        <w:tc>
          <w:tcPr>
            <w:tcW w:w="0" w:type="auto"/>
            <w:vAlign w:val="center"/>
          </w:tcPr>
          <w:p w:rsidR="00A426C4" w:rsidRDefault="00A426C4" w:rsidP="00A426C4">
            <w:pPr>
              <w:spacing w:after="0"/>
              <w:jc w:val="center"/>
            </w:pPr>
            <w:r>
              <w:t>Total Direct and Indirect</w:t>
            </w:r>
            <w:r w:rsidR="0052607D">
              <w:t xml:space="preserve"> (thousands)</w:t>
            </w:r>
          </w:p>
        </w:tc>
        <w:tc>
          <w:tcPr>
            <w:tcW w:w="0" w:type="auto"/>
            <w:vAlign w:val="center"/>
          </w:tcPr>
          <w:p w:rsidR="00A426C4" w:rsidRDefault="0052607D" w:rsidP="00A426C4">
            <w:pPr>
              <w:spacing w:after="0"/>
              <w:jc w:val="center"/>
            </w:pPr>
            <w:r>
              <w:t>$</w:t>
            </w:r>
            <w:r w:rsidR="00A426C4">
              <w:t>148,659</w:t>
            </w:r>
          </w:p>
        </w:tc>
        <w:tc>
          <w:tcPr>
            <w:tcW w:w="0" w:type="auto"/>
            <w:vAlign w:val="center"/>
          </w:tcPr>
          <w:p w:rsidR="00A426C4" w:rsidRDefault="0052607D" w:rsidP="00A426C4">
            <w:pPr>
              <w:spacing w:after="0"/>
              <w:jc w:val="center"/>
            </w:pPr>
            <w:r>
              <w:t>$</w:t>
            </w:r>
            <w:r w:rsidR="00A426C4">
              <w:t>135,730</w:t>
            </w:r>
          </w:p>
        </w:tc>
        <w:tc>
          <w:tcPr>
            <w:tcW w:w="0" w:type="auto"/>
            <w:vAlign w:val="center"/>
          </w:tcPr>
          <w:p w:rsidR="00A426C4" w:rsidRDefault="0052607D" w:rsidP="00A426C4">
            <w:pPr>
              <w:spacing w:after="0"/>
              <w:jc w:val="center"/>
            </w:pPr>
            <w:r>
              <w:t>$</w:t>
            </w:r>
            <w:r w:rsidR="00A426C4">
              <w:t>136,514</w:t>
            </w:r>
          </w:p>
        </w:tc>
        <w:tc>
          <w:tcPr>
            <w:tcW w:w="0" w:type="auto"/>
            <w:vAlign w:val="center"/>
          </w:tcPr>
          <w:p w:rsidR="00A426C4" w:rsidRDefault="0052607D" w:rsidP="00A426C4">
            <w:pPr>
              <w:spacing w:after="0"/>
              <w:jc w:val="center"/>
            </w:pPr>
            <w:r>
              <w:t>$</w:t>
            </w:r>
            <w:r w:rsidR="00A426C4">
              <w:t>104,323</w:t>
            </w:r>
          </w:p>
        </w:tc>
      </w:tr>
      <w:tr w:rsidR="00A426C4" w:rsidTr="00A426C4">
        <w:trPr>
          <w:jc w:val="center"/>
        </w:trPr>
        <w:tc>
          <w:tcPr>
            <w:tcW w:w="0" w:type="auto"/>
            <w:vAlign w:val="center"/>
          </w:tcPr>
          <w:p w:rsidR="00A426C4" w:rsidRPr="00FB691E" w:rsidRDefault="00A426C4" w:rsidP="00A426C4">
            <w:pPr>
              <w:spacing w:after="0"/>
              <w:jc w:val="center"/>
              <w:rPr>
                <w:b/>
              </w:rPr>
            </w:pPr>
            <w:r w:rsidRPr="00FB691E">
              <w:rPr>
                <w:b/>
              </w:rPr>
              <w:t xml:space="preserve">Percent </w:t>
            </w:r>
            <w:r>
              <w:rPr>
                <w:b/>
              </w:rPr>
              <w:t>Ind</w:t>
            </w:r>
            <w:r w:rsidRPr="00FB691E">
              <w:rPr>
                <w:b/>
              </w:rPr>
              <w:t>irect</w:t>
            </w:r>
            <w:r w:rsidR="0052607D">
              <w:t xml:space="preserve"> </w:t>
            </w:r>
          </w:p>
        </w:tc>
        <w:tc>
          <w:tcPr>
            <w:tcW w:w="0" w:type="auto"/>
            <w:vAlign w:val="center"/>
          </w:tcPr>
          <w:p w:rsidR="00A426C4" w:rsidRPr="00FB691E" w:rsidRDefault="00A426C4" w:rsidP="00A426C4">
            <w:pPr>
              <w:spacing w:after="0"/>
              <w:jc w:val="center"/>
              <w:rPr>
                <w:b/>
              </w:rPr>
            </w:pPr>
            <w:r>
              <w:rPr>
                <w:b/>
              </w:rPr>
              <w:t>36.3%</w:t>
            </w:r>
          </w:p>
        </w:tc>
        <w:tc>
          <w:tcPr>
            <w:tcW w:w="0" w:type="auto"/>
            <w:vAlign w:val="center"/>
          </w:tcPr>
          <w:p w:rsidR="00A426C4" w:rsidRPr="00FB691E" w:rsidRDefault="00A426C4" w:rsidP="00A426C4">
            <w:pPr>
              <w:spacing w:after="0"/>
              <w:jc w:val="center"/>
              <w:rPr>
                <w:b/>
              </w:rPr>
            </w:pPr>
            <w:r>
              <w:rPr>
                <w:b/>
              </w:rPr>
              <w:t>35.9%</w:t>
            </w:r>
          </w:p>
        </w:tc>
        <w:tc>
          <w:tcPr>
            <w:tcW w:w="0" w:type="auto"/>
            <w:vAlign w:val="center"/>
          </w:tcPr>
          <w:p w:rsidR="00A426C4" w:rsidRPr="00FB691E" w:rsidRDefault="00A426C4" w:rsidP="00A426C4">
            <w:pPr>
              <w:spacing w:after="0"/>
              <w:jc w:val="center"/>
              <w:rPr>
                <w:b/>
              </w:rPr>
            </w:pPr>
            <w:r>
              <w:rPr>
                <w:b/>
              </w:rPr>
              <w:t>34.6%</w:t>
            </w:r>
          </w:p>
        </w:tc>
        <w:tc>
          <w:tcPr>
            <w:tcW w:w="0" w:type="auto"/>
            <w:vAlign w:val="center"/>
          </w:tcPr>
          <w:p w:rsidR="00A426C4" w:rsidRPr="00FB691E" w:rsidRDefault="00A426C4" w:rsidP="00A426C4">
            <w:pPr>
              <w:spacing w:after="0"/>
              <w:jc w:val="center"/>
              <w:rPr>
                <w:b/>
              </w:rPr>
            </w:pPr>
            <w:r>
              <w:rPr>
                <w:b/>
              </w:rPr>
              <w:t>47.0%</w:t>
            </w:r>
          </w:p>
        </w:tc>
      </w:tr>
      <w:tr w:rsidR="00A426C4" w:rsidTr="00A426C4">
        <w:trPr>
          <w:jc w:val="center"/>
        </w:trPr>
        <w:tc>
          <w:tcPr>
            <w:tcW w:w="0" w:type="auto"/>
            <w:gridSpan w:val="5"/>
            <w:vAlign w:val="center"/>
          </w:tcPr>
          <w:p w:rsidR="00A426C4" w:rsidRDefault="00A426C4" w:rsidP="00A426C4">
            <w:pPr>
              <w:spacing w:after="0"/>
              <w:jc w:val="left"/>
            </w:pPr>
            <w:r>
              <w:t>Source:  Analysis of prior tables</w:t>
            </w:r>
          </w:p>
        </w:tc>
      </w:tr>
    </w:tbl>
    <w:p w:rsidR="00A426C4" w:rsidRDefault="00A426C4" w:rsidP="00A426C4">
      <w:pPr>
        <w:pStyle w:val="Normal-aftertable"/>
      </w:pPr>
      <w:r>
        <w:lastRenderedPageBreak/>
        <w:t xml:space="preserve">Indirect charges as a percentage of total charges increased from an average of approximately 35% from 2012 to 2014 to approximately 47% in 2015.  Facilities Management and Supply Chain were transferred to PPL EUS from PPL SC in 2015.  These two departments have predominately direct charges.  Additionally, storm insurance, a direct charge, was discontinued.  For affiliate relationships, direct charges are preferred over indirect charges as they provide more transparency of cost causation.  </w:t>
      </w:r>
    </w:p>
    <w:p w:rsidR="00A426C4" w:rsidRDefault="00A426C4" w:rsidP="0011052F">
      <w:pPr>
        <w:pStyle w:val="Findings"/>
      </w:pPr>
      <w:r>
        <w:t>The PPL EUS actual charges to PPL EU in 2015 were substantially over budget.</w:t>
      </w:r>
    </w:p>
    <w:p w:rsidR="00A426C4" w:rsidRDefault="00A426C4" w:rsidP="00A426C4">
      <w:r>
        <w:t>The 2015 budgeted charges from PPL EUS to PPL EU were $44 million.  The actual charges were $60 million.  All categories of charges were significantly over budget except Finance and Regulatory Affairs, which was under budget.  Supply Chain was budgeted under PPL SC but was transferred to PPL EUS in 2015.  This accounts for a large part of the budget to actual variance in this department.</w:t>
      </w:r>
    </w:p>
    <w:p w:rsidR="00A426C4" w:rsidRDefault="00A426C4" w:rsidP="005123A6">
      <w:pPr>
        <w:pStyle w:val="Heading-forToC"/>
      </w:pPr>
      <w:bookmarkStart w:id="67" w:name="_Toc464551993"/>
      <w:r>
        <w:t>recommendationS</w:t>
      </w:r>
      <w:bookmarkEnd w:id="67"/>
    </w:p>
    <w:p w:rsidR="00A426C4" w:rsidRDefault="00A426C4" w:rsidP="004F00E5">
      <w:pPr>
        <w:pStyle w:val="Findings"/>
        <w:numPr>
          <w:ilvl w:val="0"/>
          <w:numId w:val="70"/>
        </w:numPr>
      </w:pPr>
      <w:r>
        <w:t>Track and document all PPL EU affiliate transactions.  (See Finding 2)</w:t>
      </w:r>
    </w:p>
    <w:p w:rsidR="00A426C4" w:rsidRDefault="00A426C4" w:rsidP="00A426C4">
      <w:r>
        <w:t xml:space="preserve">Develop and implement an annual report summarizing PPL EU payments to and from each affiliate by service.  This will provide visibility of PPL EU’s affiliate relationship and transactions trends and allow early identification of potential problems. </w:t>
      </w:r>
    </w:p>
    <w:p w:rsidR="00A426C4" w:rsidRDefault="00A426C4" w:rsidP="009A3E36">
      <w:pPr>
        <w:pStyle w:val="Findings"/>
        <w:keepNext/>
      </w:pPr>
      <w:r>
        <w:t>Implement controls to increase the amount of PPL SC direct charges and decrease the amount of indirect charges to PPL EU.  (See Finding 3)</w:t>
      </w:r>
    </w:p>
    <w:p w:rsidR="00A426C4" w:rsidRDefault="00A426C4" w:rsidP="00A426C4">
      <w:r>
        <w:t xml:space="preserve">PPL SC charges to PPL EU should be primarily on direct time charges for services and rates reflecting cost causation for program type services. </w:t>
      </w:r>
    </w:p>
    <w:p w:rsidR="00A426C4" w:rsidRDefault="00A426C4" w:rsidP="0011052F">
      <w:pPr>
        <w:pStyle w:val="Findings"/>
      </w:pPr>
      <w:r>
        <w:t xml:space="preserve">Analyze the 2015 increase in PPL EU payment amounts to the service companies and reduce the amounts paid going forward.  (See Finding 1 and 4) </w:t>
      </w:r>
    </w:p>
    <w:p w:rsidR="00A426C4" w:rsidRDefault="00A426C4">
      <w:r>
        <w:t>The increase in payment amounts to service companies is troubling in that the services provided did not change substantially from 2014 to 2015.  The Talen spinoff and the creation of PPL EUS in 2015 may have led to the increase in total PPL EU payment amounts to service companies in 2015.</w:t>
      </w:r>
    </w:p>
    <w:p w:rsidR="00A426C4" w:rsidRDefault="00A426C4" w:rsidP="00A426C4">
      <w:pPr>
        <w:pStyle w:val="Normal-aftertable"/>
      </w:pPr>
      <w:r w:rsidRPr="00B06289">
        <w:rPr>
          <w:rFonts w:cs="Arial"/>
          <w:szCs w:val="24"/>
        </w:rPr>
        <w:t>Prior to the spinoff, PPL Energy Supply</w:t>
      </w:r>
      <w:r w:rsidR="00763DEA">
        <w:rPr>
          <w:rFonts w:cs="Arial"/>
          <w:szCs w:val="24"/>
        </w:rPr>
        <w:t>, LLC</w:t>
      </w:r>
      <w:r w:rsidRPr="00B06289">
        <w:rPr>
          <w:rFonts w:cs="Arial"/>
          <w:szCs w:val="24"/>
        </w:rPr>
        <w:t xml:space="preserve"> was charged $75 million of indirect costs and $110 million of direct costs per year</w:t>
      </w:r>
      <w:r>
        <w:rPr>
          <w:rFonts w:cs="Arial"/>
          <w:szCs w:val="24"/>
        </w:rPr>
        <w:t xml:space="preserve"> by PPL SC</w:t>
      </w:r>
      <w:r w:rsidRPr="00B06289">
        <w:rPr>
          <w:rFonts w:cs="Arial"/>
          <w:szCs w:val="24"/>
        </w:rPr>
        <w:t>.  The $110 million of direct costs was acceptable</w:t>
      </w:r>
      <w:r>
        <w:rPr>
          <w:rFonts w:cs="Arial"/>
          <w:szCs w:val="24"/>
        </w:rPr>
        <w:t xml:space="preserve"> to Talen at the spinoff</w:t>
      </w:r>
      <w:r w:rsidRPr="00B06289">
        <w:rPr>
          <w:rFonts w:cs="Arial"/>
          <w:szCs w:val="24"/>
        </w:rPr>
        <w:t xml:space="preserve"> but Talen would not accept all of the $75 million of indirect costs.  Therefore, a large cost reduction effort was required in PPL SC and PPL EUS after the spinoff in order to protect PPL Corporation’s earnings per share.  The amount of overhead cost reductions required to achieve earnings per share calculat</w:t>
      </w:r>
      <w:r>
        <w:rPr>
          <w:rFonts w:cs="Arial"/>
          <w:szCs w:val="24"/>
        </w:rPr>
        <w:t>ion was</w:t>
      </w:r>
      <w:r w:rsidRPr="00B06289">
        <w:rPr>
          <w:rFonts w:cs="Arial"/>
          <w:szCs w:val="24"/>
        </w:rPr>
        <w:t xml:space="preserve"> calculated a</w:t>
      </w:r>
      <w:r>
        <w:rPr>
          <w:rFonts w:cs="Arial"/>
          <w:szCs w:val="24"/>
        </w:rPr>
        <w:t>nd the cost reductions were undertaken</w:t>
      </w:r>
      <w:r w:rsidRPr="00B06289">
        <w:rPr>
          <w:rFonts w:cs="Arial"/>
          <w:szCs w:val="24"/>
        </w:rPr>
        <w:t>.</w:t>
      </w:r>
      <w:r>
        <w:rPr>
          <w:rFonts w:cs="Arial"/>
          <w:szCs w:val="24"/>
        </w:rPr>
        <w:t xml:space="preserve">  However, given the 22% increase in PPL EU payments to service companies in 2015, it appears that not enough overhead cost reductions were achieved to prevent higher payments by PPL EU to its service companies.</w:t>
      </w:r>
      <w:r w:rsidRPr="00B06289">
        <w:rPr>
          <w:rFonts w:cs="Arial"/>
          <w:szCs w:val="24"/>
        </w:rPr>
        <w:t xml:space="preserve"> </w:t>
      </w:r>
    </w:p>
    <w:p w:rsidR="00A426C4" w:rsidRDefault="00A426C4" w:rsidP="00D10053">
      <w:pPr>
        <w:pStyle w:val="Findings"/>
        <w:keepNext/>
      </w:pPr>
      <w:r>
        <w:lastRenderedPageBreak/>
        <w:t>Analyze the 2015 negative budget variances for charges from PPL EUS to PPL EU and implement measures to prevent recurrence.  (See Finding 4)</w:t>
      </w:r>
    </w:p>
    <w:p w:rsidR="00A426C4" w:rsidRDefault="00A426C4" w:rsidP="00A426C4">
      <w:r>
        <w:t xml:space="preserve">While 2015 was the first year for PPL EUS, the services provided were largely simply transferred from PPL SC and the budgeting should have been reasonably accurate.  The large variances in 2015 are troubling and should be investigated. </w:t>
      </w:r>
    </w:p>
    <w:p w:rsidR="00A426C4" w:rsidRDefault="00A426C4" w:rsidP="004F00E5">
      <w:pPr>
        <w:pStyle w:val="Heading2"/>
        <w:numPr>
          <w:ilvl w:val="0"/>
          <w:numId w:val="104"/>
        </w:numPr>
      </w:pPr>
      <w:bookmarkStart w:id="68" w:name="_Toc464551994"/>
      <w:r>
        <w:t>service level agreements WITH AFFILIATES</w:t>
      </w:r>
      <w:bookmarkEnd w:id="68"/>
    </w:p>
    <w:p w:rsidR="00A426C4" w:rsidRDefault="00A426C4" w:rsidP="005123A6">
      <w:pPr>
        <w:pStyle w:val="Heading-forToC"/>
      </w:pPr>
      <w:bookmarkStart w:id="69" w:name="_Toc464551995"/>
      <w:r>
        <w:t>background</w:t>
      </w:r>
      <w:bookmarkEnd w:id="69"/>
    </w:p>
    <w:p w:rsidR="00A426C4" w:rsidRDefault="00A426C4" w:rsidP="00A426C4">
      <w:r>
        <w:t xml:space="preserve">The Pennsylvania Public Utility Code Section 2102 (a) says that no contract or arrangement with an affiliate is valid and effective unless it has received the written authorization of the commission.  Section 2102 (b) requires that the utility file a copy of every contract or arrangement with an affiliate except in situations where the amount of consideration involved is not in excess of $10,000 (or 5% of the par value of outstanding common stock, if smaller) as defined in Section 2102 (d).  Section 2102(d) also provides that “where the Commission has given its approval generally to a class or category of transactions, the Commission may apply such approval to all subsidiary or related transactions.  Such transactions shall be valid or effective without Commission approval under this section.”  Essentially, the Code requires that PPL EU file and have approved by the PUC the contract or arrangement with each affiliate, unless immaterial (i.e., not in excess of $10,000 as specified in Section 2102 (d)).  </w:t>
      </w:r>
    </w:p>
    <w:p w:rsidR="00A426C4" w:rsidRDefault="00A426C4" w:rsidP="00A426C4">
      <w:r>
        <w:t>In response to requests for all PPL EU contracts with affiliates (commonly referred to as Service Level Agreements or SLAs), PPL EU provided four:</w:t>
      </w:r>
    </w:p>
    <w:p w:rsidR="00A426C4" w:rsidRDefault="00A426C4" w:rsidP="00A426C4">
      <w:pPr>
        <w:pStyle w:val="Bullet"/>
      </w:pPr>
      <w:r>
        <w:t>Services Agreement between PPL Corporation and PPL EU dated November 1, 2014</w:t>
      </w:r>
      <w:r w:rsidRPr="00D6313B">
        <w:t xml:space="preserve"> </w:t>
      </w:r>
    </w:p>
    <w:p w:rsidR="00A426C4" w:rsidRDefault="00A426C4" w:rsidP="00A426C4">
      <w:pPr>
        <w:pStyle w:val="Bullet"/>
      </w:pPr>
      <w:r>
        <w:t>Utility Services Agreement between Kentucky Utilities Company d/b/a Old Dominion Power Company and PPL EU dated October 21, 2013</w:t>
      </w:r>
      <w:r w:rsidRPr="00D6313B">
        <w:t xml:space="preserve"> </w:t>
      </w:r>
    </w:p>
    <w:p w:rsidR="00A426C4" w:rsidRDefault="00A426C4" w:rsidP="00A426C4">
      <w:pPr>
        <w:pStyle w:val="Bullet"/>
      </w:pPr>
      <w:r>
        <w:t>Assignment and Assumption Agreement between PPL Telcom, LLC and PPL Infrastructure Services, LLC that includes as Attachment A the Wireless Right of Use Agreement between PPL Telcom, LLC and PPL EU</w:t>
      </w:r>
    </w:p>
    <w:p w:rsidR="00A426C4" w:rsidRDefault="00A426C4" w:rsidP="00A426C4">
      <w:pPr>
        <w:pStyle w:val="Bullet"/>
      </w:pPr>
      <w:r>
        <w:t>Various contracts with PPLSolutions</w:t>
      </w:r>
    </w:p>
    <w:p w:rsidR="00A426C4" w:rsidRDefault="00A426C4" w:rsidP="00A426C4">
      <w:pPr>
        <w:pStyle w:val="Normal-aftertable"/>
      </w:pPr>
      <w:r>
        <w:t xml:space="preserve">Each provided PPL EU contract with an affiliate is described below.  </w:t>
      </w:r>
    </w:p>
    <w:p w:rsidR="00A426C4" w:rsidRDefault="00A426C4" w:rsidP="00A426C4">
      <w:pPr>
        <w:pStyle w:val="Heading40"/>
      </w:pPr>
      <w:r>
        <w:t>Services Agreement between PPL Corporation and PPL EU</w:t>
      </w:r>
      <w:r w:rsidRPr="00D6313B">
        <w:t xml:space="preserve"> </w:t>
      </w:r>
    </w:p>
    <w:p w:rsidR="00A426C4" w:rsidRDefault="00A426C4" w:rsidP="00A426C4">
      <w:r>
        <w:t>This Services Agreement betw</w:t>
      </w:r>
      <w:r w:rsidRPr="00B023D6">
        <w:t>e</w:t>
      </w:r>
      <w:r>
        <w:t>en PPL Corporation and PPL EU dated November 1, 2014 supersedes a 1995 agreement and is seven pages long.    Key features of the agreement include:</w:t>
      </w:r>
    </w:p>
    <w:p w:rsidR="00A426C4" w:rsidRDefault="00A426C4" w:rsidP="00A426C4">
      <w:pPr>
        <w:pStyle w:val="Bullet"/>
      </w:pPr>
      <w:r>
        <w:t>Covers services from both PPL Corporation and PPL EU on an as-available, as-needed basis.</w:t>
      </w:r>
    </w:p>
    <w:p w:rsidR="00A426C4" w:rsidRDefault="00A426C4" w:rsidP="00A426C4">
      <w:pPr>
        <w:pStyle w:val="Bullet"/>
      </w:pPr>
      <w:r>
        <w:t xml:space="preserve">The scope of services from PPL Corporation to PPL EU and vice versa includes virtually any possible service.   </w:t>
      </w:r>
    </w:p>
    <w:p w:rsidR="00A426C4" w:rsidRDefault="00A426C4" w:rsidP="00A426C4">
      <w:pPr>
        <w:pStyle w:val="Bullet"/>
      </w:pPr>
      <w:r>
        <w:t>No set amount of services is specified or required.</w:t>
      </w:r>
    </w:p>
    <w:p w:rsidR="00A426C4" w:rsidRDefault="00A426C4" w:rsidP="00A426C4">
      <w:pPr>
        <w:pStyle w:val="Bullet"/>
      </w:pPr>
      <w:r>
        <w:t>Both parties may procure the services from third-party suppliers.</w:t>
      </w:r>
    </w:p>
    <w:p w:rsidR="00A426C4" w:rsidRDefault="00A426C4" w:rsidP="00A426C4">
      <w:pPr>
        <w:pStyle w:val="Bullet"/>
      </w:pPr>
      <w:r>
        <w:lastRenderedPageBreak/>
        <w:t>Pricing is based on “direct assignment to the affiliate receiving the service to the extent reasonably possible.”  “Direct assignment” is not defined in the agreement.</w:t>
      </w:r>
    </w:p>
    <w:p w:rsidR="00A426C4" w:rsidRDefault="00A426C4" w:rsidP="00A426C4">
      <w:pPr>
        <w:pStyle w:val="Bullet"/>
      </w:pPr>
      <w:r>
        <w:t xml:space="preserve">If direct assignment is not possible, cost will be allocated on a “reasonable approximation of the costs attributable to each party.”  </w:t>
      </w:r>
    </w:p>
    <w:p w:rsidR="00A426C4" w:rsidRDefault="00A426C4" w:rsidP="00A426C4">
      <w:pPr>
        <w:pStyle w:val="Bullet"/>
      </w:pPr>
      <w:r>
        <w:t xml:space="preserve">However, cost allocation is then specified as using a three factor methodology of equally weighted invested capital, operation and maintenance expense, and number of employees, each as relative to its affiliates. </w:t>
      </w:r>
    </w:p>
    <w:p w:rsidR="00A426C4" w:rsidRDefault="00A426C4" w:rsidP="00A426C4">
      <w:pPr>
        <w:pStyle w:val="Bullet"/>
      </w:pPr>
      <w:r>
        <w:t>Subsidiaries with an average multi-factor allocation rate of less than one percent will not receive an allocation.</w:t>
      </w:r>
    </w:p>
    <w:p w:rsidR="00A426C4" w:rsidRDefault="00A426C4" w:rsidP="00A426C4">
      <w:pPr>
        <w:pStyle w:val="Bullet"/>
      </w:pPr>
      <w:r>
        <w:t>PPL Corporation’s and its subsidiaries’ Support Groups each will exclude from cost allocation subsidiaries that do not benefit from its services.</w:t>
      </w:r>
    </w:p>
    <w:p w:rsidR="00A426C4" w:rsidRDefault="00A426C4" w:rsidP="00A426C4">
      <w:pPr>
        <w:pStyle w:val="Bullet"/>
      </w:pPr>
      <w:r>
        <w:t>Support Groups cost allocations among PPL subsidiaries will be at the average multi-factor allocation percentage unless the Support Group determines that one or more subsidiaries should be excluded from the allocation because they do not benefit from the services for which the costs are being allocated.</w:t>
      </w:r>
    </w:p>
    <w:p w:rsidR="00A426C4" w:rsidRDefault="00A426C4" w:rsidP="00A426C4">
      <w:pPr>
        <w:pStyle w:val="Bullet"/>
      </w:pPr>
      <w:r>
        <w:t>“PPL Corporation” includes all subsidiary and affiliated companies [e.g., PPL SC and PPL EUS] except PPL EU and LKE and its subsidiaries.</w:t>
      </w:r>
    </w:p>
    <w:p w:rsidR="00A426C4" w:rsidRDefault="00A426C4" w:rsidP="00A426C4">
      <w:pPr>
        <w:pStyle w:val="Bullet"/>
      </w:pPr>
      <w:r>
        <w:t>PPL EU will file a current list of PPL Corporation subsidiaries with the PUC annually and new subsidiaries will be subject to the Services Agreement.</w:t>
      </w:r>
    </w:p>
    <w:p w:rsidR="00A426C4" w:rsidRDefault="00A426C4" w:rsidP="00A426C4">
      <w:pPr>
        <w:pStyle w:val="Bullet"/>
      </w:pPr>
      <w:r>
        <w:t>LKE and all of its subsidiaries are not a part of the agreement and if services are shared between LKE or its subsidiaries and PPL EU, a separate affiliate agreement will be filed.</w:t>
      </w:r>
    </w:p>
    <w:p w:rsidR="00A426C4" w:rsidRDefault="00A426C4" w:rsidP="00A426C4">
      <w:pPr>
        <w:pStyle w:val="Bullet"/>
      </w:pPr>
      <w:r>
        <w:t>Billing will be on a monthly or more frequent basis.  Payment terms are not specified.</w:t>
      </w:r>
    </w:p>
    <w:p w:rsidR="00A426C4" w:rsidRDefault="00A426C4" w:rsidP="00A426C4">
      <w:pPr>
        <w:pStyle w:val="Normal-aftertable"/>
      </w:pPr>
      <w:r>
        <w:t>The agreement has no provision for selling goods or services at market price or any other price than at cost for non-federally regulated prices.  The agreement is signed by different representatives from PPL Corporation and PPL EU.</w:t>
      </w:r>
      <w:r w:rsidRPr="00D6313B">
        <w:t xml:space="preserve"> </w:t>
      </w:r>
      <w:r>
        <w:t>The agreement was approved by the Pennsylvania PUC on October 14, 2014 at Docket Number G-2012-2323356.</w:t>
      </w:r>
    </w:p>
    <w:p w:rsidR="00A426C4" w:rsidRDefault="00A426C4" w:rsidP="00A426C4">
      <w:pPr>
        <w:pStyle w:val="Heading40"/>
      </w:pPr>
      <w:r>
        <w:t>Utility Services Agreement between Kentucky Utilities Company (Doing Business as Old Dominion Power Company) and PPL EU</w:t>
      </w:r>
    </w:p>
    <w:p w:rsidR="00A426C4" w:rsidRDefault="00A426C4" w:rsidP="00A426C4">
      <w:r>
        <w:t xml:space="preserve">This Utility Services Agreement between Kentucky Utilities Company, doing business as Old Dominion Power Company and PPL EU is dated October 21, 2013.  This is a four page mutual aid agreement for emergency assistance.  The agreement does not require that aid be rendered and the Responding Company may refuse the request.  When utilized, the Requesting Company will reimburse the Responding Company for all costs incurred.  The costs will include fully loaded labor costs, documented expenses, equipment use at standard rates, and administrative and general costs allocable to the emergency assistance and not included in other charges.  The agreement was approved by the Pennsylvania PUC on September 26, 2013. </w:t>
      </w:r>
    </w:p>
    <w:p w:rsidR="00A426C4" w:rsidRDefault="00A426C4" w:rsidP="00A426C4">
      <w:pPr>
        <w:pStyle w:val="Heading40"/>
      </w:pPr>
      <w:r>
        <w:lastRenderedPageBreak/>
        <w:t xml:space="preserve">Assignment and Assumption Agreement between PPL Telcom, LLC and PPL Infrastructure Services, LLC that includes as Attachment </w:t>
      </w:r>
      <w:proofErr w:type="gramStart"/>
      <w:r>
        <w:t>A</w:t>
      </w:r>
      <w:proofErr w:type="gramEnd"/>
      <w:r>
        <w:t xml:space="preserve"> the Wireless Right of Use Agreement between PPL Telcom, LLC and PPL EU</w:t>
      </w:r>
    </w:p>
    <w:p w:rsidR="00A426C4" w:rsidRDefault="00A426C4" w:rsidP="00A426C4">
      <w:r>
        <w:t xml:space="preserve">Assignment and Assumption Agreement between PPL Telcom, LLC and PPL Infrastructure Services, LLC that includes as Attachment A the Wireless Right of Use Agreement between PPL Telcom, LLC and PPL EU.  </w:t>
      </w:r>
      <w:r w:rsidRPr="003E4E43">
        <w:t>PPL</w:t>
      </w:r>
      <w:r>
        <w:t xml:space="preserve"> EU</w:t>
      </w:r>
      <w:r w:rsidRPr="003E4E43">
        <w:t xml:space="preserve"> did not seek approval</w:t>
      </w:r>
      <w:r>
        <w:t xml:space="preserve"> of this agreement by the PUC</w:t>
      </w:r>
      <w:r w:rsidRPr="003E4E43">
        <w:t xml:space="preserve"> because the interests being transferred were not public utility property and the affiliate transaction was </w:t>
      </w:r>
      <w:r>
        <w:t xml:space="preserve">considered to be </w:t>
      </w:r>
      <w:r w:rsidRPr="003E4E43">
        <w:t>covered by the umbrella agreement.</w:t>
      </w:r>
      <w:r>
        <w:t xml:space="preserve"> </w:t>
      </w:r>
    </w:p>
    <w:p w:rsidR="00A426C4" w:rsidRDefault="00A426C4" w:rsidP="00A426C4">
      <w:pPr>
        <w:pStyle w:val="Heading40"/>
      </w:pPr>
      <w:r>
        <w:t xml:space="preserve">Various Contracts and Amendments with PPLSolutions </w:t>
      </w:r>
    </w:p>
    <w:p w:rsidR="00A426C4" w:rsidRDefault="00A426C4" w:rsidP="00A426C4">
      <w:r>
        <w:t>Several contracts and amendments were provided covering arrangements between PPL EU and PPLSolutions.  These include:</w:t>
      </w:r>
    </w:p>
    <w:p w:rsidR="00A426C4" w:rsidRDefault="00A426C4" w:rsidP="00992348">
      <w:pPr>
        <w:pStyle w:val="Bullet"/>
      </w:pPr>
      <w:r>
        <w:t>Services Agreement between PPLSolutions and PPL SC dated October 31, 2004.</w:t>
      </w:r>
    </w:p>
    <w:p w:rsidR="00A426C4" w:rsidRDefault="00A426C4" w:rsidP="00992348">
      <w:pPr>
        <w:pStyle w:val="Bullet"/>
      </w:pPr>
      <w:r>
        <w:t>Amendment Number One to the Services Agreement dated December 20, 2007 between PPLSolutions and PPL SC</w:t>
      </w:r>
    </w:p>
    <w:p w:rsidR="00A426C4" w:rsidRDefault="00A426C4" w:rsidP="00992348">
      <w:pPr>
        <w:pStyle w:val="Bullet"/>
      </w:pPr>
      <w:r>
        <w:t>Amendment Number Two to the Services Agreement dated July 31, 2013 between PPLSolutions and PPL SC</w:t>
      </w:r>
    </w:p>
    <w:p w:rsidR="00A426C4" w:rsidRDefault="00A426C4" w:rsidP="00992348">
      <w:pPr>
        <w:pStyle w:val="Bullet"/>
      </w:pPr>
      <w:r>
        <w:t>Amendment Number Three to the Services Agreement dated June 3, 2015 between PPL EU and PPL SC</w:t>
      </w:r>
    </w:p>
    <w:p w:rsidR="00A426C4" w:rsidRDefault="00A426C4" w:rsidP="00992348">
      <w:pPr>
        <w:pStyle w:val="Bullet"/>
      </w:pPr>
      <w:r>
        <w:t>Call Center Services Agreement between PPL EU and PPLSolutions dated April 10, 2013</w:t>
      </w:r>
    </w:p>
    <w:p w:rsidR="00A426C4" w:rsidRDefault="00A426C4" w:rsidP="00992348">
      <w:pPr>
        <w:pStyle w:val="Bullet"/>
      </w:pPr>
      <w:r>
        <w:t>Call Center Services Agreement Amendment Number 1 dated April 22, 2014 and the PUC approval.</w:t>
      </w:r>
    </w:p>
    <w:p w:rsidR="00A426C4" w:rsidRDefault="00A426C4" w:rsidP="00992348">
      <w:pPr>
        <w:pStyle w:val="Bullet"/>
      </w:pPr>
      <w:r>
        <w:t>Contract for the Eligible Customer List Opt Out program between PPL EU and PPLSolutions dated March 6, 2015</w:t>
      </w:r>
    </w:p>
    <w:p w:rsidR="00A426C4" w:rsidRDefault="00A426C4" w:rsidP="00992348">
      <w:pPr>
        <w:pStyle w:val="Bullet"/>
      </w:pPr>
      <w:r>
        <w:t xml:space="preserve">Contract for Care Center Services between PPL EU and PPLSolutions dated October 14, 2015 </w:t>
      </w:r>
    </w:p>
    <w:p w:rsidR="00A426C4" w:rsidRDefault="00A426C4" w:rsidP="00992348">
      <w:pPr>
        <w:pStyle w:val="Bullet"/>
      </w:pPr>
      <w:r>
        <w:t xml:space="preserve">Contract for Care Center Services between PPL EU and PPLSolutions dated December 21, 2015 for $9 million </w:t>
      </w:r>
    </w:p>
    <w:p w:rsidR="00A426C4" w:rsidRDefault="00A426C4" w:rsidP="00A426C4">
      <w:pPr>
        <w:pStyle w:val="Normal-aftertable"/>
      </w:pPr>
      <w:r>
        <w:t xml:space="preserve">Between amendments one and two to the Services agreement the PPLSolutions counterparty changed from PPL SC to PPL EU.   </w:t>
      </w:r>
    </w:p>
    <w:p w:rsidR="00A426C4" w:rsidRDefault="00A426C4" w:rsidP="00A426C4">
      <w:r>
        <w:t>None of the PPL EU contracts with PPLSolutions included documentation establishing the basis of the pricing as cost or market.</w:t>
      </w:r>
    </w:p>
    <w:p w:rsidR="00A426C4" w:rsidRDefault="00A426C4" w:rsidP="005123A6">
      <w:pPr>
        <w:pStyle w:val="Heading-forToC"/>
      </w:pPr>
      <w:bookmarkStart w:id="70" w:name="_Toc464551996"/>
      <w:r>
        <w:t>findings</w:t>
      </w:r>
      <w:bookmarkEnd w:id="70"/>
    </w:p>
    <w:p w:rsidR="00A426C4" w:rsidRDefault="00A426C4" w:rsidP="004F00E5">
      <w:pPr>
        <w:pStyle w:val="Findings"/>
        <w:numPr>
          <w:ilvl w:val="0"/>
          <w:numId w:val="71"/>
        </w:numPr>
      </w:pPr>
      <w:r>
        <w:t>It is impractical to have one service level agreement cover all of the affiliate relationships.</w:t>
      </w:r>
    </w:p>
    <w:p w:rsidR="00A426C4" w:rsidRDefault="00A426C4" w:rsidP="00A426C4">
      <w:r>
        <w:t xml:space="preserve">The Services Agreement between PPL Corporation and PPL EU covers all of PPL EU’s affiliate relationships with all of PPL Corporation’s subsidiaries except LKE and its subsidiaries.  A proper service level agreement (SLA) specifies the details of the affiliate relationship, including services </w:t>
      </w:r>
      <w:proofErr w:type="gramStart"/>
      <w:r>
        <w:t>provided,</w:t>
      </w:r>
      <w:proofErr w:type="gramEnd"/>
      <w:r>
        <w:t xml:space="preserve"> service level standards, how the services will </w:t>
      </w:r>
      <w:r>
        <w:lastRenderedPageBreak/>
        <w:t>be priced and billed, and how the agreement will be governed.  PPL EU has affiliate relationships with multiple organizations providing a wide variety of services.  It would be more useful and appropriate to have complete service level agreements with each affiliate that cover all of the necessary information as the current Services Agreement does not cover all of the SLA good practices mentioned above.</w:t>
      </w:r>
    </w:p>
    <w:p w:rsidR="00A426C4" w:rsidRDefault="00A426C4" w:rsidP="0011052F">
      <w:pPr>
        <w:pStyle w:val="Findings"/>
      </w:pPr>
      <w:r>
        <w:t>The PPL Corporation and PPL EU Services Agreement does not allow for “market priced” affiliate transactions yet some transactions appear to be market priced.</w:t>
      </w:r>
    </w:p>
    <w:p w:rsidR="00A426C4" w:rsidRDefault="00A426C4" w:rsidP="00A426C4">
      <w:r>
        <w:t>As described in more depth in Section F, Pricing of Affiliate Transactions, the pricing of some affiliates sales to PPL EU is not clear.  However, it appears that some of the transactions may be at a “market price” or at some price other than cost.  These include:</w:t>
      </w:r>
    </w:p>
    <w:p w:rsidR="00A426C4" w:rsidRDefault="00A426C4" w:rsidP="00A426C4">
      <w:pPr>
        <w:pStyle w:val="Bullet"/>
      </w:pPr>
      <w:r>
        <w:t xml:space="preserve">PPLSolutions services to PPL EU </w:t>
      </w:r>
    </w:p>
    <w:p w:rsidR="00A426C4" w:rsidRDefault="00A426C4" w:rsidP="00A426C4">
      <w:pPr>
        <w:pStyle w:val="Bullet"/>
      </w:pPr>
      <w:r>
        <w:t>Rent charged by PPL EU to affiliates</w:t>
      </w:r>
    </w:p>
    <w:p w:rsidR="00A426C4" w:rsidRDefault="00A426C4" w:rsidP="00A426C4">
      <w:pPr>
        <w:pStyle w:val="Bullet"/>
      </w:pPr>
      <w:r>
        <w:t>Infrastructure Services payments to PPL EU for transmission structure attachments</w:t>
      </w:r>
    </w:p>
    <w:p w:rsidR="00A426C4" w:rsidRDefault="00A426C4" w:rsidP="00A426C4">
      <w:pPr>
        <w:pStyle w:val="Bullet"/>
      </w:pPr>
      <w:r>
        <w:t>Power Insurance premiums</w:t>
      </w:r>
    </w:p>
    <w:p w:rsidR="00A426C4" w:rsidRDefault="00A426C4" w:rsidP="00A426C4">
      <w:pPr>
        <w:pStyle w:val="Bullet"/>
      </w:pPr>
      <w:r>
        <w:t>CEP Commerce capital contributions</w:t>
      </w:r>
    </w:p>
    <w:p w:rsidR="00A426C4" w:rsidRDefault="00A426C4" w:rsidP="00992348">
      <w:pPr>
        <w:pStyle w:val="Findings"/>
        <w:spacing w:before="120"/>
      </w:pPr>
      <w:r>
        <w:t>Although PPL EU has mutual aid transactions with its affiliate LG&amp;E, the only LKE mutual aid agreement is with KU doing business as Old Dominion alone.</w:t>
      </w:r>
    </w:p>
    <w:p w:rsidR="00A426C4" w:rsidRDefault="00A426C4" w:rsidP="00A426C4">
      <w:r>
        <w:t>The only mutual aid agreement in effect with the LKE companies is between PPL EU and KU/Old Dominion.  There is no mutual aid agreement with LG&amp;E.</w:t>
      </w:r>
    </w:p>
    <w:p w:rsidR="00A426C4" w:rsidRPr="00CA104B" w:rsidRDefault="00A426C4" w:rsidP="005123A6">
      <w:pPr>
        <w:pStyle w:val="Heading-forToC"/>
      </w:pPr>
      <w:bookmarkStart w:id="71" w:name="_Toc464551997"/>
      <w:r>
        <w:t>recommendations</w:t>
      </w:r>
      <w:bookmarkEnd w:id="71"/>
    </w:p>
    <w:p w:rsidR="00A426C4" w:rsidRDefault="00A426C4" w:rsidP="004F00E5">
      <w:pPr>
        <w:pStyle w:val="Findings"/>
        <w:numPr>
          <w:ilvl w:val="0"/>
          <w:numId w:val="72"/>
        </w:numPr>
      </w:pPr>
      <w:r>
        <w:t>Negotiate comprehensive, arms-length service level agreements for each affiliate relationship and submit them to the PUC for approval.  (See Finding 1)</w:t>
      </w:r>
    </w:p>
    <w:p w:rsidR="00A426C4" w:rsidRDefault="00A426C4" w:rsidP="00A426C4">
      <w:pPr>
        <w:rPr>
          <w:rFonts w:cs="Arial"/>
          <w:szCs w:val="24"/>
        </w:rPr>
      </w:pPr>
      <w:r w:rsidRPr="009B684B">
        <w:rPr>
          <w:rFonts w:cs="Arial"/>
          <w:szCs w:val="24"/>
        </w:rPr>
        <w:t>Establish a separa</w:t>
      </w:r>
      <w:r>
        <w:rPr>
          <w:rFonts w:cs="Arial"/>
          <w:szCs w:val="24"/>
        </w:rPr>
        <w:t>te service level agreement</w:t>
      </w:r>
      <w:r w:rsidRPr="009B684B">
        <w:rPr>
          <w:rFonts w:cs="Arial"/>
          <w:szCs w:val="24"/>
        </w:rPr>
        <w:t xml:space="preserve"> with each affiliate that specifies which services are to be provided</w:t>
      </w:r>
      <w:r>
        <w:rPr>
          <w:rFonts w:cs="Arial"/>
          <w:szCs w:val="24"/>
        </w:rPr>
        <w:t>,</w:t>
      </w:r>
      <w:r w:rsidRPr="009B684B">
        <w:rPr>
          <w:rFonts w:cs="Arial"/>
          <w:szCs w:val="24"/>
        </w:rPr>
        <w:t xml:space="preserve"> at what service level</w:t>
      </w:r>
      <w:r>
        <w:rPr>
          <w:rFonts w:cs="Arial"/>
          <w:szCs w:val="24"/>
        </w:rPr>
        <w:t>,</w:t>
      </w:r>
      <w:r w:rsidRPr="009B684B">
        <w:rPr>
          <w:rFonts w:cs="Arial"/>
          <w:szCs w:val="24"/>
        </w:rPr>
        <w:t xml:space="preserve"> how they will be priced (fully allocated cost or market price)</w:t>
      </w:r>
      <w:r>
        <w:rPr>
          <w:rFonts w:cs="Arial"/>
          <w:szCs w:val="24"/>
        </w:rPr>
        <w:t>,</w:t>
      </w:r>
      <w:r w:rsidRPr="009B684B">
        <w:rPr>
          <w:rFonts w:cs="Arial"/>
          <w:szCs w:val="24"/>
        </w:rPr>
        <w:t xml:space="preserve"> and </w:t>
      </w:r>
      <w:r>
        <w:rPr>
          <w:rFonts w:cs="Arial"/>
          <w:szCs w:val="24"/>
        </w:rPr>
        <w:t xml:space="preserve">how the agreement will be </w:t>
      </w:r>
      <w:r w:rsidRPr="009B684B">
        <w:rPr>
          <w:rFonts w:cs="Arial"/>
          <w:szCs w:val="24"/>
        </w:rPr>
        <w:t>governed.  The SLAs should receive PUC approval in Pennsylvania.</w:t>
      </w:r>
      <w:r>
        <w:rPr>
          <w:rFonts w:cs="Arial"/>
          <w:szCs w:val="24"/>
        </w:rPr>
        <w:t xml:space="preserve"> Failure to receive PUC approval for, or adhere to, affiliate SLAs could result in disallowment of rate recovery for the associated expenses.  There should be one SLA for each affiliate relationship:</w:t>
      </w:r>
    </w:p>
    <w:p w:rsidR="00A426C4" w:rsidRDefault="00A426C4" w:rsidP="00A426C4">
      <w:pPr>
        <w:pStyle w:val="Bullet"/>
      </w:pPr>
      <w:r>
        <w:t xml:space="preserve">PPL Services Corporation </w:t>
      </w:r>
    </w:p>
    <w:p w:rsidR="00A426C4" w:rsidRDefault="00A426C4" w:rsidP="00A426C4">
      <w:pPr>
        <w:pStyle w:val="Bullet"/>
      </w:pPr>
      <w:r>
        <w:t>PPL EU Services Corporation</w:t>
      </w:r>
    </w:p>
    <w:p w:rsidR="00A426C4" w:rsidRDefault="00A426C4" w:rsidP="00A426C4">
      <w:pPr>
        <w:pStyle w:val="Bullet"/>
      </w:pPr>
      <w:r>
        <w:t>PPLSolutions, LLC</w:t>
      </w:r>
    </w:p>
    <w:p w:rsidR="00A426C4" w:rsidRDefault="00A426C4" w:rsidP="00A426C4">
      <w:pPr>
        <w:pStyle w:val="Bullet"/>
      </w:pPr>
      <w:r>
        <w:t>PPL Infrastructure Services, LLC</w:t>
      </w:r>
    </w:p>
    <w:p w:rsidR="00A426C4" w:rsidRDefault="00A426C4" w:rsidP="00A426C4">
      <w:pPr>
        <w:pStyle w:val="Bullet"/>
      </w:pPr>
      <w:r>
        <w:t>PPL Power Insurance Ltd.</w:t>
      </w:r>
    </w:p>
    <w:p w:rsidR="00A426C4" w:rsidRDefault="00A426C4" w:rsidP="00A426C4">
      <w:pPr>
        <w:pStyle w:val="Bullet"/>
      </w:pPr>
      <w:r>
        <w:t xml:space="preserve">CEP Commerce, LLC </w:t>
      </w:r>
    </w:p>
    <w:p w:rsidR="00A426C4" w:rsidRDefault="00A426C4" w:rsidP="00A426C4">
      <w:pPr>
        <w:pStyle w:val="Normal-aftertable"/>
      </w:pPr>
      <w:r>
        <w:lastRenderedPageBreak/>
        <w:t>Once the SLAs have been negotiated and signed, the SLAs should be submitted to the PUC for approval.  Each SLA should be reviewed and updated for any material change and at a minimum of once every three years.</w:t>
      </w:r>
    </w:p>
    <w:p w:rsidR="00A426C4" w:rsidRDefault="00A426C4" w:rsidP="00CF419C">
      <w:pPr>
        <w:pStyle w:val="Findings"/>
        <w:keepNext/>
      </w:pPr>
      <w:r>
        <w:t>Apply asymmetric pricing of affiliate transactions allowing for market pricing of affiliate transactions when it benefits PPL EU.  (See Finding 2)</w:t>
      </w:r>
    </w:p>
    <w:p w:rsidR="00A426C4" w:rsidRDefault="00A426C4" w:rsidP="00A426C4">
      <w:r>
        <w:t>Asymmetric pricing of affiliate transactions is a good practice and the PPL Corporation Cost Allocation Manual includes references to it.  In asymmetric affiliate transaction pricing, prices for affiliate services to PPL EU would be at the lower of cost or market and services provided by PPL EU to affiliates would be priced at the higher of cost or market.  PPL EU charges a market based rent to its affiliate tenants.  This is a good practice.  However, it is unclear if the charges at prices other than cost from affiliates to PPL EU are market prices at all or are lower than actual cost.</w:t>
      </w:r>
    </w:p>
    <w:p w:rsidR="00A426C4" w:rsidRDefault="00A426C4" w:rsidP="00A426C4">
      <w:r>
        <w:t>With the new SLAs to be negotiated with the PPL EU affiliates, the pricing of each type of transaction should be specified and should employ the asymmetric pricing principle.  If a price for a service provided to PPL EU is to be provided at a market price, such as for PPLSolutions and PPL Power Insurance, the price should be supported by robust competition for PPL EU’s business, including a minimum of two unaffiliated qualified vendors.  The selection of a PPL EU affiliate as the lowest total cost option should be clear and the competition for PPL EU’s business should be well-documented.</w:t>
      </w:r>
    </w:p>
    <w:p w:rsidR="00A426C4" w:rsidRDefault="00A426C4" w:rsidP="0011052F">
      <w:pPr>
        <w:pStyle w:val="Findings"/>
      </w:pPr>
      <w:r>
        <w:t>Negotiate a mutual aid agreement with LG&amp;E.  (See Finding 3)</w:t>
      </w:r>
    </w:p>
    <w:p w:rsidR="00A426C4" w:rsidRDefault="00A426C4" w:rsidP="00A426C4">
      <w:r>
        <w:t>Since mutual aid has been rendered between LG&amp;E and PPL EU in the past and may be in the future, a mutual aid agreement with LG&amp;E should be negotiated and submitted for approval by the PUC.</w:t>
      </w:r>
    </w:p>
    <w:p w:rsidR="00A426C4" w:rsidRDefault="00A426C4" w:rsidP="004F00E5">
      <w:pPr>
        <w:pStyle w:val="Heading2"/>
        <w:numPr>
          <w:ilvl w:val="0"/>
          <w:numId w:val="104"/>
        </w:numPr>
      </w:pPr>
      <w:bookmarkStart w:id="72" w:name="_Toc464551998"/>
      <w:r>
        <w:t>standards of integrity</w:t>
      </w:r>
      <w:bookmarkEnd w:id="72"/>
    </w:p>
    <w:p w:rsidR="00A426C4" w:rsidRDefault="00A426C4" w:rsidP="005123A6">
      <w:pPr>
        <w:pStyle w:val="Heading-forToC"/>
      </w:pPr>
      <w:bookmarkStart w:id="73" w:name="_Toc464551999"/>
      <w:r>
        <w:t>background</w:t>
      </w:r>
      <w:bookmarkEnd w:id="73"/>
    </w:p>
    <w:p w:rsidR="00A426C4" w:rsidRDefault="00A426C4" w:rsidP="00A426C4">
      <w:r>
        <w:t>PPL Corporation has enterprise-wide Standards of Integrity (Standards).  The Standards require all employees and agents to comply with all laws, regulations, and rules and to conduct themselves in an ethical manner.  The Standards are broad and include topics such as:</w:t>
      </w:r>
    </w:p>
    <w:p w:rsidR="00A426C4" w:rsidRDefault="00A426C4" w:rsidP="00A426C4">
      <w:pPr>
        <w:pStyle w:val="Bullet"/>
      </w:pPr>
      <w:r>
        <w:t>Safety</w:t>
      </w:r>
    </w:p>
    <w:p w:rsidR="00A426C4" w:rsidRDefault="00A426C4" w:rsidP="00A426C4">
      <w:pPr>
        <w:pStyle w:val="Bullet"/>
      </w:pPr>
      <w:r>
        <w:t>Drug and Alcohol Use</w:t>
      </w:r>
    </w:p>
    <w:p w:rsidR="00A426C4" w:rsidRDefault="00A426C4" w:rsidP="00A426C4">
      <w:pPr>
        <w:pStyle w:val="Bullet"/>
      </w:pPr>
      <w:r>
        <w:t>Equal Employment Opportunity</w:t>
      </w:r>
    </w:p>
    <w:p w:rsidR="00A426C4" w:rsidRDefault="00A426C4" w:rsidP="00A426C4">
      <w:pPr>
        <w:pStyle w:val="Bullet"/>
      </w:pPr>
      <w:r>
        <w:t>Conflicts of Interest</w:t>
      </w:r>
    </w:p>
    <w:p w:rsidR="00A426C4" w:rsidRDefault="00A426C4" w:rsidP="00A426C4">
      <w:pPr>
        <w:pStyle w:val="Bullet"/>
      </w:pPr>
      <w:r>
        <w:t>Antitrust and Energy Company Regulation</w:t>
      </w:r>
    </w:p>
    <w:p w:rsidR="00A426C4" w:rsidRDefault="00A426C4" w:rsidP="00A426C4">
      <w:pPr>
        <w:pStyle w:val="Bullet"/>
      </w:pPr>
      <w:r>
        <w:t>Procurement and Contracting</w:t>
      </w:r>
    </w:p>
    <w:p w:rsidR="00A426C4" w:rsidRDefault="00A426C4" w:rsidP="00A426C4">
      <w:pPr>
        <w:pStyle w:val="Normal-aftertable"/>
      </w:pPr>
      <w:r>
        <w:t>There are several parts of the Standards relevant to affiliate relationships and transactions: Accounting and Cost Allocations, Procuring Goods and Services, Financial Transactions, and Company Records.  Each is discussed below.</w:t>
      </w:r>
    </w:p>
    <w:p w:rsidR="00A426C4" w:rsidRDefault="00A426C4" w:rsidP="00A426C4">
      <w:pPr>
        <w:pStyle w:val="Heading40"/>
      </w:pPr>
      <w:r>
        <w:lastRenderedPageBreak/>
        <w:t>Accounting and Cost Allocations</w:t>
      </w:r>
    </w:p>
    <w:p w:rsidR="00A426C4" w:rsidRDefault="00A426C4">
      <w:r>
        <w:t>This section informs employees that transactions between subsidiaries must have appropriate cost allocation to the relevant entities.  It also requires employees to obtain any required regulatory approvals before engaging in any sales between subsidiaries.</w:t>
      </w:r>
    </w:p>
    <w:p w:rsidR="00A426C4" w:rsidRDefault="00A426C4" w:rsidP="00C70560">
      <w:pPr>
        <w:pStyle w:val="Heading40"/>
      </w:pPr>
      <w:r>
        <w:t>Procuring Goods and Services</w:t>
      </w:r>
    </w:p>
    <w:p w:rsidR="00A426C4" w:rsidRDefault="00A426C4">
      <w:r>
        <w:t>This section requires that procurement decisions be in the best interests of the Company.  This includes complying with Company procurement policies, avoiding conflicts of interest, applying objective standards, and selecting vendors based on merit.  It also mentions that transactions between subsidiaries may be subject to additional legal requirements that should be discussed with a Company attorney.</w:t>
      </w:r>
    </w:p>
    <w:p w:rsidR="00A426C4" w:rsidRDefault="00A426C4" w:rsidP="00A426C4">
      <w:pPr>
        <w:pStyle w:val="Heading40"/>
      </w:pPr>
      <w:r>
        <w:t>Financial Transactions</w:t>
      </w:r>
    </w:p>
    <w:p w:rsidR="00A426C4" w:rsidRDefault="00A426C4">
      <w:r>
        <w:t>This section requires that all financial transactions be recorded in the Company’s books and records accurately and completely, in the appropriate time period, and in accordance with generally accepted accounting principles and legal and regulatory requirements.  It also specifies that all required disclosures of financial transactions are to be made in a timely manner.</w:t>
      </w:r>
    </w:p>
    <w:p w:rsidR="00A426C4" w:rsidRDefault="00A426C4" w:rsidP="00A426C4">
      <w:pPr>
        <w:pStyle w:val="Heading40"/>
      </w:pPr>
      <w:r>
        <w:t>Company Records</w:t>
      </w:r>
    </w:p>
    <w:p w:rsidR="00A426C4" w:rsidRDefault="00A426C4">
      <w:r>
        <w:t xml:space="preserve">PPL Corporation’s policy is to make full, fair, and accurate disclosure in compliance with all applicable laws and regulations in all public communications.  Records must be complete and accurate.   </w:t>
      </w:r>
    </w:p>
    <w:p w:rsidR="00A426C4" w:rsidRDefault="00A426C4" w:rsidP="00A426C4">
      <w:pPr>
        <w:pStyle w:val="Heading40"/>
      </w:pPr>
      <w:r>
        <w:t>Standards of Integrity Training</w:t>
      </w:r>
    </w:p>
    <w:p w:rsidR="00A426C4" w:rsidRDefault="00A426C4">
      <w:r>
        <w:t xml:space="preserve">New employees in the United States (for all domestic subsidiaries of PPL Corporation) are required to take Standards of Integrity training within six weeks of beginning work, while existing employees receive periodic refresher training.  About half of the PPL Corporation employees (including new hires) in the United States took the Standards of Integrity course in 2013 (5,290 people) and the rest took it in 2014 (4,769 people).  For 2015, all new hires and all individuals who were PPL Corporation employees in the United States as of October 2015 took the course in 2015 (6,254 employees).  The decision was made in 2015 to require all employees to take annual refresher training on the Standards of Integrity. </w:t>
      </w:r>
    </w:p>
    <w:p w:rsidR="00A426C4" w:rsidRDefault="00A426C4" w:rsidP="005123A6">
      <w:pPr>
        <w:pStyle w:val="Heading-forToC"/>
      </w:pPr>
      <w:bookmarkStart w:id="74" w:name="_Toc464552000"/>
      <w:r>
        <w:t>finding</w:t>
      </w:r>
      <w:bookmarkEnd w:id="74"/>
    </w:p>
    <w:p w:rsidR="00A426C4" w:rsidRDefault="00A426C4" w:rsidP="004F00E5">
      <w:pPr>
        <w:pStyle w:val="Findings"/>
        <w:numPr>
          <w:ilvl w:val="0"/>
          <w:numId w:val="73"/>
        </w:numPr>
      </w:pPr>
      <w:r>
        <w:t xml:space="preserve">The PPL Corporation Standards of Integrity relative to affiliate relationships and transactions can be improved.  </w:t>
      </w:r>
    </w:p>
    <w:p w:rsidR="00A426C4" w:rsidRDefault="00A426C4" w:rsidP="00A426C4">
      <w:r>
        <w:t xml:space="preserve">It is a good practice to have enterprise-wide Standards of Integrity with required training for all employees.  However, because of the importance of conducting affiliate relationships and transactions in a proper manner, it would be better to include a separate section in the Standards specifically on affiliate relationships and transactions.  </w:t>
      </w:r>
    </w:p>
    <w:p w:rsidR="00D10053" w:rsidRDefault="00D10053">
      <w:pPr>
        <w:spacing w:after="0"/>
        <w:jc w:val="left"/>
        <w:rPr>
          <w:rFonts w:ascii="Arial Bold" w:hAnsi="Arial Bold"/>
          <w:b/>
          <w:caps/>
        </w:rPr>
      </w:pPr>
      <w:r>
        <w:br w:type="page"/>
      </w:r>
    </w:p>
    <w:p w:rsidR="00A426C4" w:rsidRDefault="00A426C4" w:rsidP="005123A6">
      <w:pPr>
        <w:pStyle w:val="Heading-forToC"/>
      </w:pPr>
      <w:bookmarkStart w:id="75" w:name="_Toc464552001"/>
      <w:r>
        <w:lastRenderedPageBreak/>
        <w:t>recommendation</w:t>
      </w:r>
      <w:bookmarkEnd w:id="75"/>
    </w:p>
    <w:p w:rsidR="00A426C4" w:rsidRDefault="00A426C4" w:rsidP="004F00E5">
      <w:pPr>
        <w:pStyle w:val="Findings"/>
        <w:numPr>
          <w:ilvl w:val="0"/>
          <w:numId w:val="74"/>
        </w:numPr>
      </w:pPr>
      <w:r>
        <w:t>Add a specific section on affiliate relationship and transaction policies to the Standards of Integrity and include them in the annual employee training and acknowledgement. (See Finding 1)</w:t>
      </w:r>
    </w:p>
    <w:p w:rsidR="00A426C4" w:rsidRDefault="00A426C4" w:rsidP="00A426C4">
      <w:r>
        <w:t>The Affiliate Relationships and Transactions section of the Standards of Integrity should include the following policies:</w:t>
      </w:r>
    </w:p>
    <w:p w:rsidR="00A426C4" w:rsidRDefault="00A426C4" w:rsidP="00A426C4">
      <w:pPr>
        <w:pStyle w:val="Bullet"/>
      </w:pPr>
      <w:r>
        <w:t>PPL EU affiliate relationships and transactions must not disadvantage the PPL EU customers</w:t>
      </w:r>
    </w:p>
    <w:p w:rsidR="00A426C4" w:rsidRDefault="00A426C4" w:rsidP="00A426C4">
      <w:pPr>
        <w:pStyle w:val="Bullet"/>
      </w:pPr>
      <w:r>
        <w:t>Each PPL EU affiliate relationship must have a separate, comprehensive service level agreement approved by the PUC</w:t>
      </w:r>
    </w:p>
    <w:p w:rsidR="00A426C4" w:rsidRDefault="00A426C4" w:rsidP="00A426C4">
      <w:pPr>
        <w:pStyle w:val="Bullet"/>
      </w:pPr>
      <w:r>
        <w:t>A summary report of transactions by type with each PPL EU affiliate will be compiled and reported each year and reported to the PUC as a courtesy</w:t>
      </w:r>
    </w:p>
    <w:p w:rsidR="00A426C4" w:rsidRDefault="00A426C4" w:rsidP="00A426C4">
      <w:pPr>
        <w:pStyle w:val="Bullet"/>
      </w:pPr>
      <w:r>
        <w:t xml:space="preserve">PPL EU and the affiliate in each relationship must each be represented by separate and appropriate officers of the entities and the relationship and the governance of the relationship must be at </w:t>
      </w:r>
      <w:proofErr w:type="spellStart"/>
      <w:r>
        <w:t>arms</w:t>
      </w:r>
      <w:proofErr w:type="spellEnd"/>
      <w:r>
        <w:t xml:space="preserve">-length </w:t>
      </w:r>
    </w:p>
    <w:p w:rsidR="00A426C4" w:rsidRDefault="00A426C4" w:rsidP="00A426C4">
      <w:pPr>
        <w:pStyle w:val="Bullet"/>
      </w:pPr>
      <w:r>
        <w:t>PPL EU affiliate relationships and transactions must conform to the PPL Corporation Cost Allocation Manual, including:</w:t>
      </w:r>
    </w:p>
    <w:p w:rsidR="00A426C4" w:rsidRDefault="00A426C4" w:rsidP="00A426C4">
      <w:pPr>
        <w:pStyle w:val="Bullet-indent1"/>
      </w:pPr>
      <w:r>
        <w:t>Sales from PPL EU to affiliates to be priced at the higher of fully allocated cost or market price</w:t>
      </w:r>
    </w:p>
    <w:p w:rsidR="00A426C4" w:rsidRDefault="00A426C4" w:rsidP="00A426C4">
      <w:pPr>
        <w:pStyle w:val="Bullet-indent1"/>
      </w:pPr>
      <w:r>
        <w:t>Sales to PPL EU from affiliates to be priced at fully allocated cost unless a genuine market price has been established by robust competition for the PPL EU business including at least two qualified unaffiliated suppliers</w:t>
      </w:r>
    </w:p>
    <w:p w:rsidR="00A426C4" w:rsidRDefault="00A426C4" w:rsidP="00A426C4">
      <w:pPr>
        <w:pStyle w:val="Bullet"/>
      </w:pPr>
      <w:r>
        <w:t>The value (cost and level of service) of each affiliate relationship to PPL EU and its customers must be reaffirmed by a benchmarking study conducted by an independent third party or rigorous competition for PPL EU’s business including at least two qualified unaffiliated suppliers at least every three years</w:t>
      </w:r>
    </w:p>
    <w:p w:rsidR="00A426C4" w:rsidRDefault="00A426C4" w:rsidP="00A426C4">
      <w:pPr>
        <w:pStyle w:val="Bullet"/>
      </w:pPr>
      <w:r>
        <w:t>Each PPL Corporation legal entity must have adequate ring fencing provisions protecting PPL EU</w:t>
      </w:r>
    </w:p>
    <w:p w:rsidR="00A426C4" w:rsidRDefault="00A426C4" w:rsidP="00A426C4">
      <w:pPr>
        <w:pStyle w:val="Bullet"/>
      </w:pPr>
      <w:r>
        <w:t>The books and records of each PPL EU affiliate must be open to audit by regulators and their representatives</w:t>
      </w:r>
    </w:p>
    <w:p w:rsidR="00A426C4" w:rsidRDefault="00A426C4" w:rsidP="00A426C4">
      <w:r>
        <w:t>Should PPL Corporation prefer not to add the affiliate relationship and transactions policies to the Standards of Integrity, it should create a new Affiliate Relationships and Transactions Code of Conduct including all of the components listed above with annual training for involved employees.</w:t>
      </w:r>
    </w:p>
    <w:p w:rsidR="00A426C4" w:rsidRPr="00357040" w:rsidRDefault="00A426C4" w:rsidP="004F00E5">
      <w:pPr>
        <w:pStyle w:val="Heading2"/>
        <w:numPr>
          <w:ilvl w:val="0"/>
          <w:numId w:val="104"/>
        </w:numPr>
      </w:pPr>
      <w:bookmarkStart w:id="76" w:name="_Toc464552002"/>
      <w:r w:rsidRPr="00357040">
        <w:t>pricing of affiliate transactions</w:t>
      </w:r>
      <w:bookmarkEnd w:id="76"/>
    </w:p>
    <w:p w:rsidR="00A426C4" w:rsidRDefault="00A426C4" w:rsidP="005123A6">
      <w:pPr>
        <w:pStyle w:val="Heading-forToC"/>
      </w:pPr>
      <w:bookmarkStart w:id="77" w:name="_Toc464552003"/>
      <w:r w:rsidRPr="00B24647">
        <w:t>background</w:t>
      </w:r>
      <w:bookmarkEnd w:id="77"/>
    </w:p>
    <w:p w:rsidR="00A426C4" w:rsidRDefault="00A426C4" w:rsidP="00A426C4">
      <w:r>
        <w:t>This section addresses how affiliate transactions between PPL EU and its affiliates are priced.  PPL EU provided two cost allocation manuals (CAMs) in response to numerous document requests on how PPL EU transactions with affiliates are priced:  the PPL Corporation Cost Allocation Manual and PPL EUS Cost Allocation Manual.  Each is discussed below followed by a discussion of the transaction pricing for each PPL EU affiliate.</w:t>
      </w:r>
    </w:p>
    <w:p w:rsidR="00A426C4" w:rsidRDefault="00A426C4" w:rsidP="00A426C4">
      <w:r>
        <w:lastRenderedPageBreak/>
        <w:t xml:space="preserve">Appropriate cost accounting and allocation are integral components of assuring that affiliate transactions with PPL EU are fair to the ratepayer.  Inaccurate cost accounting or unfair cost allocations could result in higher than appropriate costs to PPL EU and higher rates to the ratepayer.  </w:t>
      </w:r>
    </w:p>
    <w:p w:rsidR="00A426C4" w:rsidRDefault="00A426C4" w:rsidP="00A426C4">
      <w:r>
        <w:t>Accurate cost accounting and appropriate cost allocation are also important for optimal transfer pricing among subsidiaries within the PPL Corporation family of companies.  Transfer pricing between subsidiaries should motivate rational economic behavior by calculating the true cost of transactions.  Understated transfer prices lead to overuse of the service while overstated transfer prices lead to underuse of the service.</w:t>
      </w:r>
    </w:p>
    <w:p w:rsidR="00A426C4" w:rsidRDefault="00A426C4" w:rsidP="00EF6212">
      <w:pPr>
        <w:pStyle w:val="Heading40"/>
      </w:pPr>
      <w:r>
        <w:t>PPL Corporation Cost Allocation Manual</w:t>
      </w:r>
    </w:p>
    <w:p w:rsidR="00A426C4" w:rsidRDefault="00A426C4" w:rsidP="00A426C4">
      <w:r>
        <w:t>The PPL Corporation Cost Allocation and Transfer Pricing Manual (CAM) is an extensive document.  It contains an executive summary, nine chapters, and eight appendices:</w:t>
      </w:r>
    </w:p>
    <w:p w:rsidR="00A426C4" w:rsidRDefault="00A426C4" w:rsidP="00A426C4">
      <w:r>
        <w:t>Executive Summary</w:t>
      </w:r>
    </w:p>
    <w:p w:rsidR="00A426C4" w:rsidRDefault="00A426C4" w:rsidP="00A426C4">
      <w:r>
        <w:t>Chapters:</w:t>
      </w:r>
    </w:p>
    <w:p w:rsidR="00A426C4" w:rsidRPr="00CF419C" w:rsidRDefault="00A426C4" w:rsidP="00CF419C">
      <w:pPr>
        <w:pStyle w:val="Numbering"/>
      </w:pPr>
      <w:r w:rsidRPr="00CF419C">
        <w:t>Introduction and Goal of the Manual</w:t>
      </w:r>
    </w:p>
    <w:p w:rsidR="00A426C4" w:rsidRPr="00CF419C" w:rsidRDefault="00A426C4" w:rsidP="00CF419C">
      <w:pPr>
        <w:pStyle w:val="Numbering"/>
      </w:pPr>
      <w:r w:rsidRPr="00CF419C">
        <w:t>PPL Corporation Organization Chart Depicting Regulated and Unregulated Affiliates</w:t>
      </w:r>
    </w:p>
    <w:p w:rsidR="00A426C4" w:rsidRPr="00CF419C" w:rsidRDefault="00A426C4" w:rsidP="00CF419C">
      <w:pPr>
        <w:pStyle w:val="Numbering"/>
      </w:pPr>
      <w:r w:rsidRPr="00CF419C">
        <w:t>PPL Corporation Services Company Charges to Regulated and Unregulated Business Lines</w:t>
      </w:r>
    </w:p>
    <w:p w:rsidR="00A426C4" w:rsidRPr="00CF419C" w:rsidRDefault="00A426C4" w:rsidP="00CF419C">
      <w:pPr>
        <w:pStyle w:val="Numbering"/>
      </w:pPr>
      <w:r w:rsidRPr="00CF419C">
        <w:t>Description of Assets, Services, and Products Provided by the Regulated Entity to Non-Affiliates</w:t>
      </w:r>
    </w:p>
    <w:p w:rsidR="00A426C4" w:rsidRPr="00CF419C" w:rsidRDefault="00A426C4" w:rsidP="00CF419C">
      <w:pPr>
        <w:pStyle w:val="Numbering"/>
      </w:pPr>
      <w:r w:rsidRPr="00CF419C">
        <w:t>Comparison of Compensation Costs to the Market Price (All PPL Corporation Companies)</w:t>
      </w:r>
    </w:p>
    <w:p w:rsidR="00A426C4" w:rsidRPr="00CF419C" w:rsidRDefault="00A426C4" w:rsidP="00CF419C">
      <w:pPr>
        <w:pStyle w:val="Numbering"/>
      </w:pPr>
      <w:r w:rsidRPr="00CF419C">
        <w:t>Transfer Pricing of Capacity and Energy</w:t>
      </w:r>
    </w:p>
    <w:p w:rsidR="00A426C4" w:rsidRPr="00CF419C" w:rsidRDefault="00A426C4" w:rsidP="00CF419C">
      <w:pPr>
        <w:pStyle w:val="Numbering"/>
      </w:pPr>
      <w:r w:rsidRPr="00CF419C">
        <w:t>Accounting Policies and Procedures – Mergers and Acquisitions</w:t>
      </w:r>
    </w:p>
    <w:p w:rsidR="00A426C4" w:rsidRPr="00CF419C" w:rsidRDefault="00A426C4" w:rsidP="00CF419C">
      <w:pPr>
        <w:pStyle w:val="Numbering"/>
      </w:pPr>
      <w:r w:rsidRPr="00CF419C">
        <w:t>Allocation of Costs</w:t>
      </w:r>
    </w:p>
    <w:p w:rsidR="00A426C4" w:rsidRDefault="00A426C4" w:rsidP="00CF419C">
      <w:pPr>
        <w:pStyle w:val="Numbering"/>
      </w:pPr>
      <w:r w:rsidRPr="00CF419C">
        <w:t>Public Utility Holding Company</w:t>
      </w:r>
      <w:r>
        <w:t xml:space="preserve"> Act (PUHCA) Requirements</w:t>
      </w:r>
    </w:p>
    <w:p w:rsidR="00A426C4" w:rsidRDefault="00A426C4" w:rsidP="00A426C4">
      <w:pPr>
        <w:pStyle w:val="Normal-aftertable"/>
      </w:pPr>
      <w:r>
        <w:t>Appendices:</w:t>
      </w:r>
    </w:p>
    <w:p w:rsidR="00A426C4" w:rsidRDefault="00A426C4" w:rsidP="00B86FA4">
      <w:pPr>
        <w:pStyle w:val="Numbering"/>
        <w:numPr>
          <w:ilvl w:val="0"/>
          <w:numId w:val="13"/>
        </w:numPr>
      </w:pPr>
      <w:r>
        <w:t>Glossary of Terms</w:t>
      </w:r>
    </w:p>
    <w:p w:rsidR="00A426C4" w:rsidRDefault="00A426C4" w:rsidP="00B86FA4">
      <w:pPr>
        <w:pStyle w:val="Numbering"/>
        <w:numPr>
          <w:ilvl w:val="0"/>
          <w:numId w:val="13"/>
        </w:numPr>
      </w:pPr>
      <w:r>
        <w:t>Affiliated Interest Agreement</w:t>
      </w:r>
    </w:p>
    <w:p w:rsidR="00A426C4" w:rsidRDefault="00A426C4" w:rsidP="00B86FA4">
      <w:pPr>
        <w:pStyle w:val="Numbering"/>
        <w:numPr>
          <w:ilvl w:val="0"/>
          <w:numId w:val="13"/>
        </w:numPr>
      </w:pPr>
      <w:r>
        <w:t>Chapter 54, Section 54 122 Pennsylvania Code of Conduct</w:t>
      </w:r>
    </w:p>
    <w:p w:rsidR="00A426C4" w:rsidRDefault="00A426C4" w:rsidP="00B86FA4">
      <w:pPr>
        <w:pStyle w:val="Numbering"/>
        <w:numPr>
          <w:ilvl w:val="0"/>
          <w:numId w:val="13"/>
        </w:numPr>
      </w:pPr>
      <w:r>
        <w:t>Federal Energy Regulatory Commission 18 CFR 35.44</w:t>
      </w:r>
    </w:p>
    <w:p w:rsidR="00A426C4" w:rsidRDefault="00A426C4" w:rsidP="00B86FA4">
      <w:pPr>
        <w:pStyle w:val="Numbering"/>
        <w:numPr>
          <w:ilvl w:val="0"/>
          <w:numId w:val="13"/>
        </w:numPr>
      </w:pPr>
      <w:r>
        <w:t>National Association of Regulatory Utility Commissioners Guidelines for Cost Allocation and Affiliate Transactions</w:t>
      </w:r>
    </w:p>
    <w:p w:rsidR="00A426C4" w:rsidRDefault="00A426C4" w:rsidP="00B86FA4">
      <w:pPr>
        <w:pStyle w:val="Numbering"/>
        <w:numPr>
          <w:ilvl w:val="0"/>
          <w:numId w:val="13"/>
        </w:numPr>
      </w:pPr>
      <w:r>
        <w:t>Corporate Governance Education Session – Standards of Conduct</w:t>
      </w:r>
    </w:p>
    <w:p w:rsidR="00A426C4" w:rsidRDefault="00A426C4" w:rsidP="00B86FA4">
      <w:pPr>
        <w:pStyle w:val="Numbering"/>
        <w:numPr>
          <w:ilvl w:val="0"/>
          <w:numId w:val="13"/>
        </w:numPr>
      </w:pPr>
      <w:r>
        <w:t>FERC Compliance Manual</w:t>
      </w:r>
    </w:p>
    <w:p w:rsidR="00A426C4" w:rsidRDefault="00A426C4" w:rsidP="00B86FA4">
      <w:pPr>
        <w:pStyle w:val="Numbering"/>
        <w:numPr>
          <w:ilvl w:val="0"/>
          <w:numId w:val="13"/>
        </w:numPr>
      </w:pPr>
      <w:r>
        <w:t>Deloitte and Touche Public Utilities Group’s Study on Cost Allocations and Affiliate Transactions</w:t>
      </w:r>
    </w:p>
    <w:p w:rsidR="00A426C4" w:rsidRDefault="00A426C4" w:rsidP="00A426C4">
      <w:pPr>
        <w:pStyle w:val="Normal-aftertable"/>
      </w:pPr>
      <w:r>
        <w:lastRenderedPageBreak/>
        <w:t xml:space="preserve">With the exception of topics that are out of the scope of this management audit or are covered in other sections of this chapter, the contents of the CAM are described below. </w:t>
      </w:r>
    </w:p>
    <w:p w:rsidR="00A426C4" w:rsidRDefault="00A426C4" w:rsidP="00A426C4">
      <w:proofErr w:type="gramStart"/>
      <w:r w:rsidRPr="00EF6212">
        <w:rPr>
          <w:b/>
        </w:rPr>
        <w:t>Executive Summary</w:t>
      </w:r>
      <w:r w:rsidR="00EF6212" w:rsidRPr="00EF6212">
        <w:rPr>
          <w:b/>
        </w:rPr>
        <w:t>.</w:t>
      </w:r>
      <w:proofErr w:type="gramEnd"/>
      <w:r w:rsidR="00EF6212">
        <w:t xml:space="preserve">  </w:t>
      </w:r>
      <w:r>
        <w:t>The CAM will, “…be used as a cost allocation and transfer pricing reference point for all PPL Corporation companies…”  That is, it will be used by all PPL Corporation subsidiaries.  However, it is not used by LKE which has its own CAM.  Further, the CAM is the documentation “…to support our policies and procedures to any internal or external parties that review our allocation methodologies.”  Therefore, the CAM is the relevant document for the PUC’s oversight of PPL EU’s costing and pricing of transactions with affiliates.</w:t>
      </w:r>
    </w:p>
    <w:p w:rsidR="00A426C4" w:rsidRDefault="00A426C4" w:rsidP="00A426C4">
      <w:r>
        <w:t>The CAM’s guiding principles include:</w:t>
      </w:r>
    </w:p>
    <w:p w:rsidR="00A426C4" w:rsidRDefault="00A426C4" w:rsidP="00A426C4">
      <w:pPr>
        <w:pStyle w:val="Bullet"/>
      </w:pPr>
      <w:r>
        <w:t>When reasonably possible, costs will be charged on a direct basis with no allocation methodology necessary.</w:t>
      </w:r>
    </w:p>
    <w:p w:rsidR="00A426C4" w:rsidRDefault="00A426C4" w:rsidP="00A426C4">
      <w:pPr>
        <w:pStyle w:val="Bullet"/>
      </w:pPr>
      <w:r>
        <w:t>Allocations will not result in the subsidization of nonregulated affiliates by the regulated businesses.</w:t>
      </w:r>
    </w:p>
    <w:p w:rsidR="00A426C4" w:rsidRDefault="00A426C4" w:rsidP="00A426C4">
      <w:pPr>
        <w:pStyle w:val="Bullet"/>
      </w:pPr>
      <w:r>
        <w:t xml:space="preserve">Services to or from a regulated affiliate and a </w:t>
      </w:r>
      <w:r w:rsidR="005C402E">
        <w:t>nonregulated</w:t>
      </w:r>
      <w:r>
        <w:t xml:space="preserve"> affiliate will be priced at fully allocated cost.</w:t>
      </w:r>
    </w:p>
    <w:p w:rsidR="00A426C4" w:rsidRDefault="00A426C4" w:rsidP="00A426C4">
      <w:pPr>
        <w:pStyle w:val="Bullet"/>
      </w:pPr>
      <w:r>
        <w:t>As long as all regulatory guidelines are met, allocations will be fair and equitable to the shareholders and the customers.</w:t>
      </w:r>
    </w:p>
    <w:p w:rsidR="00A426C4" w:rsidRDefault="00A426C4" w:rsidP="00A426C4">
      <w:pPr>
        <w:pStyle w:val="Bullet"/>
      </w:pPr>
      <w:r>
        <w:t xml:space="preserve">Allocation documentation will be made available to all PPL Corporation companies, internal and external </w:t>
      </w:r>
      <w:proofErr w:type="gramStart"/>
      <w:r>
        <w:t>auditors,</w:t>
      </w:r>
      <w:proofErr w:type="gramEnd"/>
      <w:r>
        <w:t xml:space="preserve"> and jurisdictional regulatory commissions as needed.</w:t>
      </w:r>
    </w:p>
    <w:p w:rsidR="00A426C4" w:rsidRPr="00AC43BE" w:rsidRDefault="00A426C4" w:rsidP="00A426C4">
      <w:r>
        <w:t>In summary, the CAM covers all affiliate transactions with PPL EU and all affiliate transactions will be priced at fully allocated cost.</w:t>
      </w:r>
    </w:p>
    <w:p w:rsidR="00A426C4" w:rsidRDefault="00A426C4" w:rsidP="00A426C4">
      <w:r w:rsidRPr="00EF6212">
        <w:rPr>
          <w:b/>
        </w:rPr>
        <w:t>Chapter 1: Introduction and Goal of the Manual</w:t>
      </w:r>
      <w:r w:rsidR="00EF6212" w:rsidRPr="00EF6212">
        <w:rPr>
          <w:b/>
        </w:rPr>
        <w:t>.</w:t>
      </w:r>
      <w:r w:rsidR="00EF6212">
        <w:t xml:space="preserve">  </w:t>
      </w:r>
      <w:r>
        <w:t>With the acquisition of LKE in 2010, PPL Corporation became a multi-state holding company of regulated utility companies and came under the jurisdiction of the Public Utility Holding Company Act of 2005 (PUHCA 2005) which requires transactions between PPL EU and its affiliates to be at fully allocated costs unless exempted by a Code of Conduct.</w:t>
      </w:r>
    </w:p>
    <w:p w:rsidR="00A426C4" w:rsidRPr="00AC43BE" w:rsidRDefault="00A426C4" w:rsidP="00A426C4">
      <w:r>
        <w:t>Documentation for the current allocations will be maintained by the PPL SC Financial Planning Department which reports through the Vice President, Investor Relations and Treasurer to the PPL SC CFO.</w:t>
      </w:r>
    </w:p>
    <w:p w:rsidR="00A426C4" w:rsidRPr="00AC43BE" w:rsidRDefault="00A426C4" w:rsidP="00A426C4">
      <w:r w:rsidRPr="00EF6212">
        <w:rPr>
          <w:b/>
        </w:rPr>
        <w:t>Chapter 2: PPL Corporation Organization Chart Depicting Regulated and Unregulated Affiliates</w:t>
      </w:r>
      <w:r w:rsidR="00EF6212" w:rsidRPr="00EF6212">
        <w:rPr>
          <w:b/>
        </w:rPr>
        <w:t>.</w:t>
      </w:r>
      <w:r w:rsidR="00EF6212">
        <w:t xml:space="preserve">  </w:t>
      </w:r>
      <w:r>
        <w:t>Three pages of organizational entity organization charts showing the ownership relationships among the PPL Corporation subsidiaries and ownership interests.</w:t>
      </w:r>
    </w:p>
    <w:p w:rsidR="00A426C4" w:rsidRDefault="00A426C4" w:rsidP="00A426C4">
      <w:r w:rsidRPr="00EF6212">
        <w:rPr>
          <w:b/>
        </w:rPr>
        <w:t>Chapter 3: PPL Corporation and PPL Services Corporation Charges to Regulated and Unregulated Business Lines</w:t>
      </w:r>
      <w:r w:rsidR="00EF6212" w:rsidRPr="00EF6212">
        <w:rPr>
          <w:b/>
        </w:rPr>
        <w:t>.</w:t>
      </w:r>
      <w:r w:rsidR="00EF6212">
        <w:t xml:space="preserve">  </w:t>
      </w:r>
      <w:r>
        <w:t>While the title of the chapter indicates it includes PPL Corporation cost allocation methodologies, in actuality it only addresses PPL SC cost allocations.  The chapter says:</w:t>
      </w:r>
    </w:p>
    <w:p w:rsidR="00A426C4" w:rsidRDefault="00A426C4" w:rsidP="00A426C4">
      <w:pPr>
        <w:pStyle w:val="Quotation-Sage"/>
      </w:pPr>
      <w:r>
        <w:t xml:space="preserve">Accounting policy and cost management philosophy dictate that the cost of providing those [PPL SC] services be properly charged back to whomever utilizes the services.  The objective is to identify the “total” cost incurred by </w:t>
      </w:r>
      <w:r>
        <w:lastRenderedPageBreak/>
        <w:t>business lines to provide the products or services they sell to external customers.  The key components of an effective charge back process are to: 1) identify the specific services provided by a support group, 2) develop appropriate billing rates for each service, and 3) charge back costs based on the services utilized by business lines at those appropriate rates.</w:t>
      </w:r>
    </w:p>
    <w:p w:rsidR="00A426C4" w:rsidRDefault="00A426C4" w:rsidP="00A426C4">
      <w:r>
        <w:t>Further:</w:t>
      </w:r>
    </w:p>
    <w:p w:rsidR="00A426C4" w:rsidRDefault="00A426C4" w:rsidP="00A426C4">
      <w:pPr>
        <w:pStyle w:val="Quotation-Sage"/>
      </w:pPr>
      <w:r>
        <w:t>Services classified as “Direct” are directly identifiable to individual business lines or other support groups.  Services classified as “Indirect” are not directly identifiable to any particular business line/support group and are of a general corporate nature.  Direct costs are ultimately charged to each business line through an intra-company journal entry.  Direct costs applicable to other support groups within the service company become part of the indirect allocation process.  All indirect costs are accumulated and allocated to the business lines through an intra-company journal entry based upon a three-factor allocation methodology recommended by the PUC.</w:t>
      </w:r>
    </w:p>
    <w:p w:rsidR="00A426C4" w:rsidRDefault="00A426C4" w:rsidP="00A426C4">
      <w:r>
        <w:t>Additionally:</w:t>
      </w:r>
    </w:p>
    <w:p w:rsidR="00A426C4" w:rsidRDefault="00A426C4" w:rsidP="00A426C4">
      <w:pPr>
        <w:pStyle w:val="Quotation-Sage"/>
      </w:pPr>
      <w:r>
        <w:t>The [indirect] allocation is based upon: 1) a multi-factor allocation procedure which uses capitalization, employees, and operation and maintenance expenses as the basis for determining the equitable distribution of indirect costs; 2) six different “buckets” that define various groups of business lines that should receive certain indirect costs; and 3) activity-based categorization into one of the six indirect cost “buckets” by each support group for all indirect cost activities conducted by that support group.</w:t>
      </w:r>
    </w:p>
    <w:p w:rsidR="00A426C4" w:rsidRDefault="00A426C4" w:rsidP="00A426C4">
      <w:r>
        <w:t>The chapter also includes various attachments:</w:t>
      </w:r>
    </w:p>
    <w:p w:rsidR="00A426C4" w:rsidRDefault="00A426C4" w:rsidP="00A426C4">
      <w:pPr>
        <w:pStyle w:val="Bullet"/>
      </w:pPr>
      <w:r>
        <w:t>Classification of direct or indirect cost for various services provided by PPL SC departments.  The table includes departments and sections that were transferred to PPL EUS at the beginning of 2015.</w:t>
      </w:r>
    </w:p>
    <w:p w:rsidR="00A426C4" w:rsidRDefault="00A426C4" w:rsidP="00A426C4">
      <w:pPr>
        <w:pStyle w:val="Bullet"/>
      </w:pPr>
      <w:r>
        <w:t xml:space="preserve">Indirect Cost Allocation Methodology and Procedures </w:t>
      </w:r>
    </w:p>
    <w:p w:rsidR="00A426C4" w:rsidRDefault="00A426C4" w:rsidP="00A426C4">
      <w:pPr>
        <w:pStyle w:val="Bullet"/>
      </w:pPr>
      <w:r>
        <w:t xml:space="preserve">Indirect Allocation Buckets for the Three Factor Methodology </w:t>
      </w:r>
    </w:p>
    <w:p w:rsidR="00A426C4" w:rsidRDefault="00A426C4" w:rsidP="00A426C4">
      <w:pPr>
        <w:pStyle w:val="Bullet"/>
      </w:pPr>
      <w:r>
        <w:t>Summary of Weighted Average Allocations of the 12 PPL SC support groups to each of the six buckets and supporting schedules by activity for each of the 12 support groups</w:t>
      </w:r>
    </w:p>
    <w:p w:rsidR="00A426C4" w:rsidRDefault="00A426C4" w:rsidP="001A7B05">
      <w:pPr>
        <w:spacing w:before="120"/>
      </w:pPr>
      <w:r w:rsidRPr="00EF6212">
        <w:rPr>
          <w:b/>
        </w:rPr>
        <w:t>Chapter 4: Description of Assets, Services, and Products Provided by the Regulated Entity to Non-Affiliates</w:t>
      </w:r>
      <w:r w:rsidR="00EF6212" w:rsidRPr="00EF6212">
        <w:rPr>
          <w:b/>
        </w:rPr>
        <w:t>.</w:t>
      </w:r>
      <w:r w:rsidR="00EF6212">
        <w:t xml:space="preserve">  </w:t>
      </w:r>
      <w:r>
        <w:t>This chapter first states that non-</w:t>
      </w:r>
      <w:proofErr w:type="spellStart"/>
      <w:r>
        <w:t>tariffed</w:t>
      </w:r>
      <w:proofErr w:type="spellEnd"/>
      <w:r>
        <w:t xml:space="preserve"> services provided by PPL EU to non-affiliated entities, such as pole hit repairs, extending power lines, relocating services, rubber goods testing, and independent power producer interconnection services will be charged at the fully loaded cost.</w:t>
      </w:r>
    </w:p>
    <w:p w:rsidR="00A426C4" w:rsidRDefault="00A426C4" w:rsidP="00A426C4">
      <w:r>
        <w:t>The second paragraph of this chapter addresses PPL EU Rent Charges.  PPL EU charges affiliated occupants of buildings it owns specific tenant services costs plus the proportion cost of the Facilities Department based upon square footage.  In addition, a “rent adder” is applied based on a semi-annual market study of building rent rates that increases the rent charges from cost to market rates.</w:t>
      </w:r>
    </w:p>
    <w:p w:rsidR="00A426C4" w:rsidRDefault="00A426C4" w:rsidP="00A426C4">
      <w:r w:rsidRPr="00EF6212">
        <w:rPr>
          <w:b/>
        </w:rPr>
        <w:lastRenderedPageBreak/>
        <w:t>Chapter 5: Human Resources’ Confirmation as to the Comparison of Compensation to the Competing Market</w:t>
      </w:r>
      <w:r w:rsidR="00EF6212" w:rsidRPr="00EF6212">
        <w:rPr>
          <w:b/>
        </w:rPr>
        <w:t>.</w:t>
      </w:r>
      <w:r w:rsidR="00EF6212">
        <w:t xml:space="preserve">  </w:t>
      </w:r>
      <w:r>
        <w:t>This chapter is a single page memorandum providing a brief overview of the PPL Corporation and affiliated companies compensation practices including participating in compensation studies for salaried employees.  The memorandum concludes:</w:t>
      </w:r>
    </w:p>
    <w:p w:rsidR="00A426C4" w:rsidRDefault="00A426C4" w:rsidP="00A426C4">
      <w:pPr>
        <w:pStyle w:val="Quotation-Sage"/>
      </w:pPr>
      <w:r>
        <w:t>Through these methods, PPL is aware of its actual and competitive total compensation costs and considers them to be in parity.  This ensures that these costs for the PPL affiliates are occurring at the cost or market rates, whichever is appropriate, in compliance with its affiliate transaction requirements with the Pennsylvania PUC and the Federal Energy Regulatory Commission.</w:t>
      </w:r>
    </w:p>
    <w:p w:rsidR="00A426C4" w:rsidRPr="00AC43BE" w:rsidRDefault="00A426C4" w:rsidP="00A426C4">
      <w:r w:rsidRPr="00EF6212">
        <w:rPr>
          <w:b/>
        </w:rPr>
        <w:t>Chapter 6:  Transfer Pricing of Capacity and Energy</w:t>
      </w:r>
      <w:r w:rsidR="00EF6212" w:rsidRPr="00EF6212">
        <w:rPr>
          <w:b/>
        </w:rPr>
        <w:t>.</w:t>
      </w:r>
      <w:r w:rsidR="00EF6212">
        <w:t xml:space="preserve">  </w:t>
      </w:r>
      <w:r>
        <w:t>This chapter addresses transactions with affiliates that were spun off to Talen and is not relevant to this management audit.</w:t>
      </w:r>
    </w:p>
    <w:p w:rsidR="00A426C4" w:rsidRPr="00AC43BE" w:rsidRDefault="00A426C4" w:rsidP="00A426C4">
      <w:r w:rsidRPr="00EF6212">
        <w:rPr>
          <w:b/>
        </w:rPr>
        <w:t>Chapter 7: Accounting Policies and Procedures – Mergers and Acquisitions</w:t>
      </w:r>
      <w:r w:rsidR="00EF6212" w:rsidRPr="00EF6212">
        <w:rPr>
          <w:b/>
        </w:rPr>
        <w:t>.</w:t>
      </w:r>
      <w:r w:rsidR="00EF6212">
        <w:t xml:space="preserve">  </w:t>
      </w:r>
      <w:r>
        <w:t>This chapter addresses cost accounting and allocation for mergers and acquisitions which is not within the scope of this management audit.</w:t>
      </w:r>
    </w:p>
    <w:p w:rsidR="00A426C4" w:rsidRDefault="00A426C4" w:rsidP="00A426C4">
      <w:r w:rsidRPr="00EF6212">
        <w:rPr>
          <w:b/>
        </w:rPr>
        <w:t>Chapter 8: Allocation of Costs</w:t>
      </w:r>
      <w:r w:rsidR="00EF6212" w:rsidRPr="00EF6212">
        <w:rPr>
          <w:b/>
        </w:rPr>
        <w:t>.</w:t>
      </w:r>
      <w:r w:rsidR="00EF6212">
        <w:t xml:space="preserve">  </w:t>
      </w:r>
      <w:r>
        <w:t>This chapter states that accounting allocations are in accordance with Generally Accepted Accounting Principles (GAAP).  It has five sub-chapters:</w:t>
      </w:r>
    </w:p>
    <w:p w:rsidR="00A426C4" w:rsidRDefault="00A426C4" w:rsidP="00B86FA4">
      <w:pPr>
        <w:pStyle w:val="Numbering"/>
        <w:numPr>
          <w:ilvl w:val="0"/>
          <w:numId w:val="14"/>
        </w:numPr>
      </w:pPr>
      <w:r>
        <w:t>Allocation of Costs from Support Groups to Affiliates</w:t>
      </w:r>
    </w:p>
    <w:p w:rsidR="00A426C4" w:rsidRDefault="00A426C4" w:rsidP="00B86FA4">
      <w:pPr>
        <w:pStyle w:val="Numbering"/>
        <w:numPr>
          <w:ilvl w:val="0"/>
          <w:numId w:val="14"/>
        </w:numPr>
      </w:pPr>
      <w:r>
        <w:t>Allocation of Costs by the general ledger system( BMI and/or Legacy Systems)</w:t>
      </w:r>
    </w:p>
    <w:p w:rsidR="00A426C4" w:rsidRDefault="00A426C4" w:rsidP="00B86FA4">
      <w:pPr>
        <w:pStyle w:val="Numbering"/>
        <w:numPr>
          <w:ilvl w:val="0"/>
          <w:numId w:val="14"/>
        </w:numPr>
      </w:pPr>
      <w:r>
        <w:t>General Plant and Depreciation</w:t>
      </w:r>
    </w:p>
    <w:p w:rsidR="00A426C4" w:rsidRDefault="00A426C4" w:rsidP="00B86FA4">
      <w:pPr>
        <w:pStyle w:val="Numbering"/>
        <w:numPr>
          <w:ilvl w:val="0"/>
          <w:numId w:val="14"/>
        </w:numPr>
      </w:pPr>
      <w:r>
        <w:t>Financing</w:t>
      </w:r>
    </w:p>
    <w:p w:rsidR="00A426C4" w:rsidRDefault="00A426C4" w:rsidP="00B86FA4">
      <w:pPr>
        <w:pStyle w:val="Numbering"/>
        <w:numPr>
          <w:ilvl w:val="0"/>
          <w:numId w:val="14"/>
        </w:numPr>
      </w:pPr>
      <w:r>
        <w:t>Tax Sharing Agreement</w:t>
      </w:r>
    </w:p>
    <w:p w:rsidR="00A426C4" w:rsidRDefault="00A426C4" w:rsidP="00A426C4">
      <w:r>
        <w:t>Each is discussed briefly below.</w:t>
      </w:r>
    </w:p>
    <w:p w:rsidR="00A426C4" w:rsidRDefault="00A426C4" w:rsidP="00C74B70">
      <w:pPr>
        <w:pStyle w:val="Bullet"/>
      </w:pPr>
      <w:r>
        <w:rPr>
          <w:b/>
        </w:rPr>
        <w:t xml:space="preserve">A. </w:t>
      </w:r>
      <w:r w:rsidRPr="00D458F5">
        <w:rPr>
          <w:b/>
        </w:rPr>
        <w:t>Allocation of Costs from Support Groups to Affiliates</w:t>
      </w:r>
      <w:r>
        <w:rPr>
          <w:b/>
        </w:rPr>
        <w:t xml:space="preserve">.  </w:t>
      </w:r>
      <w:r>
        <w:t>This section identifies six monthly allocation methods for PPL SC service groups:</w:t>
      </w:r>
    </w:p>
    <w:p w:rsidR="00A426C4" w:rsidRDefault="00A426C4" w:rsidP="00C74B70">
      <w:pPr>
        <w:pStyle w:val="Bullet-indent1"/>
      </w:pPr>
      <w:r>
        <w:t xml:space="preserve">Direct Work – O&amp;M cost pools allocated using allocation bases such as headcounts </w:t>
      </w:r>
    </w:p>
    <w:p w:rsidR="00A426C4" w:rsidRDefault="00A426C4" w:rsidP="00C74B70">
      <w:pPr>
        <w:pStyle w:val="Bullet-indent1"/>
      </w:pPr>
      <w:r>
        <w:t>Specific Indirect Costs – some specific allocations, such as corporate jet rental costs, to a select group of business lines</w:t>
      </w:r>
    </w:p>
    <w:p w:rsidR="00A426C4" w:rsidRDefault="00A426C4" w:rsidP="00C74B70">
      <w:pPr>
        <w:pStyle w:val="Bullet-indent1"/>
      </w:pPr>
      <w:r>
        <w:t>General Indirect Costs – the remainder of each group’s indirect costs allocated using the three-factor general allocation method</w:t>
      </w:r>
    </w:p>
    <w:p w:rsidR="00A426C4" w:rsidRDefault="00A426C4" w:rsidP="00C74B70">
      <w:pPr>
        <w:pStyle w:val="Bullet-indent1"/>
      </w:pPr>
      <w:r>
        <w:t>Captive Insurance Charges – charges as determined by Risk Management to the business lines</w:t>
      </w:r>
    </w:p>
    <w:p w:rsidR="00A426C4" w:rsidRDefault="00A426C4" w:rsidP="00C74B70">
      <w:pPr>
        <w:pStyle w:val="Bullet-indent1"/>
      </w:pPr>
      <w:r>
        <w:t>PPL SC Depreciation – Financial Planning allocates depreciation expense from Asset Management to the business lines</w:t>
      </w:r>
    </w:p>
    <w:p w:rsidR="00A426C4" w:rsidRDefault="00A426C4" w:rsidP="00C74B70">
      <w:pPr>
        <w:pStyle w:val="Bullet-indent1"/>
      </w:pPr>
      <w:r>
        <w:t>PPL EU Rent Charges – Rent charges to business lines based upon Facilities Management actual services provided and square footage occupied</w:t>
      </w:r>
    </w:p>
    <w:p w:rsidR="00A426C4" w:rsidRDefault="00A426C4" w:rsidP="00A426C4">
      <w:pPr>
        <w:pStyle w:val="Normal-aftertable"/>
      </w:pPr>
      <w:r>
        <w:t>All of the allocations are made with monthly journal entries.</w:t>
      </w:r>
    </w:p>
    <w:p w:rsidR="00A426C4" w:rsidRDefault="00A426C4" w:rsidP="00A426C4">
      <w:r>
        <w:t>The chapter states:</w:t>
      </w:r>
    </w:p>
    <w:p w:rsidR="00A426C4" w:rsidRDefault="00A426C4" w:rsidP="00A426C4">
      <w:pPr>
        <w:pStyle w:val="Quotation-Sage"/>
      </w:pPr>
      <w:r>
        <w:lastRenderedPageBreak/>
        <w:t xml:space="preserve">During the budgeting process, support groups’ budget coordinators estimate the percentages of their direct work costs, by </w:t>
      </w:r>
      <w:proofErr w:type="gramStart"/>
      <w:r>
        <w:t>activity, that</w:t>
      </w:r>
      <w:proofErr w:type="gramEnd"/>
      <w:r>
        <w:t xml:space="preserve"> should be charged to the various business lines.  Financial Planning enters these percentages into the budget system….The support group budget coordinators also calculate the percentages of their indirect costs that should be allocated by each indirect allocation method (bucket).  Financial Planning then calculates a composite indirect allocation rate for each support group and enters these percentages into the budget system</w:t>
      </w:r>
      <w:r w:rsidR="008A01E5">
        <w:t xml:space="preserve">.… </w:t>
      </w:r>
    </w:p>
    <w:p w:rsidR="00A426C4" w:rsidRDefault="00A426C4" w:rsidP="00A426C4">
      <w:r>
        <w:t>The sub-chapter lists 11 support groups charging 20 business lines.</w:t>
      </w:r>
    </w:p>
    <w:p w:rsidR="00A426C4" w:rsidRPr="00D458F5" w:rsidRDefault="00A426C4" w:rsidP="00C74B70">
      <w:pPr>
        <w:pStyle w:val="Bullet"/>
      </w:pPr>
      <w:r>
        <w:rPr>
          <w:b/>
        </w:rPr>
        <w:t xml:space="preserve">B. </w:t>
      </w:r>
      <w:r w:rsidRPr="00D458F5">
        <w:rPr>
          <w:b/>
        </w:rPr>
        <w:t xml:space="preserve">Allocation of Costs by </w:t>
      </w:r>
      <w:r>
        <w:rPr>
          <w:b/>
        </w:rPr>
        <w:t xml:space="preserve">the General Ledger System.  </w:t>
      </w:r>
      <w:r>
        <w:t xml:space="preserve">This section addresses the allocation of overhead costs by adding a loading to project costs.   </w:t>
      </w:r>
    </w:p>
    <w:p w:rsidR="00A426C4" w:rsidRPr="00D458F5" w:rsidRDefault="00A426C4" w:rsidP="00C74B70">
      <w:pPr>
        <w:pStyle w:val="Bullet"/>
      </w:pPr>
      <w:r>
        <w:rPr>
          <w:b/>
        </w:rPr>
        <w:t xml:space="preserve">C. Allocation of Costs - </w:t>
      </w:r>
      <w:r w:rsidRPr="00D458F5">
        <w:rPr>
          <w:b/>
        </w:rPr>
        <w:t>General Plant and Depreciation</w:t>
      </w:r>
      <w:r>
        <w:rPr>
          <w:b/>
        </w:rPr>
        <w:t xml:space="preserve">  </w:t>
      </w:r>
      <w:r>
        <w:t>No longer applicable since the Talen spinoff because all physical assets were transferred out of PPL SC to another legal entity.  Depreciation expense is recorded directly onto the business units based on their respective assets.</w:t>
      </w:r>
      <w:r>
        <w:rPr>
          <w:b/>
        </w:rPr>
        <w:t xml:space="preserve">  </w:t>
      </w:r>
    </w:p>
    <w:p w:rsidR="00A426C4" w:rsidRPr="00D458F5" w:rsidRDefault="00A426C4" w:rsidP="00C74B70">
      <w:pPr>
        <w:pStyle w:val="Bullet"/>
      </w:pPr>
      <w:r>
        <w:rPr>
          <w:b/>
        </w:rPr>
        <w:t xml:space="preserve">D. Allocation of Financing Costs to Affiliates.  </w:t>
      </w:r>
      <w:r>
        <w:t>PPL EU has its own external debt and the interest is charged directly to it with no allocation required.</w:t>
      </w:r>
      <w:r>
        <w:rPr>
          <w:b/>
        </w:rPr>
        <w:t xml:space="preserve">  </w:t>
      </w:r>
    </w:p>
    <w:p w:rsidR="00A426C4" w:rsidRDefault="00A426C4" w:rsidP="00C74B70">
      <w:pPr>
        <w:pStyle w:val="Bullet"/>
      </w:pPr>
      <w:r>
        <w:rPr>
          <w:b/>
        </w:rPr>
        <w:t xml:space="preserve">E. </w:t>
      </w:r>
      <w:r w:rsidRPr="00D458F5">
        <w:rPr>
          <w:b/>
        </w:rPr>
        <w:t>Tax Sharing Agreement</w:t>
      </w:r>
      <w:r>
        <w:rPr>
          <w:b/>
        </w:rPr>
        <w:t xml:space="preserve">.  </w:t>
      </w:r>
      <w:r>
        <w:t xml:space="preserve">This section says that taxes are allocated according to the Tax Sharing Agreement.  However, there is no Tax Sharing Agreement included as part of the CAM.  Further, PPL EU is not a party to a separate Tax Sharing Agreement produced in response to other document requests.  </w:t>
      </w:r>
    </w:p>
    <w:p w:rsidR="00A426C4" w:rsidRDefault="00A426C4" w:rsidP="00A426C4">
      <w:r w:rsidRPr="00C74B70">
        <w:rPr>
          <w:b/>
        </w:rPr>
        <w:t>Chapter 9:  Public Utility Holding Company Act (PUHCA) Requirements</w:t>
      </w:r>
      <w:r w:rsidR="00C74B70" w:rsidRPr="00C74B70">
        <w:rPr>
          <w:b/>
        </w:rPr>
        <w:t>.</w:t>
      </w:r>
      <w:r w:rsidR="00C74B70">
        <w:t xml:space="preserve">  </w:t>
      </w:r>
      <w:r>
        <w:t>This chapter is an excerpt of draft testimony from PPL EU’s 2010 base rate case that was not filed in the proceeding.  The testimony states that, with the acquisition of LKE, it falls under the jurisdiction of the federal Public Utility Holding Company Act of 2005 (PUHCA 2005) and identifies several obligations of PPL Corporation:</w:t>
      </w:r>
    </w:p>
    <w:p w:rsidR="00A426C4" w:rsidRDefault="00A426C4" w:rsidP="00A426C4">
      <w:pPr>
        <w:pStyle w:val="Bullet"/>
      </w:pPr>
      <w:r>
        <w:t>It requires each holding company and each associate company to maintain, and make available to the Federal Energy Regulatory Commission (FERC) all associate (affiliate) company books, accounts, memoranda, and transaction records</w:t>
      </w:r>
    </w:p>
    <w:p w:rsidR="00A426C4" w:rsidRDefault="00A426C4" w:rsidP="00A426C4">
      <w:pPr>
        <w:pStyle w:val="Bullet"/>
      </w:pPr>
      <w:r>
        <w:t>The records are also made available to state regulators</w:t>
      </w:r>
    </w:p>
    <w:p w:rsidR="00A426C4" w:rsidRDefault="00A426C4" w:rsidP="00A426C4">
      <w:pPr>
        <w:pStyle w:val="Bullet"/>
      </w:pPr>
      <w:r>
        <w:t>All PPL Corporation service companies must file a FERC Form No. 60 annually</w:t>
      </w:r>
    </w:p>
    <w:p w:rsidR="00A426C4" w:rsidRDefault="00A426C4" w:rsidP="00A426C4">
      <w:pPr>
        <w:pStyle w:val="Bullet"/>
      </w:pPr>
      <w:r>
        <w:t>Every service company must use the FERC Uniform System of Accounts</w:t>
      </w:r>
    </w:p>
    <w:p w:rsidR="00A426C4" w:rsidRPr="00AC43BE" w:rsidRDefault="00A426C4" w:rsidP="00A426C4">
      <w:pPr>
        <w:pStyle w:val="Normal-aftertable"/>
      </w:pPr>
      <w:r>
        <w:t xml:space="preserve">In addition, the testimony notes the FERC regulations to protect against utility/affiliate cross-subsidization and that PPL EU’s purchases from service companies are at cost.  It also notes that Pennsylvania, Kentucky, and Virginia all have prohibitions against utility/affiliate cross-subsidization. </w:t>
      </w:r>
    </w:p>
    <w:p w:rsidR="00A426C4" w:rsidRPr="00AC43BE" w:rsidRDefault="00A426C4" w:rsidP="00C74B70">
      <w:pPr>
        <w:keepNext/>
      </w:pPr>
      <w:r w:rsidRPr="00381EBB">
        <w:rPr>
          <w:b/>
        </w:rPr>
        <w:t xml:space="preserve">Appendix A: </w:t>
      </w:r>
      <w:r w:rsidRPr="00702752">
        <w:rPr>
          <w:b/>
        </w:rPr>
        <w:t>Glossary of Terms</w:t>
      </w:r>
      <w:r w:rsidRPr="003464A0">
        <w:rPr>
          <w:b/>
        </w:rPr>
        <w:t>.</w:t>
      </w:r>
      <w:r w:rsidR="00C74B70" w:rsidRPr="00C74B70">
        <w:t xml:space="preserve">  </w:t>
      </w:r>
      <w:r>
        <w:t xml:space="preserve">This appendix defines many of the terms used in the CAM.  However, the terms defined are not consistent with the definitions of terms in Appendix E, National Association of Regulatory Commissioners (NARUC) Guidelines for Cost Allocation and Affiliate Transactions.  The definitions of like terms are the </w:t>
      </w:r>
      <w:r>
        <w:lastRenderedPageBreak/>
        <w:t xml:space="preserve">same, but the two glossaries have different terms.  For example, the CAM defines “Direct Charge” and “Direct Cost” but the NARUC glossary only defines “Direct Cost.” </w:t>
      </w:r>
    </w:p>
    <w:p w:rsidR="00A426C4" w:rsidRPr="00AC43BE" w:rsidRDefault="00A426C4" w:rsidP="00A426C4">
      <w:r w:rsidRPr="00381EBB">
        <w:rPr>
          <w:b/>
        </w:rPr>
        <w:t xml:space="preserve">Appendix B: </w:t>
      </w:r>
      <w:r w:rsidRPr="00702752">
        <w:rPr>
          <w:b/>
        </w:rPr>
        <w:t>Affiliated Interest Agreement</w:t>
      </w:r>
      <w:r w:rsidRPr="00381EBB">
        <w:t>.</w:t>
      </w:r>
      <w:r w:rsidR="00C74B70">
        <w:t xml:space="preserve">  </w:t>
      </w:r>
      <w:r>
        <w:t>This appendix is a copy of the November 1, 2014 Services Agreement between PPL Corporation and PPL EU that was discussed in the Service Level Agreement section above.</w:t>
      </w:r>
    </w:p>
    <w:p w:rsidR="00A426C4" w:rsidRPr="00AC43BE" w:rsidRDefault="00A426C4" w:rsidP="00A426C4">
      <w:r w:rsidRPr="00381EBB">
        <w:rPr>
          <w:b/>
        </w:rPr>
        <w:t xml:space="preserve">Appendix C: </w:t>
      </w:r>
      <w:r w:rsidRPr="00702752">
        <w:rPr>
          <w:b/>
        </w:rPr>
        <w:t>Chapter 54, Section 54 122 Pennsylvania Code of Conduct</w:t>
      </w:r>
      <w:r w:rsidRPr="003464A0">
        <w:rPr>
          <w:b/>
        </w:rPr>
        <w:t>.</w:t>
      </w:r>
      <w:r w:rsidR="00C74B70" w:rsidRPr="00C74B70">
        <w:t xml:space="preserve">  </w:t>
      </w:r>
      <w:r>
        <w:t>With the Talen spinoff, PPL EU no longer has affiliated competitive generation suppliers and this Code of Conduct is no longer relevant to affiliate relationships.</w:t>
      </w:r>
    </w:p>
    <w:p w:rsidR="00A426C4" w:rsidRDefault="00A426C4" w:rsidP="00A426C4">
      <w:r w:rsidRPr="00381EBB">
        <w:rPr>
          <w:b/>
        </w:rPr>
        <w:t xml:space="preserve">Appendix D: </w:t>
      </w:r>
      <w:r w:rsidRPr="00702752">
        <w:rPr>
          <w:b/>
        </w:rPr>
        <w:t>Federal Energy Regulatory Commission 18 CFR 35.44</w:t>
      </w:r>
      <w:r w:rsidRPr="003464A0">
        <w:rPr>
          <w:b/>
        </w:rPr>
        <w:t>.</w:t>
      </w:r>
      <w:r w:rsidR="00C74B70" w:rsidRPr="00C74B70">
        <w:t xml:space="preserve">  </w:t>
      </w:r>
      <w:r>
        <w:t xml:space="preserve">The federal regulation prohibiting cross-subsidization between FERC regulated transmission utilities and its affiliates.  It also requires that:  </w:t>
      </w:r>
    </w:p>
    <w:p w:rsidR="00A426C4" w:rsidRDefault="00A426C4" w:rsidP="00A426C4">
      <w:pPr>
        <w:pStyle w:val="Bullet"/>
      </w:pPr>
      <w:r>
        <w:t>Sales from a franchised public utility like PPL EU to a non-utility affiliate must be at the higher of cost or market.</w:t>
      </w:r>
    </w:p>
    <w:p w:rsidR="00A426C4" w:rsidRPr="00AC43BE" w:rsidRDefault="00A426C4" w:rsidP="00A426C4">
      <w:pPr>
        <w:pStyle w:val="Bullet"/>
      </w:pPr>
      <w:r>
        <w:t xml:space="preserve">Franchised public utilities like PPL EU may only purchase goods and services from a centralized service company at cost. </w:t>
      </w:r>
    </w:p>
    <w:p w:rsidR="00A426C4" w:rsidRDefault="00A426C4" w:rsidP="00C74B70">
      <w:pPr>
        <w:spacing w:before="120"/>
      </w:pPr>
      <w:r w:rsidRPr="00381EBB">
        <w:rPr>
          <w:b/>
        </w:rPr>
        <w:t xml:space="preserve">Appendix E: </w:t>
      </w:r>
      <w:r w:rsidRPr="00702752">
        <w:rPr>
          <w:b/>
        </w:rPr>
        <w:t>National Association of Regulatory Utility Commissioners Guidelines for Cost Allocation and Affiliate Transactions</w:t>
      </w:r>
      <w:r w:rsidRPr="00C75E52">
        <w:rPr>
          <w:b/>
        </w:rPr>
        <w:t>.</w:t>
      </w:r>
      <w:r w:rsidR="00C74B70" w:rsidRPr="00C74B70">
        <w:t xml:space="preserve">  </w:t>
      </w:r>
      <w:r>
        <w:t>This document includes definitions of terms used and guidelines on:</w:t>
      </w:r>
    </w:p>
    <w:p w:rsidR="00A426C4" w:rsidRDefault="00A426C4" w:rsidP="00A426C4">
      <w:pPr>
        <w:pStyle w:val="Bullet"/>
      </w:pPr>
      <w:r>
        <w:t>Cost Allocation Principles – costs should be collected and classified on a direct basis for each asset, service, or product provided and the general method for charging indirect cost should be on a fully allocated cost basis</w:t>
      </w:r>
    </w:p>
    <w:p w:rsidR="00A426C4" w:rsidRDefault="00A426C4" w:rsidP="00A426C4">
      <w:pPr>
        <w:pStyle w:val="Bullet"/>
      </w:pPr>
      <w:r>
        <w:t>Cost Allocation Manual – a description of all assets, services, and products provided to and from the regulated entity and each of its affiliates and vice versa  and a description of the cost allocators and methods used by its affiliates related to the regulated services and products provided to the regulated utility.</w:t>
      </w:r>
    </w:p>
    <w:p w:rsidR="00A426C4" w:rsidRDefault="00A426C4" w:rsidP="00A426C4">
      <w:pPr>
        <w:pStyle w:val="Bullet"/>
      </w:pPr>
      <w:r>
        <w:t xml:space="preserve">Affiliate Transactions – includes the admonition that, “First, affiliate transactions raise the concern of self-dealing where market forces do not necessarily drive prices.  Second, utilities have a natural business incentive to shift costs from </w:t>
      </w:r>
      <w:r w:rsidR="005C402E">
        <w:t>nonregulated</w:t>
      </w:r>
      <w:r>
        <w:t xml:space="preserve"> competitive operations to regulated monopoly operations since recovery is more certain with captive ratepayers.”  Further, this section requires asymmetric pricing:</w:t>
      </w:r>
    </w:p>
    <w:p w:rsidR="00A426C4" w:rsidRDefault="00A426C4" w:rsidP="00A426C4">
      <w:pPr>
        <w:pStyle w:val="Bullet-indent1"/>
      </w:pPr>
      <w:r>
        <w:t>The higher of fully allocated costs or prevailing market prices from the utility to an affiliate</w:t>
      </w:r>
    </w:p>
    <w:p w:rsidR="00A426C4" w:rsidRDefault="00A426C4" w:rsidP="00A426C4">
      <w:pPr>
        <w:pStyle w:val="Bullet-indent1"/>
      </w:pPr>
      <w:r>
        <w:t>The lower of fully allocated costs or prevailing market prices from the affiliate to the utility</w:t>
      </w:r>
    </w:p>
    <w:p w:rsidR="00A426C4" w:rsidRDefault="00A426C4" w:rsidP="00A426C4">
      <w:pPr>
        <w:pStyle w:val="Bullet"/>
      </w:pPr>
      <w:r>
        <w:t>Audit Requirements – the utility should maintain a fully documented audit trail for all affiliate transactions and it should be available to regulators</w:t>
      </w:r>
    </w:p>
    <w:p w:rsidR="00A426C4" w:rsidRPr="00AC43BE" w:rsidRDefault="00A426C4" w:rsidP="00A426C4">
      <w:pPr>
        <w:pStyle w:val="Bullet"/>
      </w:pPr>
      <w:r>
        <w:t>Reporting Requirements – the utility should report annually the dollar amount of transactions for each service or product for transactions to and from each affiliate</w:t>
      </w:r>
    </w:p>
    <w:p w:rsidR="00A426C4" w:rsidRDefault="00A426C4" w:rsidP="00C74B70">
      <w:pPr>
        <w:spacing w:before="120"/>
      </w:pPr>
      <w:r w:rsidRPr="00381EBB">
        <w:rPr>
          <w:b/>
        </w:rPr>
        <w:t xml:space="preserve">Appendix F: </w:t>
      </w:r>
      <w:r w:rsidRPr="00702752">
        <w:rPr>
          <w:b/>
        </w:rPr>
        <w:t>Corporate Governance Education Session – Standards of Conduct</w:t>
      </w:r>
      <w:r w:rsidRPr="00C75E52">
        <w:rPr>
          <w:b/>
        </w:rPr>
        <w:t>.</w:t>
      </w:r>
      <w:r w:rsidR="00C74B70">
        <w:rPr>
          <w:b/>
        </w:rPr>
        <w:t xml:space="preserve">  </w:t>
      </w:r>
      <w:r>
        <w:t>This appendix includes two PowerPoint presentations:</w:t>
      </w:r>
    </w:p>
    <w:p w:rsidR="00A426C4" w:rsidRDefault="00A426C4" w:rsidP="00A426C4">
      <w:pPr>
        <w:pStyle w:val="Bullet"/>
      </w:pPr>
      <w:r>
        <w:lastRenderedPageBreak/>
        <w:t xml:space="preserve"> An August 23, 2012 presentation by a PPL SC attorney covering  the FERC Standards of Conduct and Affiliate Restrictions </w:t>
      </w:r>
    </w:p>
    <w:p w:rsidR="00A426C4" w:rsidRDefault="00A426C4" w:rsidP="00A426C4">
      <w:pPr>
        <w:pStyle w:val="Bullet"/>
      </w:pPr>
      <w:r>
        <w:t>An August 23, 2012 presentation by a PPL SC attorney on the Pennsylvania Affiliate Rules</w:t>
      </w:r>
    </w:p>
    <w:p w:rsidR="00A426C4" w:rsidRPr="00AC43BE" w:rsidRDefault="00A426C4" w:rsidP="00A426C4">
      <w:pPr>
        <w:pStyle w:val="Normal-aftertable"/>
      </w:pPr>
      <w:r>
        <w:t>Annual training of FERC Standards of Conduct is provided to every employee and contractor who may have access to PPL EU’s transmission function information.  In addition, no access to PPL EU’s Transmission Function Information is granted to anyone who hasn’t undergone training on FERC Standards of Conduct.</w:t>
      </w:r>
    </w:p>
    <w:p w:rsidR="00A426C4" w:rsidRPr="00AC43BE" w:rsidRDefault="00A426C4" w:rsidP="00A426C4">
      <w:r w:rsidRPr="00381EBB">
        <w:rPr>
          <w:b/>
        </w:rPr>
        <w:t xml:space="preserve">Appendix G: </w:t>
      </w:r>
      <w:r w:rsidRPr="00702752">
        <w:rPr>
          <w:b/>
        </w:rPr>
        <w:t>FERC Compliance Manual</w:t>
      </w:r>
      <w:r w:rsidRPr="003464A0">
        <w:rPr>
          <w:b/>
        </w:rPr>
        <w:t>.</w:t>
      </w:r>
      <w:r w:rsidR="00C74B70" w:rsidRPr="00C74B70">
        <w:t xml:space="preserve">  </w:t>
      </w:r>
      <w:r>
        <w:t xml:space="preserve">This is a 98 page document dated December 31, 2013 that lists the FERC requirements for utility relationships with affiliated energy marketing entities and other federal requirements.  </w:t>
      </w:r>
    </w:p>
    <w:p w:rsidR="00A426C4" w:rsidRDefault="00A426C4" w:rsidP="00C74B70">
      <w:pPr>
        <w:keepNext/>
      </w:pPr>
      <w:r w:rsidRPr="00381EBB">
        <w:rPr>
          <w:b/>
        </w:rPr>
        <w:t>Appendix H:</w:t>
      </w:r>
      <w:r>
        <w:t xml:space="preserve"> </w:t>
      </w:r>
      <w:r w:rsidRPr="00A93B17">
        <w:rPr>
          <w:b/>
        </w:rPr>
        <w:t>Deloitte and Touche Public Utilities Group’s Study on Cost Allocations and Affiliate Transactions.</w:t>
      </w:r>
      <w:r w:rsidR="00C74B70" w:rsidRPr="00C74B70">
        <w:t xml:space="preserve">  </w:t>
      </w:r>
      <w:r>
        <w:t>This is a June 1999 report by the Deloitte &amp; Touche Public Utilities Group for the Edison Electric Institute entitled, “Cost Allocation and Affiliate Transactions.”  It covers:</w:t>
      </w:r>
    </w:p>
    <w:p w:rsidR="00A426C4" w:rsidRDefault="00A426C4" w:rsidP="00A426C4">
      <w:pPr>
        <w:pStyle w:val="Bullet"/>
      </w:pPr>
      <w:r>
        <w:t>Glossary of Terms</w:t>
      </w:r>
    </w:p>
    <w:p w:rsidR="00A426C4" w:rsidRDefault="00A426C4" w:rsidP="00A426C4">
      <w:pPr>
        <w:pStyle w:val="Bullet"/>
      </w:pPr>
      <w:r>
        <w:t>Cost Accumulation and Allocation</w:t>
      </w:r>
    </w:p>
    <w:p w:rsidR="00A426C4" w:rsidRDefault="00A426C4" w:rsidP="00A426C4">
      <w:pPr>
        <w:pStyle w:val="Bullet"/>
      </w:pPr>
      <w:r>
        <w:t>Transfer Pricing Methods</w:t>
      </w:r>
    </w:p>
    <w:p w:rsidR="00A426C4" w:rsidRDefault="00A426C4" w:rsidP="00A426C4">
      <w:pPr>
        <w:pStyle w:val="Bullet"/>
      </w:pPr>
      <w:r>
        <w:t>Reporting Requirements</w:t>
      </w:r>
    </w:p>
    <w:p w:rsidR="00A426C4" w:rsidRDefault="00A426C4" w:rsidP="00A426C4">
      <w:pPr>
        <w:pStyle w:val="Normal-aftertable"/>
      </w:pPr>
      <w:r>
        <w:t>It largely reflects the NARUC guidelines in Appendix E.</w:t>
      </w:r>
    </w:p>
    <w:p w:rsidR="00A426C4" w:rsidRDefault="00A426C4" w:rsidP="00C74B70">
      <w:pPr>
        <w:pStyle w:val="Heading40"/>
      </w:pPr>
      <w:r>
        <w:t>PPL EUS Cost Allocation Process</w:t>
      </w:r>
    </w:p>
    <w:p w:rsidR="00A426C4" w:rsidRDefault="00A426C4" w:rsidP="00A426C4">
      <w:r>
        <w:t>The PPL EU Services Cost Allocation Process Manual (CAM) is a relatively brief 14 page document with the following sections and appendices:</w:t>
      </w:r>
    </w:p>
    <w:p w:rsidR="00A426C4" w:rsidRDefault="00A426C4" w:rsidP="00A426C4">
      <w:pPr>
        <w:pStyle w:val="Bullet"/>
      </w:pPr>
      <w:r>
        <w:t>Executive Summary</w:t>
      </w:r>
    </w:p>
    <w:p w:rsidR="00A426C4" w:rsidRDefault="00A426C4" w:rsidP="00A426C4">
      <w:pPr>
        <w:pStyle w:val="Bullet"/>
      </w:pPr>
      <w:r>
        <w:t>Allocation of Category A Costs</w:t>
      </w:r>
    </w:p>
    <w:p w:rsidR="00A426C4" w:rsidRDefault="00A426C4" w:rsidP="00A426C4">
      <w:pPr>
        <w:pStyle w:val="Bullet"/>
      </w:pPr>
      <w:r>
        <w:t>Allocation of Category B Costs</w:t>
      </w:r>
    </w:p>
    <w:p w:rsidR="00A426C4" w:rsidRDefault="00A426C4" w:rsidP="00A426C4">
      <w:pPr>
        <w:pStyle w:val="Bullet"/>
      </w:pPr>
      <w:r>
        <w:t>Fixed Assets</w:t>
      </w:r>
    </w:p>
    <w:p w:rsidR="00A426C4" w:rsidRDefault="00A426C4" w:rsidP="00A426C4">
      <w:pPr>
        <w:pStyle w:val="Bullet"/>
      </w:pPr>
      <w:r>
        <w:t>Cash and Treasury Impacts</w:t>
      </w:r>
    </w:p>
    <w:p w:rsidR="00A426C4" w:rsidRDefault="00A426C4" w:rsidP="00A426C4">
      <w:pPr>
        <w:pStyle w:val="Bullet"/>
      </w:pPr>
      <w:r>
        <w:t>Taxes</w:t>
      </w:r>
    </w:p>
    <w:p w:rsidR="00A426C4" w:rsidRDefault="00A426C4" w:rsidP="00A426C4">
      <w:pPr>
        <w:pStyle w:val="Bullet"/>
      </w:pPr>
      <w:r>
        <w:t>Issuance of Stock</w:t>
      </w:r>
    </w:p>
    <w:p w:rsidR="00A426C4" w:rsidRDefault="00A426C4" w:rsidP="00A426C4">
      <w:pPr>
        <w:pStyle w:val="Normal-aftertable"/>
      </w:pPr>
      <w:r>
        <w:t>Appendix A: Listing of Current Responsibility Centers Residing in PPL EUS</w:t>
      </w:r>
    </w:p>
    <w:p w:rsidR="00A426C4" w:rsidRDefault="00A426C4" w:rsidP="00A426C4">
      <w:r>
        <w:t>Appendix B: 2015 PPL EUS Budgeted Activities and Mapping to FERC Accounts</w:t>
      </w:r>
    </w:p>
    <w:p w:rsidR="00A426C4" w:rsidRDefault="00A426C4" w:rsidP="00A426C4">
      <w:r>
        <w:t>Appendix C: Review of Administrative and General Versus Non-Administrative and General Support Costs</w:t>
      </w:r>
    </w:p>
    <w:p w:rsidR="00A426C4" w:rsidRDefault="00A426C4" w:rsidP="00A426C4">
      <w:r>
        <w:t>Appendix D: Review of Overhead Accounts</w:t>
      </w:r>
    </w:p>
    <w:p w:rsidR="00A426C4" w:rsidRDefault="00A426C4" w:rsidP="00A426C4">
      <w:r>
        <w:t>Each section and appendix is described below.</w:t>
      </w:r>
    </w:p>
    <w:p w:rsidR="00A426C4" w:rsidRDefault="00A426C4" w:rsidP="00A426C4">
      <w:proofErr w:type="gramStart"/>
      <w:r w:rsidRPr="00C7212A">
        <w:rPr>
          <w:b/>
        </w:rPr>
        <w:lastRenderedPageBreak/>
        <w:t>Executive Summary</w:t>
      </w:r>
      <w:r w:rsidR="00C74B70">
        <w:rPr>
          <w:b/>
        </w:rPr>
        <w:t>.</w:t>
      </w:r>
      <w:proofErr w:type="gramEnd"/>
      <w:r w:rsidR="00C74B70" w:rsidRPr="00C74B70">
        <w:t xml:space="preserve">  </w:t>
      </w:r>
      <w:r>
        <w:t>The goal of this document is to accumulate and document all cost allocation policies for PPL EUS to support proper accounting and budgeting.  PPL EUS is comprised of the following organizations:</w:t>
      </w:r>
    </w:p>
    <w:p w:rsidR="00A426C4" w:rsidRDefault="00A426C4" w:rsidP="00A426C4">
      <w:pPr>
        <w:pStyle w:val="Bullet"/>
      </w:pPr>
      <w:r>
        <w:t>Communications</w:t>
      </w:r>
    </w:p>
    <w:p w:rsidR="00A426C4" w:rsidRDefault="00A426C4" w:rsidP="00A426C4">
      <w:pPr>
        <w:pStyle w:val="Bullet"/>
      </w:pPr>
      <w:r>
        <w:t>Facilities Management</w:t>
      </w:r>
    </w:p>
    <w:p w:rsidR="00A426C4" w:rsidRDefault="00A426C4" w:rsidP="00A426C4">
      <w:pPr>
        <w:pStyle w:val="Bullet"/>
      </w:pPr>
      <w:r>
        <w:t>Finance and Regulatory Affairs</w:t>
      </w:r>
    </w:p>
    <w:p w:rsidR="00A426C4" w:rsidRDefault="00A426C4" w:rsidP="00A426C4">
      <w:pPr>
        <w:pStyle w:val="Bullet"/>
      </w:pPr>
      <w:r>
        <w:t>Human Resources</w:t>
      </w:r>
    </w:p>
    <w:p w:rsidR="00A426C4" w:rsidRDefault="00A426C4" w:rsidP="00A426C4">
      <w:pPr>
        <w:pStyle w:val="Bullet"/>
      </w:pPr>
      <w:r>
        <w:t>Supply Chain</w:t>
      </w:r>
    </w:p>
    <w:p w:rsidR="00A426C4" w:rsidRDefault="00A426C4" w:rsidP="00A426C4">
      <w:pPr>
        <w:pStyle w:val="Normal-aftertable"/>
      </w:pPr>
      <w:r>
        <w:t>These organizations are, in turn, subdivided into responsibility centers (RCs).</w:t>
      </w:r>
    </w:p>
    <w:p w:rsidR="00A426C4" w:rsidRDefault="00A426C4">
      <w:r>
        <w:t xml:space="preserve">PPL EUS RCs will direct charge for capital projects.  O&amp;M costs will be allocated either as Category A for </w:t>
      </w:r>
      <w:proofErr w:type="gramStart"/>
      <w:r>
        <w:t>attributable</w:t>
      </w:r>
      <w:proofErr w:type="gramEnd"/>
      <w:r>
        <w:t xml:space="preserve"> direct costs or Category B for indirect costs.  </w:t>
      </w:r>
    </w:p>
    <w:p w:rsidR="00A426C4" w:rsidRDefault="00A426C4">
      <w:r>
        <w:t xml:space="preserve">Category </w:t>
      </w:r>
      <w:proofErr w:type="gramStart"/>
      <w:r>
        <w:t>A</w:t>
      </w:r>
      <w:proofErr w:type="gramEnd"/>
      <w:r>
        <w:t xml:space="preserve"> O&amp;M costs that benefit multiple business lines will be allocated based on predetermined percentages that are annually reviewed and approved.</w:t>
      </w:r>
    </w:p>
    <w:p w:rsidR="00A426C4" w:rsidRDefault="00A426C4">
      <w:r>
        <w:t>Category B O&amp;M costs include:</w:t>
      </w:r>
    </w:p>
    <w:p w:rsidR="00A426C4" w:rsidRDefault="00A426C4" w:rsidP="00A426C4">
      <w:pPr>
        <w:pStyle w:val="Bullet"/>
      </w:pPr>
      <w:r>
        <w:t>PPL EUS RC services for another PPL EUS RC</w:t>
      </w:r>
    </w:p>
    <w:p w:rsidR="00A426C4" w:rsidRDefault="00A426C4" w:rsidP="00A426C4">
      <w:pPr>
        <w:pStyle w:val="Bullet"/>
      </w:pPr>
      <w:r>
        <w:t>PPL SC charges to PPL EUS</w:t>
      </w:r>
    </w:p>
    <w:p w:rsidR="00A426C4" w:rsidRDefault="00A426C4" w:rsidP="00A426C4">
      <w:pPr>
        <w:pStyle w:val="Bullet"/>
      </w:pPr>
      <w:r>
        <w:t xml:space="preserve">PPL EUS interest expense, taxes, or other non-operating income </w:t>
      </w:r>
    </w:p>
    <w:p w:rsidR="00A426C4" w:rsidRDefault="00A426C4" w:rsidP="00A426C4">
      <w:pPr>
        <w:pStyle w:val="Bullet"/>
      </w:pPr>
      <w:r>
        <w:t>PPL EUS rent and fixed asset costs</w:t>
      </w:r>
    </w:p>
    <w:p w:rsidR="00A426C4" w:rsidRDefault="00A426C4" w:rsidP="00C74B70">
      <w:pPr>
        <w:keepNext/>
        <w:spacing w:before="120"/>
      </w:pPr>
      <w:r w:rsidRPr="00C7212A">
        <w:rPr>
          <w:b/>
        </w:rPr>
        <w:t>Allocation of Category A Costs</w:t>
      </w:r>
      <w:r w:rsidR="00C74B70">
        <w:rPr>
          <w:b/>
        </w:rPr>
        <w:t>.</w:t>
      </w:r>
      <w:r w:rsidR="00C74B70" w:rsidRPr="00C74B70">
        <w:t xml:space="preserve">  </w:t>
      </w:r>
      <w:r>
        <w:t xml:space="preserve">The majority of Category A costs </w:t>
      </w:r>
      <w:proofErr w:type="gramStart"/>
      <w:r>
        <w:t>are</w:t>
      </w:r>
      <w:proofErr w:type="gramEnd"/>
      <w:r>
        <w:t xml:space="preserve"> payroll costs.  Accounting for payroll costs will be largely dependent upon accurate time reporting.  The majority of time reporting in PPL EUS is done via default accounting using predetermined percentages.  RC heads annually review and approve the default percentages.  </w:t>
      </w:r>
      <w:proofErr w:type="gramStart"/>
      <w:r>
        <w:t>Category A costs also include</w:t>
      </w:r>
      <w:proofErr w:type="gramEnd"/>
      <w:r>
        <w:t xml:space="preserve"> other employee expenses such as travel, training, and office supplies.  PPL EUS Budget Consolidation and Reporting maintains details in support of the allocation calculations and derived default accounting.</w:t>
      </w:r>
    </w:p>
    <w:p w:rsidR="00A426C4" w:rsidRDefault="00A426C4" w:rsidP="00C74B70">
      <w:pPr>
        <w:keepNext/>
      </w:pPr>
      <w:proofErr w:type="gramStart"/>
      <w:r w:rsidRPr="00C7212A">
        <w:rPr>
          <w:b/>
        </w:rPr>
        <w:t>Allocation of Category B Costs</w:t>
      </w:r>
      <w:r w:rsidR="00C74B70">
        <w:rPr>
          <w:b/>
        </w:rPr>
        <w:t>.</w:t>
      </w:r>
      <w:proofErr w:type="gramEnd"/>
      <w:r w:rsidR="00C74B70" w:rsidRPr="00C74B70">
        <w:t xml:space="preserve">  </w:t>
      </w:r>
      <w:r>
        <w:t xml:space="preserve">Category B costs include rent, interest expense, taxes other than income, PPLSC charges to PPL EUS, and </w:t>
      </w:r>
      <w:proofErr w:type="spellStart"/>
      <w:r>
        <w:t>unreconciled</w:t>
      </w:r>
      <w:proofErr w:type="spellEnd"/>
      <w:r>
        <w:t xml:space="preserve"> costs from the current month.  Prior to the Talen spinoff, it was determined that 94% of the charges go to PPL EU with 83% of that going to Distribution and 17% to Transmission.  The remaining 6% were allocated between PPL Global Consolidated (61%) and PPL Energy Supply Consolidated (39%) using the three factor general allocator and rounding to whole percentages of 4% and 2% respectively.  After the Talen spinoff, it was determined that 99% of the charges go to PPL EU with 81% of that amount going to Distribution and 18% to Transmission.  The remaining 1% was allocated to PPL Global Consolidated using the three factor general allocator.</w:t>
      </w:r>
    </w:p>
    <w:p w:rsidR="00A426C4" w:rsidRPr="00C7212A" w:rsidRDefault="00A426C4" w:rsidP="00A426C4">
      <w:proofErr w:type="gramStart"/>
      <w:r w:rsidRPr="00C7212A">
        <w:rPr>
          <w:b/>
        </w:rPr>
        <w:t>Fixed Assets</w:t>
      </w:r>
      <w:r w:rsidR="00C74B70">
        <w:rPr>
          <w:b/>
        </w:rPr>
        <w:t>.</w:t>
      </w:r>
      <w:proofErr w:type="gramEnd"/>
      <w:r w:rsidR="00C74B70" w:rsidRPr="00C74B70">
        <w:t xml:space="preserve">  </w:t>
      </w:r>
      <w:r>
        <w:t>PPL EUS will own no assets and will have no Category D depreciation expenses.</w:t>
      </w:r>
    </w:p>
    <w:p w:rsidR="00A426C4" w:rsidRPr="00C7212A" w:rsidRDefault="00A426C4" w:rsidP="00A426C4">
      <w:proofErr w:type="gramStart"/>
      <w:r w:rsidRPr="00C7212A">
        <w:rPr>
          <w:b/>
        </w:rPr>
        <w:t>Cash and Treasury Impacts</w:t>
      </w:r>
      <w:r w:rsidR="00C74B70">
        <w:rPr>
          <w:b/>
        </w:rPr>
        <w:t>.</w:t>
      </w:r>
      <w:proofErr w:type="gramEnd"/>
      <w:r w:rsidR="00C74B70" w:rsidRPr="00C74B70">
        <w:t xml:space="preserve">  </w:t>
      </w:r>
      <w:r>
        <w:t>CEP Reserves made an intercompany loan of $59,000 on January 9,</w:t>
      </w:r>
      <w:r w:rsidR="00F94DB8">
        <w:t xml:space="preserve"> </w:t>
      </w:r>
      <w:r>
        <w:t>2015 to PPL EUS to establish a cash account to fund payroll and pay other bills.  The interest expense is allocated as a Category B indirect expense.</w:t>
      </w:r>
    </w:p>
    <w:p w:rsidR="00A426C4" w:rsidRPr="00C7212A" w:rsidRDefault="00A426C4" w:rsidP="00A426C4">
      <w:r w:rsidRPr="00C7212A">
        <w:rPr>
          <w:b/>
        </w:rPr>
        <w:lastRenderedPageBreak/>
        <w:t>Appendix A: Listing of Current Responsibility Centers Residing in PPL EUS</w:t>
      </w:r>
      <w:r w:rsidR="00C74B70">
        <w:rPr>
          <w:b/>
        </w:rPr>
        <w:t>.</w:t>
      </w:r>
      <w:r w:rsidR="00C74B70" w:rsidRPr="00C74B70">
        <w:t xml:space="preserve">  </w:t>
      </w:r>
      <w:proofErr w:type="gramStart"/>
      <w:r>
        <w:t>List of 24 RCs in the five PPL EUS groups.</w:t>
      </w:r>
      <w:proofErr w:type="gramEnd"/>
    </w:p>
    <w:p w:rsidR="00A426C4" w:rsidRPr="00C7212A" w:rsidRDefault="00A426C4" w:rsidP="00A426C4">
      <w:r w:rsidRPr="00C7212A">
        <w:rPr>
          <w:b/>
        </w:rPr>
        <w:t>Appendix B: 2015 PPL EUS Budgeted Activities and Mapping to FERC Accounts</w:t>
      </w:r>
      <w:r>
        <w:rPr>
          <w:b/>
        </w:rPr>
        <w:t>.</w:t>
      </w:r>
      <w:r w:rsidR="00C74B70">
        <w:rPr>
          <w:b/>
        </w:rPr>
        <w:t xml:space="preserve">  </w:t>
      </w:r>
      <w:r>
        <w:t>This is a reference to the mapping of the budgeted PPL EUS Cost Control Numbers (CCNs) to accounts on an intranet network drive folder.</w:t>
      </w:r>
    </w:p>
    <w:p w:rsidR="00A426C4" w:rsidRPr="00C7212A" w:rsidRDefault="00A426C4" w:rsidP="00C74B70">
      <w:pPr>
        <w:keepNext/>
      </w:pPr>
      <w:r w:rsidRPr="00C7212A">
        <w:rPr>
          <w:b/>
        </w:rPr>
        <w:t>Appendix C: Review of Administrative and General Versus Non-Administrative and General Support Costs</w:t>
      </w:r>
      <w:r>
        <w:rPr>
          <w:b/>
        </w:rPr>
        <w:t>.</w:t>
      </w:r>
      <w:r w:rsidR="00C74B70" w:rsidRPr="00C74B70">
        <w:t xml:space="preserve">  </w:t>
      </w:r>
      <w:r>
        <w:t>Explains why these costs are charged to FERC account 56600, Miscellaneous Transmission Expenses and FERC account 58840, Distribution Support, Office Person.</w:t>
      </w:r>
    </w:p>
    <w:p w:rsidR="00A426C4" w:rsidRDefault="00A426C4" w:rsidP="00A426C4">
      <w:r w:rsidRPr="00C7212A">
        <w:rPr>
          <w:b/>
        </w:rPr>
        <w:t>Appendix D: Review of Overhead Accounts</w:t>
      </w:r>
      <w:r>
        <w:rPr>
          <w:b/>
        </w:rPr>
        <w:t>.</w:t>
      </w:r>
      <w:r w:rsidR="00C74B70" w:rsidRPr="00C74B70">
        <w:t xml:space="preserve">  </w:t>
      </w:r>
      <w:r>
        <w:t>Provides an overview of the accounts used to accumulate overhead costs.</w:t>
      </w:r>
    </w:p>
    <w:p w:rsidR="00A426C4" w:rsidRDefault="00A426C4" w:rsidP="00C74B70">
      <w:pPr>
        <w:pStyle w:val="Heading40"/>
      </w:pPr>
      <w:r>
        <w:t xml:space="preserve">PPL Services Corporation </w:t>
      </w:r>
    </w:p>
    <w:p w:rsidR="00A426C4" w:rsidRPr="004F4291" w:rsidRDefault="00A426C4" w:rsidP="00A426C4">
      <w:r>
        <w:t>PPL SC s</w:t>
      </w:r>
      <w:r w:rsidRPr="00505B67">
        <w:t>ervices are provided in two basic forms - Direct Support and Indirect and Other Support.  Direct Support is defined as a distinct product or service that can be readily identified as being incurred for a specific affiliate, accounted for, and monitored as direct support.  Any allocation of Direct Support to a specifi</w:t>
      </w:r>
      <w:r>
        <w:t xml:space="preserve">c affiliate is based on product or </w:t>
      </w:r>
      <w:r w:rsidRPr="00505B67">
        <w:t>service unit pricing, or specific and identifiable cost accumulation and transfer.  Indirect Support represents general and administrative su</w:t>
      </w:r>
      <w:r>
        <w:t xml:space="preserve">pport and depreciation and </w:t>
      </w:r>
      <w:r w:rsidRPr="00505B67">
        <w:t>amortization</w:t>
      </w:r>
      <w:r>
        <w:t xml:space="preserve"> charges that generally benefit</w:t>
      </w:r>
      <w:r w:rsidRPr="00505B67">
        <w:t xml:space="preserve"> all PPL Corporation subsidiaries</w:t>
      </w:r>
      <w:r>
        <w:t>,</w:t>
      </w:r>
      <w:r w:rsidRPr="00215130">
        <w:t xml:space="preserve"> </w:t>
      </w:r>
      <w:r w:rsidRPr="00505B67">
        <w:t>or</w:t>
      </w:r>
      <w:r>
        <w:t xml:space="preserve"> group of subsidiaries</w:t>
      </w:r>
      <w:r w:rsidRPr="00505B67">
        <w:t>, and, therefore, cannot be readily identified as being incurred for a specific affiliate.  Allocation of indirect support is base</w:t>
      </w:r>
      <w:r>
        <w:t xml:space="preserve">d on a three </w:t>
      </w:r>
      <w:r w:rsidRPr="00505B67">
        <w:t xml:space="preserve">factor allocation </w:t>
      </w:r>
      <w:r>
        <w:t>guideline</w:t>
      </w:r>
      <w:r w:rsidRPr="00505B67">
        <w:t xml:space="preserve">.  </w:t>
      </w:r>
      <w:r w:rsidRPr="00AC43BE">
        <w:t>Other Support includes mostly minor charges from other affiliates</w:t>
      </w:r>
      <w:r w:rsidRPr="00505B67">
        <w:t>.</w:t>
      </w:r>
    </w:p>
    <w:p w:rsidR="00A426C4" w:rsidRDefault="00A426C4" w:rsidP="00A426C4">
      <w:r>
        <w:t xml:space="preserve">PPL SC direct charges some services to affiliates, primarily capital work and some tax and legal work.  </w:t>
      </w:r>
      <w:r>
        <w:rPr>
          <w:rFonts w:cs="Arial"/>
          <w:szCs w:val="24"/>
        </w:rPr>
        <w:t xml:space="preserve">However, the bulk of PPL SC costs are allocated using the three factor formula.  </w:t>
      </w:r>
      <w:r>
        <w:t>O&amp;M allocations rely on default time allocations and the three factor general allocator.  The three factor allocations are made using equally weighted capitalization, O&amp;M expenditures, and the number of employees,</w:t>
      </w:r>
      <w:r w:rsidRPr="000C6CF6">
        <w:t xml:space="preserve"> </w:t>
      </w:r>
      <w:r>
        <w:t>each as relative to the other affiliates benefiting from the service.</w:t>
      </w:r>
    </w:p>
    <w:p w:rsidR="00A426C4" w:rsidRDefault="00A426C4" w:rsidP="00A426C4">
      <w:pPr>
        <w:spacing w:after="200"/>
        <w:rPr>
          <w:rFonts w:cs="Arial"/>
          <w:szCs w:val="24"/>
        </w:rPr>
      </w:pPr>
      <w:r>
        <w:rPr>
          <w:rFonts w:cs="Arial"/>
          <w:szCs w:val="24"/>
        </w:rPr>
        <w:t>There are five service groups for PPL SC:</w:t>
      </w:r>
    </w:p>
    <w:p w:rsidR="00A426C4" w:rsidRDefault="00A426C4" w:rsidP="00A426C4">
      <w:pPr>
        <w:pStyle w:val="Bullet"/>
      </w:pPr>
      <w:r>
        <w:t>Corporate Audit Services and Business Ethics</w:t>
      </w:r>
    </w:p>
    <w:p w:rsidR="00A426C4" w:rsidRPr="00171113" w:rsidRDefault="00A426C4" w:rsidP="00A426C4">
      <w:pPr>
        <w:pStyle w:val="Bullet"/>
      </w:pPr>
      <w:r w:rsidRPr="00171113">
        <w:t>Financ</w:t>
      </w:r>
      <w:r>
        <w:t>ial</w:t>
      </w:r>
    </w:p>
    <w:p w:rsidR="00A426C4" w:rsidRPr="00171113" w:rsidRDefault="00A426C4" w:rsidP="00A426C4">
      <w:pPr>
        <w:pStyle w:val="Bullet"/>
      </w:pPr>
      <w:r>
        <w:t xml:space="preserve">Office of </w:t>
      </w:r>
      <w:r w:rsidRPr="00171113">
        <w:t>General Counsel</w:t>
      </w:r>
    </w:p>
    <w:p w:rsidR="00A426C4" w:rsidRPr="00171113" w:rsidRDefault="00A426C4" w:rsidP="00A426C4">
      <w:pPr>
        <w:pStyle w:val="Bullet"/>
      </w:pPr>
      <w:r w:rsidRPr="00171113">
        <w:t>Human Resources</w:t>
      </w:r>
    </w:p>
    <w:p w:rsidR="00A426C4" w:rsidRPr="00171113" w:rsidRDefault="00A426C4" w:rsidP="00A426C4">
      <w:pPr>
        <w:pStyle w:val="Bullet"/>
      </w:pPr>
      <w:r w:rsidRPr="00171113">
        <w:t>I</w:t>
      </w:r>
      <w:r>
        <w:t xml:space="preserve">nformation </w:t>
      </w:r>
      <w:r w:rsidRPr="00171113">
        <w:t>T</w:t>
      </w:r>
      <w:r>
        <w:t>echnology</w:t>
      </w:r>
    </w:p>
    <w:p w:rsidR="00A426C4" w:rsidRDefault="00A426C4" w:rsidP="00A426C4">
      <w:pPr>
        <w:pStyle w:val="Normal-aftertable"/>
      </w:pPr>
      <w:r>
        <w:t>Each service group has a budget coordinator.  The budget includes forecast allocations to PPL EU and the other business units.  There is a budget challenge process in which the receiving business units can address the proposed budgets of the service groups.  The PPL Corporation CEO is the final arbiter of any budget impasses.</w:t>
      </w:r>
    </w:p>
    <w:p w:rsidR="00A426C4" w:rsidRDefault="00A426C4" w:rsidP="00C74B70">
      <w:pPr>
        <w:pStyle w:val="Heading40"/>
      </w:pPr>
      <w:r>
        <w:lastRenderedPageBreak/>
        <w:t>PPLSolutions</w:t>
      </w:r>
      <w:r w:rsidRPr="00181F82">
        <w:t>, LLC</w:t>
      </w:r>
    </w:p>
    <w:p w:rsidR="00A426C4" w:rsidRPr="00181F82" w:rsidRDefault="00A426C4" w:rsidP="00A426C4">
      <w:r>
        <w:t>PPL EU did not provide a description of how prices for PPL EU’s affiliate transactions with PPLSolutions are priced.</w:t>
      </w:r>
    </w:p>
    <w:p w:rsidR="00A426C4" w:rsidRDefault="00A426C4" w:rsidP="00C74B70">
      <w:pPr>
        <w:pStyle w:val="Heading40"/>
      </w:pPr>
      <w:r>
        <w:t>PPL Infrastructure Services, LLC</w:t>
      </w:r>
    </w:p>
    <w:p w:rsidR="00A426C4" w:rsidRPr="00BD6F12" w:rsidRDefault="00A426C4" w:rsidP="00A426C4">
      <w:r>
        <w:t>PPL Infrastructure does not sell products or services to PPL EU.  It pays PPL EU for engineering or other services it utilizes at the PPL EU fully allocated cost.  It also pays for transmission structure attachments at a rate determined by PPL EU.  The rates are set by PPL Electric and are currently as follows:  $1,050 per month per attachment to PPL EU transmission facilities including ground</w:t>
      </w:r>
      <w:r w:rsidR="00F94DB8">
        <w:t>-based communication equipment,</w:t>
      </w:r>
      <w:r>
        <w:t xml:space="preserve"> $420 per month per third party communication structures locate</w:t>
      </w:r>
      <w:r w:rsidR="00F94DB8">
        <w:t>d on PPL EU fee-owned property,</w:t>
      </w:r>
      <w:r>
        <w:t xml:space="preserve"> and 70% of negotiated attachment rate to PPL EU distribution facilities or the applicable FCC rate.</w:t>
      </w:r>
    </w:p>
    <w:p w:rsidR="00A426C4" w:rsidRDefault="00A426C4" w:rsidP="00C74B70">
      <w:pPr>
        <w:pStyle w:val="Heading40"/>
      </w:pPr>
      <w:r>
        <w:t>PPL Power Insurance Ltd.</w:t>
      </w:r>
    </w:p>
    <w:p w:rsidR="00A426C4" w:rsidRDefault="00A426C4" w:rsidP="00A426C4">
      <w:pPr>
        <w:rPr>
          <w:rFonts w:cs="Arial"/>
          <w:szCs w:val="24"/>
        </w:rPr>
      </w:pPr>
      <w:r>
        <w:rPr>
          <w:rFonts w:cs="Arial"/>
          <w:szCs w:val="24"/>
        </w:rPr>
        <w:t xml:space="preserve">The allocation of the 2014 PPL Power Insurance general liability premium is 75% to PPL EU and 25% to Energy Funding (the generation properties).  </w:t>
      </w:r>
      <w:r>
        <w:t>The premium allocation percentages resulted from a discussion between the independent Power Insurance Manager and PPL Corporate Insurance Director.  It was based upon PPL Corporation specific historical claims experience and the level of liability risk involved between a utility operation that has much more risk to third party bodily injury and property damage compared to the same risk at a fenced in power plant within the generation companies.</w:t>
      </w:r>
      <w:r>
        <w:rPr>
          <w:rFonts w:cs="Arial"/>
          <w:szCs w:val="24"/>
        </w:rPr>
        <w:t xml:space="preserve"> </w:t>
      </w:r>
    </w:p>
    <w:p w:rsidR="00A426C4" w:rsidRPr="00BD6F12" w:rsidRDefault="00A426C4" w:rsidP="00A426C4">
      <w:pPr>
        <w:rPr>
          <w:b/>
        </w:rPr>
      </w:pPr>
      <w:r>
        <w:rPr>
          <w:rFonts w:cs="Arial"/>
          <w:szCs w:val="24"/>
        </w:rPr>
        <w:t>The workers compensation premium is based upon loss history</w:t>
      </w:r>
      <w:r w:rsidRPr="00C75E52">
        <w:rPr>
          <w:rFonts w:cs="Arial"/>
          <w:szCs w:val="24"/>
        </w:rPr>
        <w:t xml:space="preserve"> </w:t>
      </w:r>
      <w:r>
        <w:rPr>
          <w:rFonts w:cs="Arial"/>
          <w:szCs w:val="24"/>
        </w:rPr>
        <w:t>and allocated among PPL Corporation entities covered according to total payroll.  The premium is included as part of the benefits ov</w:t>
      </w:r>
      <w:r w:rsidR="00F94DB8">
        <w:rPr>
          <w:rFonts w:cs="Arial"/>
          <w:szCs w:val="24"/>
        </w:rPr>
        <w:t>erhead loader on payroll costs.</w:t>
      </w:r>
      <w:r>
        <w:rPr>
          <w:rFonts w:cs="Arial"/>
          <w:szCs w:val="24"/>
        </w:rPr>
        <w:t xml:space="preserve">  It is calculated by the company contracted to operate PPL Power Insurance and the premium paid is invested until it is needed to pay claims. </w:t>
      </w:r>
    </w:p>
    <w:p w:rsidR="00A426C4" w:rsidRDefault="00A426C4" w:rsidP="00C74B70">
      <w:pPr>
        <w:pStyle w:val="Heading40"/>
      </w:pPr>
      <w:r>
        <w:t xml:space="preserve">CEP Commerce, LLC </w:t>
      </w:r>
    </w:p>
    <w:p w:rsidR="00A426C4" w:rsidRPr="00BD6F12" w:rsidRDefault="00A426C4" w:rsidP="00A426C4">
      <w:pPr>
        <w:rPr>
          <w:b/>
        </w:rPr>
      </w:pPr>
      <w:r>
        <w:rPr>
          <w:rFonts w:cs="Arial"/>
          <w:szCs w:val="24"/>
        </w:rPr>
        <w:t>The only transactions between PPL EU and CEP Commerce are contributions of capital from PPL EU to CEP Commerce and returns of capital and dividends from CEP Commerce to PPL EU.</w:t>
      </w:r>
    </w:p>
    <w:p w:rsidR="00A426C4" w:rsidRDefault="00A426C4" w:rsidP="00C74B70">
      <w:pPr>
        <w:pStyle w:val="Heading40"/>
      </w:pPr>
      <w:r>
        <w:t>Louisville Gas and Electric Company and Kentucky Utilities Company</w:t>
      </w:r>
    </w:p>
    <w:p w:rsidR="00A426C4" w:rsidRDefault="00A426C4" w:rsidP="00A426C4">
      <w:r>
        <w:t>The primary transactions between PPL EU and LG&amp;E and KU are for mutual aid during storms or other disasters.  The charges to and from PPL EU and the Kentucky operating companies are at fully allocated cost.  On occasion, equipment or materials are transferred between PPL EU and the Kentucky operating companies at fully allocated cost.</w:t>
      </w:r>
    </w:p>
    <w:p w:rsidR="00A426C4" w:rsidRPr="00AC43BE" w:rsidRDefault="00A426C4" w:rsidP="005123A6">
      <w:pPr>
        <w:pStyle w:val="Heading-forToC"/>
      </w:pPr>
      <w:bookmarkStart w:id="78" w:name="_Toc464552004"/>
      <w:r w:rsidRPr="0025509F">
        <w:t>findings</w:t>
      </w:r>
      <w:bookmarkEnd w:id="78"/>
      <w:r>
        <w:t xml:space="preserve">  </w:t>
      </w:r>
    </w:p>
    <w:p w:rsidR="00A426C4" w:rsidRDefault="00A426C4" w:rsidP="004F00E5">
      <w:pPr>
        <w:pStyle w:val="Findings"/>
        <w:numPr>
          <w:ilvl w:val="0"/>
          <w:numId w:val="75"/>
        </w:numPr>
      </w:pPr>
      <w:r>
        <w:t>Having a PPL Corporation Cost Allocation and Transfer Pricing Manual is a good practice; however, it should cover all subsidiaries.</w:t>
      </w:r>
    </w:p>
    <w:p w:rsidR="00A426C4" w:rsidRDefault="00A426C4" w:rsidP="00A426C4">
      <w:r w:rsidDel="007824FF">
        <w:t>The PPL Corporation CAM specifically applies to all PPL Corporation companies</w:t>
      </w:r>
      <w:r>
        <w:t xml:space="preserve">.   </w:t>
      </w:r>
      <w:r w:rsidDel="007824FF">
        <w:t xml:space="preserve">Having a single PPL Corporation policy document that covers all affiliate transaction </w:t>
      </w:r>
      <w:r w:rsidDel="007824FF">
        <w:lastRenderedPageBreak/>
        <w:t xml:space="preserve">cost accounting and allocations is a good </w:t>
      </w:r>
      <w:r>
        <w:t>practice and should enable</w:t>
      </w:r>
      <w:r w:rsidDel="007824FF">
        <w:t xml:space="preserve"> compliance with all federal and state regulatory requirements.</w:t>
      </w:r>
      <w:r w:rsidRPr="00BA49AB">
        <w:t xml:space="preserve"> </w:t>
      </w:r>
      <w:r>
        <w:t xml:space="preserve">  However, while the CAM says it covers all PPL Corporation companies, it does not cover LKE, which has its own CAM</w:t>
      </w:r>
      <w:r w:rsidDel="007824FF">
        <w:t>.</w:t>
      </w:r>
      <w:r>
        <w:t xml:space="preserve">  It would be better to have a single PPL Corporation CAM that covers all subsidiaries.</w:t>
      </w:r>
      <w:r w:rsidDel="007824FF">
        <w:t xml:space="preserve">  </w:t>
      </w:r>
    </w:p>
    <w:p w:rsidR="00A426C4" w:rsidRDefault="00A426C4" w:rsidP="00365E9F">
      <w:pPr>
        <w:pStyle w:val="Findings"/>
        <w:keepNext/>
      </w:pPr>
      <w:r>
        <w:t>The PPL Corporation Cost Allocation Manual has several weaknesses.</w:t>
      </w:r>
    </w:p>
    <w:p w:rsidR="00A426C4" w:rsidRDefault="00A426C4" w:rsidP="00A426C4">
      <w:r>
        <w:t>The current PPL Corporation CAM has several significant weaknesses in that not all the NARUC recommended guidelines are followed.  Examples include the following:</w:t>
      </w:r>
    </w:p>
    <w:p w:rsidR="00A426C4" w:rsidRDefault="00A426C4" w:rsidP="00A426C4">
      <w:pPr>
        <w:pStyle w:val="Bullet"/>
      </w:pPr>
      <w:r>
        <w:t xml:space="preserve">The NARUC Guidelines for Cost Allocation and Affiliate Transactions recommend that the CAM have a description of all assets, services, and products provided to and from the regulated entity and each of its affiliates.  The CAM does not have a complete listing of the affiliate relationships.  </w:t>
      </w:r>
    </w:p>
    <w:p w:rsidR="00A426C4" w:rsidRDefault="00A426C4" w:rsidP="00A426C4">
      <w:pPr>
        <w:pStyle w:val="Bullet"/>
      </w:pPr>
      <w:r>
        <w:t>NARUC further recommends that the CAM require asymmetric pricing with the higher of cost or market charged to affiliates and the lower of cost or market charged to the regulated entity.  The current CAM specifies that all affiliate transactions will be at cost.  The only exception is under the FERC transmission/generation Code of Conduct.</w:t>
      </w:r>
    </w:p>
    <w:p w:rsidR="00A426C4" w:rsidRDefault="00A426C4" w:rsidP="00A426C4">
      <w:pPr>
        <w:pStyle w:val="Bullet"/>
      </w:pPr>
      <w:r>
        <w:t>The PPL Corporation CAM has no provision for market rates for affiliate transactions.  PPL EU rent charges, PPLSolutions services, and perhaps other affiliate transactions are at prices other than fully allocated cost.</w:t>
      </w:r>
    </w:p>
    <w:p w:rsidR="00A426C4" w:rsidRDefault="00A426C4" w:rsidP="00A426C4">
      <w:pPr>
        <w:pStyle w:val="Bullet"/>
      </w:pPr>
      <w:r>
        <w:t xml:space="preserve">The CAM allows substantial amounts of transactions to be allocated by the three factor general allocator rather than by direct time charges or allocations based on cost drivers, such as square feet, employees, and purchase orders.  </w:t>
      </w:r>
    </w:p>
    <w:p w:rsidR="00A426C4" w:rsidRDefault="00A426C4" w:rsidP="00A426C4">
      <w:pPr>
        <w:rPr>
          <w:rFonts w:cs="Arial"/>
          <w:szCs w:val="24"/>
        </w:rPr>
      </w:pPr>
      <w:r>
        <w:rPr>
          <w:rFonts w:cs="Arial"/>
          <w:szCs w:val="24"/>
        </w:rPr>
        <w:t>TSA hourly charges are accumulated by exception reporting to TSA related CCNs.  PPL SC prefers fixed time allocations but accepts exception reporting for some project related work.</w:t>
      </w:r>
    </w:p>
    <w:p w:rsidR="00A426C4" w:rsidRDefault="00A426C4" w:rsidP="00A426C4">
      <w:pPr>
        <w:rPr>
          <w:rFonts w:cs="Arial"/>
          <w:szCs w:val="24"/>
        </w:rPr>
      </w:pPr>
      <w:r>
        <w:rPr>
          <w:rFonts w:cs="Arial"/>
          <w:szCs w:val="24"/>
        </w:rPr>
        <w:t>Labor costs to Talen are calculated by a method different than specified by the CAM:</w:t>
      </w:r>
    </w:p>
    <w:p w:rsidR="00A426C4" w:rsidRDefault="00A426C4" w:rsidP="00A426C4">
      <w:pPr>
        <w:pStyle w:val="Bullet"/>
      </w:pPr>
      <w:r>
        <w:t>Base annual salary / 2080 hours per year</w:t>
      </w:r>
    </w:p>
    <w:p w:rsidR="00A426C4" w:rsidRDefault="00A426C4" w:rsidP="00A426C4">
      <w:pPr>
        <w:pStyle w:val="Bullet"/>
      </w:pPr>
      <w:r>
        <w:t>Plus an overhead loader and variable pay loader of 56%</w:t>
      </w:r>
    </w:p>
    <w:p w:rsidR="00A426C4" w:rsidRDefault="00A426C4" w:rsidP="00A426C4">
      <w:pPr>
        <w:pStyle w:val="Bullet"/>
      </w:pPr>
      <w:r>
        <w:t>Plus a 46% adder on the loaded pay for corporate overhead</w:t>
      </w:r>
    </w:p>
    <w:p w:rsidR="00A426C4" w:rsidRDefault="00A426C4" w:rsidP="00A426C4">
      <w:pPr>
        <w:pStyle w:val="Bullet"/>
      </w:pPr>
      <w:r>
        <w:t>The hourly rate charged to Talen is 227.8% of the basic hourly salary.</w:t>
      </w:r>
    </w:p>
    <w:p w:rsidR="00A426C4" w:rsidRDefault="00A426C4" w:rsidP="00A426C4">
      <w:pPr>
        <w:pStyle w:val="Normal-aftertable"/>
      </w:pPr>
      <w:r>
        <w:t xml:space="preserve">The Talen charges are removed from PPL SC’s costs before they are allocated to PPL EU and other subsidiaries.  However, if the charges to Talen do not cover the equivalent CAM fully allocated </w:t>
      </w:r>
      <w:proofErr w:type="gramStart"/>
      <w:r>
        <w:t>cost,</w:t>
      </w:r>
      <w:proofErr w:type="gramEnd"/>
      <w:r>
        <w:t xml:space="preserve"> the remaining cost would be distributed to the remaining PPL Corporation subsidiaries, including PPL EU.   </w:t>
      </w:r>
    </w:p>
    <w:p w:rsidR="00A426C4" w:rsidRDefault="00A426C4" w:rsidP="00A426C4">
      <w:pPr>
        <w:pStyle w:val="Normal-aftertable"/>
      </w:pPr>
      <w:r>
        <w:t xml:space="preserve">A change of control commitment approved by the Kentucky Public Service Commission prohibits PPL Corporation and its service companies from allocating overheads to LG&amp;E or KU except those costs directly incurred for the provision of goods or services to the utilities in Kentucky and are assigned for that purpose.  Regulatory requirements in other states should not result in additional costs being allocated to PPL EU.  Shareholders should bear the costs that cannot be allocated to entities other than PPL EU. </w:t>
      </w:r>
    </w:p>
    <w:p w:rsidR="00A426C4" w:rsidRDefault="00A426C4" w:rsidP="00A426C4">
      <w:r>
        <w:lastRenderedPageBreak/>
        <w:t xml:space="preserve">PPL EUS developed its own cost allocation manual.  First, this is contrary to the PPL Corporation CAM which states that it covers all PPL Corporation subsidiaries.  Second, this is an indication of the weakness of the PPL Corporation CAM.  The purpose of the formation of PPL EUS was at least partially for better and more transparent cost accounting and allocation, indicating that the PPL Corporation CAM was inadequate for this purpose as well.   </w:t>
      </w:r>
    </w:p>
    <w:p w:rsidR="00A426C4" w:rsidRDefault="00A426C4" w:rsidP="0011052F">
      <w:pPr>
        <w:pStyle w:val="Findings"/>
      </w:pPr>
      <w:r>
        <w:t>PPL Corporation and some of its subsidiaries have in place a tax sharing agreement/policy; however, PPL EU has not signed the agreement and there is no independent verification of the amount of taxes charged to PPL EU.</w:t>
      </w:r>
    </w:p>
    <w:p w:rsidR="00A426C4" w:rsidRDefault="00A426C4" w:rsidP="00A426C4">
      <w:r w:rsidRPr="007655FC">
        <w:t xml:space="preserve">In response to the request for the PPL EU tax sharing agreement with PPL Corporation, PPL </w:t>
      </w:r>
      <w:r>
        <w:t>Corporation</w:t>
      </w:r>
      <w:r w:rsidRPr="007655FC">
        <w:t xml:space="preserve"> provided a tax sharing agreement</w:t>
      </w:r>
      <w:r>
        <w:t>.  However, PPL EU is not listed as a signatory to the agreement.  T</w:t>
      </w:r>
      <w:r w:rsidRPr="007655FC">
        <w:t xml:space="preserve">he PPL SC Tax </w:t>
      </w:r>
      <w:r>
        <w:t>Vice President</w:t>
      </w:r>
      <w:r w:rsidRPr="007655FC">
        <w:t xml:space="preserve"> stated that PPL Corporation </w:t>
      </w:r>
      <w:r>
        <w:t xml:space="preserve">has followed and consistently applied </w:t>
      </w:r>
      <w:r w:rsidRPr="007655FC">
        <w:t>the submitted tax sharing agreement</w:t>
      </w:r>
      <w:r>
        <w:t>/policy among all members of the consolidated group, including PPL EU.</w:t>
      </w:r>
    </w:p>
    <w:p w:rsidR="00A426C4" w:rsidRDefault="00A426C4" w:rsidP="00A426C4">
      <w:r>
        <w:t xml:space="preserve">The PPL SC Tax Department is responsible for all U.S. federal and state tax matters.  The Kentucky Tax Department is responsible for the preparation of the Federal tax returns for the LKE entities that are, in turn, consolidated into the PPL Corporation consolidated Federal return.  The Kentucky Tax Department also is responsible for the KY state tax returns of the LKE group and coordinates closely with the PPL Tax Department to ensure the PPL group is aware of any issues.  The UK Tax Department handles UK country taxes.  The Kentucky and </w:t>
      </w:r>
      <w:r w:rsidR="00876A9D">
        <w:t>WPD Midlands</w:t>
      </w:r>
      <w:r>
        <w:t xml:space="preserve"> tax departments do not report to the PPL SC Tax Vice President, but they work together very closely and cooperatively.</w:t>
      </w:r>
    </w:p>
    <w:p w:rsidR="00A426C4" w:rsidRDefault="00A426C4" w:rsidP="00A426C4">
      <w:r>
        <w:t>As part of the preparation of the U.S. Consolidated Income Tax Return, pro-forma separate company tax returns are prepared, including for PPL EU.  The starting point for all U.S. returns is the U.S. GAAP financial statements.  Appropriate adjustments to take into account the differences between GAAP and U.S. tax law are made to arrive at taxable income.  Pro-forma returns are also prepared for any disregarded entities.  These individual returns are then consolidated, taking into account appropriate eliminations and adjustments, to produce the single consolidated return for federal income taxes.  PPL EU pays its separate company federal income tax to PPL Corporation or receives the appropriate credit from PPL Corporation in the event PPL EU incurs a tax loss as calculated by the PPL SC Tax Department.  There is no independent verification of the amount of taxes charged to PPL EU.</w:t>
      </w:r>
    </w:p>
    <w:p w:rsidR="00A426C4" w:rsidRDefault="00A426C4" w:rsidP="00A426C4">
      <w:r>
        <w:t>The PPL SC Tax Department also prepares the appropriate tax related disclosures for Securities and Exchange Commission reporting, such as the Forms 10-K and 10-Q forms.</w:t>
      </w:r>
    </w:p>
    <w:p w:rsidR="00A426C4" w:rsidRDefault="00A426C4" w:rsidP="0011052F">
      <w:pPr>
        <w:pStyle w:val="Findings"/>
      </w:pPr>
      <w:r>
        <w:t>The extensive use of fixed time allocations and exception time reporting is inappropriate and may result in inaccurate cost accounting.</w:t>
      </w:r>
    </w:p>
    <w:p w:rsidR="00A426C4" w:rsidRDefault="00A426C4" w:rsidP="00A426C4">
      <w:r>
        <w:t xml:space="preserve">Fixed time allocations with exception reporting are the norm for PPL SC and PPL EUS, with the possible exceptions of IT and Legal.  The fixed time allocations are based on estimates and there is no true-up with actual time distributions.  There is no empirical </w:t>
      </w:r>
      <w:r>
        <w:lastRenderedPageBreak/>
        <w:t xml:space="preserve">evidence basis for the fixed time distribution estimations, such as time study sampling or periods of positive time reporting.  This lack of a solid foundation for fixed time allocations calls into question the accuracy and fairness of the estimates.  Positive time reporting would be a far superior way to collect and allocate costs. </w:t>
      </w:r>
    </w:p>
    <w:p w:rsidR="00A426C4" w:rsidRDefault="00A426C4" w:rsidP="00365E9F">
      <w:pPr>
        <w:pStyle w:val="Findings"/>
        <w:keepNext/>
      </w:pPr>
      <w:r>
        <w:t>There is no documentation for affiliate transactions at market rates.</w:t>
      </w:r>
    </w:p>
    <w:p w:rsidR="00A426C4" w:rsidRDefault="00A426C4" w:rsidP="00A426C4">
      <w:pPr>
        <w:rPr>
          <w:rFonts w:cs="Arial"/>
          <w:szCs w:val="24"/>
        </w:rPr>
      </w:pPr>
      <w:r>
        <w:t>It appears that PPL EU rent charges (made through the Facilities Management unit on PPL EU’s behalf)</w:t>
      </w:r>
      <w:proofErr w:type="gramStart"/>
      <w:r>
        <w:t>,</w:t>
      </w:r>
      <w:proofErr w:type="gramEnd"/>
      <w:r>
        <w:t xml:space="preserve"> PPLSolutions charges to PPL EU, PPL Power Insurance charges, and, perhaps, other affiliate transactions are not made at fully allocated cost and may have some element of market prices in them.  PPL EU was unable to provide documentation verifying that other than cost based charges were made at truly market rates.  For example, Facilities Management </w:t>
      </w:r>
      <w:r>
        <w:rPr>
          <w:rFonts w:cs="Arial"/>
          <w:szCs w:val="24"/>
        </w:rPr>
        <w:t>did not know how rent from non-PPL EU tenants in PPL EU owned buildings is calculated, collected, or credited to PPL EU.  It is described as a “black box”.  However, a facilities market report from 2010 was provided but no more current updates were available.</w:t>
      </w:r>
    </w:p>
    <w:p w:rsidR="00A426C4" w:rsidRDefault="00A426C4" w:rsidP="00D10053">
      <w:pPr>
        <w:pStyle w:val="Findings"/>
        <w:keepNext/>
      </w:pPr>
      <w:r>
        <w:t>Affiliate Asset Transfers have been immaterial.</w:t>
      </w:r>
    </w:p>
    <w:p w:rsidR="00A426C4" w:rsidRDefault="00A426C4" w:rsidP="00A426C4">
      <w:r>
        <w:t>From 2010 through 2014, there were three transfers of assets from PPL Services to PPL EU involving two pieces of computer software and a vehicle.  During this same period, there were five transfers of assets from PPL EU to PPL Services, PPL Generation, and PPL EnergyPlus involving a tractor, two parcels of land, and office furniture.  All of the transfers were valued at less than $100,000 except a transfer of office furniture from PPL EU to PPL Services valued at $179, 298.</w:t>
      </w:r>
    </w:p>
    <w:p w:rsidR="00A426C4" w:rsidRDefault="00A426C4" w:rsidP="005123A6">
      <w:pPr>
        <w:pStyle w:val="Heading-forToC"/>
      </w:pPr>
      <w:bookmarkStart w:id="79" w:name="_Toc464552005"/>
      <w:r>
        <w:t>recommendations</w:t>
      </w:r>
      <w:bookmarkEnd w:id="79"/>
    </w:p>
    <w:p w:rsidR="00A426C4" w:rsidRDefault="00A426C4" w:rsidP="004F00E5">
      <w:pPr>
        <w:pStyle w:val="Findings"/>
        <w:numPr>
          <w:ilvl w:val="0"/>
          <w:numId w:val="76"/>
        </w:numPr>
      </w:pPr>
      <w:r>
        <w:t>Revise the PPL Corporation Cost Allocation Manual to correct its deficiencies and have it cover LKE as well.  (See Findings 1 and 2)</w:t>
      </w:r>
    </w:p>
    <w:p w:rsidR="00A426C4" w:rsidRDefault="00A426C4" w:rsidP="00A426C4">
      <w:r>
        <w:t>The PPL Corporation Cost Allocation Manual should be revised to include the following:</w:t>
      </w:r>
    </w:p>
    <w:p w:rsidR="00A426C4" w:rsidRDefault="00A426C4" w:rsidP="00A426C4">
      <w:pPr>
        <w:pStyle w:val="Bullet"/>
      </w:pPr>
      <w:r>
        <w:t xml:space="preserve">A description of all assets, services, and products provided to and from the regulated entity and each of its affiliates.  </w:t>
      </w:r>
    </w:p>
    <w:p w:rsidR="00A426C4" w:rsidRDefault="00A426C4" w:rsidP="00A426C4">
      <w:pPr>
        <w:pStyle w:val="Bullet"/>
      </w:pPr>
      <w:r>
        <w:t>Requirement that transactions between regulated utilities be priced at cost.</w:t>
      </w:r>
    </w:p>
    <w:p w:rsidR="00A426C4" w:rsidRDefault="00A426C4" w:rsidP="00A426C4">
      <w:pPr>
        <w:pStyle w:val="Bullet"/>
      </w:pPr>
      <w:r>
        <w:t xml:space="preserve">Requirement of asymmetric pricing with the higher of cost or market charged to affiliates and the lower of cost or market charged to the regulated entity.  </w:t>
      </w:r>
    </w:p>
    <w:p w:rsidR="00A426C4" w:rsidRDefault="00A426C4" w:rsidP="00A426C4">
      <w:pPr>
        <w:pStyle w:val="Bullet"/>
      </w:pPr>
      <w:r>
        <w:t>Allow one exception to asymmetric pricing such that PPL EU can be charged market prices by affiliates if the market price is established by a robust competition for the PPL EU business that includes at least two qualified nonaffiliated vendors.  That is, market prices would be allowed if higher than fully allocated costs only when they can be documented with solid evidence.</w:t>
      </w:r>
    </w:p>
    <w:p w:rsidR="00A426C4" w:rsidRDefault="00A426C4" w:rsidP="00234825">
      <w:pPr>
        <w:pStyle w:val="Bullet"/>
        <w:spacing w:after="120"/>
      </w:pPr>
      <w:r>
        <w:t xml:space="preserve">Decrease the charges that can be allocated by the three factor general allocation formula and increase the charges based upon direct time charges and cost driver rates, such as square feet, number of employees, and number of transactions.  </w:t>
      </w:r>
    </w:p>
    <w:p w:rsidR="00A426C4" w:rsidRDefault="00A426C4" w:rsidP="00C74B70">
      <w:pPr>
        <w:pStyle w:val="Findings"/>
        <w:keepNext/>
      </w:pPr>
      <w:r>
        <w:lastRenderedPageBreak/>
        <w:t>Have only one PPL Corporation Cost Allocation Manual and follow it for all transactions priced at fully allocated cost, including PPL EU and its affiliates.  (See Finding 2)</w:t>
      </w:r>
    </w:p>
    <w:p w:rsidR="00A426C4" w:rsidRDefault="00A426C4" w:rsidP="00A426C4">
      <w:r>
        <w:t>The current PPL Corporation Cost Allocation Manual is not used for PPL EUS and for the affiliates that charge PPL EU or receive charges from PPL EU on a basis other than fully allocated cost.  Going forward, all PPL EU affiliate transactions should be consistent with the CAM requirements.</w:t>
      </w:r>
    </w:p>
    <w:p w:rsidR="00A426C4" w:rsidRPr="008473E5" w:rsidRDefault="00A426C4" w:rsidP="0011052F">
      <w:pPr>
        <w:pStyle w:val="Findings"/>
      </w:pPr>
      <w:r>
        <w:t xml:space="preserve">PPL EU should engage an independent review of the current PPL Corporation tax sharing agreement from the fairness to PPL EU ratepayers perspective, negotiate revisions to the tax sharing agreement as necessary, have arms-length signatures on the revised agreement by PPL SC and PPL EU, and have an independent verification of the taxes charged or credited to PPL EU at least every three years. </w:t>
      </w:r>
      <w:r w:rsidRPr="008473E5">
        <w:t xml:space="preserve">  (See Finding 3)</w:t>
      </w:r>
    </w:p>
    <w:p w:rsidR="00A426C4" w:rsidRPr="00235C4C" w:rsidRDefault="00A426C4" w:rsidP="00A426C4">
      <w:r>
        <w:t xml:space="preserve">PPL EU should charter an independent review of the current tax sharing agreement from the ratepayers’ perspective and should negotiate changes to it as necessary.  </w:t>
      </w:r>
      <w:r w:rsidRPr="00235C4C">
        <w:t>The tax sharing agreement should cover all types of</w:t>
      </w:r>
      <w:r>
        <w:t xml:space="preserve"> tax calculations for PPL EU by the PPL SC tax department, including federal and state income taxes, property taxes, excise taxes, and so on</w:t>
      </w:r>
      <w:r w:rsidRPr="00235C4C">
        <w:t>.</w:t>
      </w:r>
      <w:r>
        <w:t xml:space="preserve">  Once bilateral agreement has been reached on a tax sharing agreement, both PPL SC and PPL EU should sign the agreement.  Additionally, PPL EU should have an independent verification of the tax amounts calculated by the PPL SC Tax Department at least every three years.  </w:t>
      </w:r>
    </w:p>
    <w:p w:rsidR="00A426C4" w:rsidRPr="00056D5E" w:rsidRDefault="00A426C4" w:rsidP="0011052F">
      <w:pPr>
        <w:pStyle w:val="Findings"/>
      </w:pPr>
      <w:r w:rsidRPr="00235C4C">
        <w:t>Require positive employee time reporting for all affiliate transaction related cost accounting.  (See Finding 4)</w:t>
      </w:r>
    </w:p>
    <w:p w:rsidR="00A426C4" w:rsidRDefault="00A426C4" w:rsidP="00A426C4">
      <w:r>
        <w:t>Positive time reporting is the norm for professional service firms, such as legal, auditing, information technology, engineering, and human resources.  Many of the services PPL SC and PPL EUS provide to PPL EU are these types of professional services.  It would not be unduly burdensome to require positive time reporting for all individuals involved in affiliate transactions with PPL EU.  This would provide more accurate actual cost accounting and allocation.</w:t>
      </w:r>
    </w:p>
    <w:p w:rsidR="00A426C4" w:rsidRDefault="00A426C4" w:rsidP="0011052F">
      <w:pPr>
        <w:pStyle w:val="Findings"/>
      </w:pPr>
      <w:r>
        <w:t>Maintain records for regulatory review of the justification and rejustification for all market based prices.  (See Finding 5)</w:t>
      </w:r>
    </w:p>
    <w:p w:rsidR="00A426C4" w:rsidRDefault="00A426C4" w:rsidP="00A426C4">
      <w:r>
        <w:t>In cases in which an affiliate charges PPL EU market prices, PPL EU should establish the market price through robust competition for its business, including at least two qualified nonaffiliated vendors.  PPL EU should maintain a file of the procurement process, proposals, decision criteria, and decision to defend each selection of an affiliate to supply goods or services at market prices.  Calendar terms with affiliates for market price contracts should not exceed three years.</w:t>
      </w:r>
    </w:p>
    <w:p w:rsidR="00A426C4" w:rsidRDefault="00A426C4" w:rsidP="004F00E5">
      <w:pPr>
        <w:pStyle w:val="Heading2"/>
        <w:numPr>
          <w:ilvl w:val="0"/>
          <w:numId w:val="104"/>
        </w:numPr>
      </w:pPr>
      <w:bookmarkStart w:id="80" w:name="_Toc464552006"/>
      <w:r>
        <w:t>value of affiliate relationships</w:t>
      </w:r>
      <w:bookmarkEnd w:id="80"/>
    </w:p>
    <w:p w:rsidR="00A426C4" w:rsidRDefault="00A426C4" w:rsidP="005123A6">
      <w:pPr>
        <w:pStyle w:val="Heading-forToC"/>
      </w:pPr>
      <w:bookmarkStart w:id="81" w:name="_Toc464552007"/>
      <w:r>
        <w:t>background</w:t>
      </w:r>
      <w:bookmarkEnd w:id="81"/>
    </w:p>
    <w:p w:rsidR="00A426C4" w:rsidRDefault="00A426C4" w:rsidP="00A426C4">
      <w:r>
        <w:t xml:space="preserve">In Pennsylvania, affiliate costs can be disallowed for ratemaking purposes if the utility does not meet its burden of proof that the amounts were not in excess of the reasonable price and that the services are reasonable and proper.  In addition, the PUC </w:t>
      </w:r>
      <w:r>
        <w:lastRenderedPageBreak/>
        <w:t xml:space="preserve">management audit process periodically reviews affiliate relationships and transactions for value, quality, and timeliness.  </w:t>
      </w:r>
    </w:p>
    <w:p w:rsidR="00A426C4" w:rsidRDefault="00A426C4" w:rsidP="00A426C4">
      <w:r>
        <w:t xml:space="preserve">When affiliate services are market priced with adequate justification for the price (robust competition including at least two qualified unaffiliated vendors), the procurement process that established the market price is often acceptable documentation that the service level is competitive in the marketplace if quality and timeliness were part of the procurement analysis and contract.  </w:t>
      </w:r>
    </w:p>
    <w:p w:rsidR="00A426C4" w:rsidRDefault="00A426C4" w:rsidP="00A426C4">
      <w:r>
        <w:t>For affiliate services priced at fully allocated cost, benchmarking and best practices studies are a good way to establish that the costs and service levels provided are competitive in the marketplace.  Benchmarking studies for the common centralized support services provided by service companies to utility operating companies, such as for legal and human resources services, are available in the marketplace.  Service companies and other affiliates can choose to participate in them to confirm adequate service levels and reasonable costs and to identify areas for improvement.</w:t>
      </w:r>
    </w:p>
    <w:p w:rsidR="00A426C4" w:rsidRDefault="00A426C4" w:rsidP="005123A6">
      <w:pPr>
        <w:pStyle w:val="Heading-forToC"/>
      </w:pPr>
      <w:bookmarkStart w:id="82" w:name="_Toc464552008"/>
      <w:r>
        <w:t>findings</w:t>
      </w:r>
      <w:bookmarkEnd w:id="82"/>
    </w:p>
    <w:p w:rsidR="00A426C4" w:rsidRDefault="00A426C4" w:rsidP="004F00E5">
      <w:pPr>
        <w:pStyle w:val="Findings"/>
        <w:numPr>
          <w:ilvl w:val="0"/>
          <w:numId w:val="77"/>
        </w:numPr>
      </w:pPr>
      <w:r>
        <w:t>Outdated benchmarking studies were provided for two affiliate services.</w:t>
      </w:r>
    </w:p>
    <w:p w:rsidR="00A426C4" w:rsidRDefault="00A426C4" w:rsidP="00A426C4">
      <w:r>
        <w:t>PPL EU provided two relevant benchmarking studies or related documents regarding the value of some of its affiliate relationships:</w:t>
      </w:r>
    </w:p>
    <w:p w:rsidR="00A426C4" w:rsidRDefault="00A426C4" w:rsidP="00A426C4">
      <w:pPr>
        <w:pStyle w:val="Bullet"/>
      </w:pPr>
      <w:r>
        <w:t>2014 International Facilities Management Association Utilities Council Facilities Benchmarking Study using 2013 Data - This study included 52 electric and gas utilities and covered: Maintenance, Janitorial, Utilities, Landscaping, Parking, Building Security, Administrative Expenses, Operating and Fixed Costs, and related topics.</w:t>
      </w:r>
    </w:p>
    <w:p w:rsidR="00A426C4" w:rsidRDefault="00A426C4" w:rsidP="00A426C4">
      <w:pPr>
        <w:pStyle w:val="Bullet"/>
      </w:pPr>
      <w:r>
        <w:t xml:space="preserve">2013 Global Audit Information Network Benchmarking Study on Internal Audit – This study included 50 electric and gas utilities out of 492 total companies and covered: Costs, Staffing, Sourcing, External Audit, Oversight, Risk Assessment and Audit Planning, Performance Management, and related topics. </w:t>
      </w:r>
    </w:p>
    <w:p w:rsidR="00A426C4" w:rsidRDefault="00A426C4" w:rsidP="00A426C4">
      <w:pPr>
        <w:pStyle w:val="Normal-aftertable"/>
      </w:pPr>
      <w:r>
        <w:t xml:space="preserve">PPL EU also provided a brief summary of a “2013 Risk and Insurance Management Society Benchmark Survey on Insurance Costs.  However, the complete survey report was not provided so no </w:t>
      </w:r>
      <w:proofErr w:type="spellStart"/>
      <w:r>
        <w:t>judgement</w:t>
      </w:r>
      <w:proofErr w:type="spellEnd"/>
      <w:r>
        <w:t xml:space="preserve"> could be made as to its usefulness.</w:t>
      </w:r>
    </w:p>
    <w:p w:rsidR="00A426C4" w:rsidRDefault="00A426C4" w:rsidP="0011052F">
      <w:pPr>
        <w:pStyle w:val="Findings"/>
      </w:pPr>
      <w:r>
        <w:t>Compensation and benefit benchmarking studies are good practices but do not provide adequate cost benchmarking for service company functions.</w:t>
      </w:r>
    </w:p>
    <w:p w:rsidR="00A426C4" w:rsidRDefault="00A426C4" w:rsidP="00A426C4">
      <w:r>
        <w:rPr>
          <w:rFonts w:cs="Arial"/>
          <w:szCs w:val="24"/>
        </w:rPr>
        <w:t>PPL SC and PPL EUS salaries and benefits are benchmarked every year by Human Resources.  This is a good practice.  However, the salary and benefit comparative studies do not reflect total cost.  The service company functions could have half or twice as many employees as other comparable functions in other service companies.  Competitive compensation accompanied by too many employees would produce high service company costs.  Also, service company functions often utilize significant amounts of contractors who contribute to the total cost.  Therefore, compensation and benefit studies by themselves do not constitute adequate service company function cost benchmarking.</w:t>
      </w:r>
    </w:p>
    <w:p w:rsidR="00A426C4" w:rsidRDefault="00A426C4" w:rsidP="00C74B70">
      <w:pPr>
        <w:pStyle w:val="Findings"/>
        <w:keepNext/>
      </w:pPr>
      <w:r>
        <w:lastRenderedPageBreak/>
        <w:t>Most PPL EU affiliates services do not have current benchmarking studies.</w:t>
      </w:r>
    </w:p>
    <w:p w:rsidR="00A426C4" w:rsidRDefault="00A426C4" w:rsidP="00A426C4">
      <w:r>
        <w:t>Each PPL SC and PPL EUS function should have current benchmarking studies to prove their value and cost effectiveness to PPL EU.  Even the three relevant studies produced or referred to (Facilities Management, Internal Audit, and Insurance) utilize 2013 data and need to be updated.  Further, each affiliate which charges PPL EU fully allocated costs should also have current benchmarking studies establishing their value.  These benchmarking studies have not been performed.</w:t>
      </w:r>
    </w:p>
    <w:p w:rsidR="00A426C4" w:rsidRDefault="00A426C4" w:rsidP="005123A6">
      <w:pPr>
        <w:pStyle w:val="Heading-forToC"/>
      </w:pPr>
      <w:bookmarkStart w:id="83" w:name="_Toc464552009"/>
      <w:r>
        <w:t>recommendation</w:t>
      </w:r>
      <w:bookmarkEnd w:id="83"/>
    </w:p>
    <w:p w:rsidR="00A426C4" w:rsidRDefault="00A426C4" w:rsidP="004F00E5">
      <w:pPr>
        <w:pStyle w:val="Findings"/>
        <w:numPr>
          <w:ilvl w:val="0"/>
          <w:numId w:val="78"/>
        </w:numPr>
      </w:pPr>
      <w:r>
        <w:t>Participate in benchmarking studies for each cost based affiliate service at least once every three years.  (See Finding 3)</w:t>
      </w:r>
    </w:p>
    <w:p w:rsidR="00A426C4" w:rsidRDefault="00A426C4" w:rsidP="00652B0E">
      <w:r>
        <w:t>PPL EU should require each cost based pricing affiliate and affiliate service (e.g., Human Resources, Legal, and Information Technology) to participate in an industry appropriate cost and value benchmarking study at least every three years.  If the studies do not establish good value for PPL EU, the studies should identify the areas of necessary improvement.  Further, once the benchmarking studies show adequate service levels, the PPL EU affiliates should focus on cost reduction.</w:t>
      </w:r>
    </w:p>
    <w:p w:rsidR="00A426C4" w:rsidRDefault="00A426C4" w:rsidP="004F00E5">
      <w:pPr>
        <w:pStyle w:val="Heading2"/>
        <w:numPr>
          <w:ilvl w:val="0"/>
          <w:numId w:val="104"/>
        </w:numPr>
      </w:pPr>
      <w:bookmarkStart w:id="84" w:name="_Toc464552010"/>
      <w:r>
        <w:t>ring fencing</w:t>
      </w:r>
      <w:bookmarkEnd w:id="84"/>
    </w:p>
    <w:p w:rsidR="00A426C4" w:rsidRDefault="00A426C4" w:rsidP="005123A6">
      <w:pPr>
        <w:pStyle w:val="Heading-forToC"/>
      </w:pPr>
      <w:bookmarkStart w:id="85" w:name="_Toc464552011"/>
      <w:r>
        <w:t>background</w:t>
      </w:r>
      <w:bookmarkEnd w:id="85"/>
    </w:p>
    <w:p w:rsidR="00A426C4" w:rsidRDefault="00A426C4" w:rsidP="00A426C4">
      <w:pPr>
        <w:widowControl w:val="0"/>
        <w:autoSpaceDE w:val="0"/>
        <w:autoSpaceDN w:val="0"/>
        <w:adjustRightInd w:val="0"/>
      </w:pPr>
      <w:r>
        <w:t>As a member of the PPL Corporation holding company family of subsidiaries, PPL EU is exposed to risk of its affiliates and the holding company itself.  Financial or other difficulties of the parent or affiliates could adversely affect PPL EU in multiple ways, such as:</w:t>
      </w:r>
    </w:p>
    <w:p w:rsidR="00A426C4" w:rsidRDefault="00A426C4" w:rsidP="00A426C4">
      <w:pPr>
        <w:pStyle w:val="Bullet"/>
      </w:pPr>
      <w:r>
        <w:t>Reduced availability of capital for growth, reliability, and safety investments</w:t>
      </w:r>
    </w:p>
    <w:p w:rsidR="00A426C4" w:rsidRDefault="00A426C4" w:rsidP="00A426C4">
      <w:pPr>
        <w:pStyle w:val="Bullet"/>
      </w:pPr>
      <w:r>
        <w:t>Financial rating downgrades and higher interest rates for debt</w:t>
      </w:r>
    </w:p>
    <w:p w:rsidR="00A426C4" w:rsidRDefault="00A426C4" w:rsidP="00A426C4">
      <w:pPr>
        <w:pStyle w:val="Bullet"/>
      </w:pPr>
      <w:r>
        <w:t>Forced bankruptcy</w:t>
      </w:r>
    </w:p>
    <w:p w:rsidR="00A426C4" w:rsidRDefault="00A426C4" w:rsidP="00A426C4">
      <w:pPr>
        <w:pStyle w:val="Bullet"/>
      </w:pPr>
      <w:r>
        <w:t>Corruption and scandal</w:t>
      </w:r>
    </w:p>
    <w:p w:rsidR="00A426C4" w:rsidRDefault="00A426C4" w:rsidP="00A426C4">
      <w:pPr>
        <w:pStyle w:val="Bullet"/>
      </w:pPr>
      <w:r>
        <w:t>Collateral calls</w:t>
      </w:r>
    </w:p>
    <w:p w:rsidR="00A426C4" w:rsidRDefault="00A426C4" w:rsidP="00A426C4">
      <w:pPr>
        <w:pStyle w:val="Normal-aftertable"/>
      </w:pPr>
      <w:r>
        <w:t>“Ring fencing” is the term used to describe efforts which are intended to insulate a regulated utility from problems at its parent and its affiliates. The objective is to ensure the financial stability of the utility and the reliability of its service in the face of financial or other difficulties at the parent or other subsidiaries.</w:t>
      </w:r>
    </w:p>
    <w:p w:rsidR="00A426C4" w:rsidRDefault="00A426C4" w:rsidP="00A426C4">
      <w:r>
        <w:t xml:space="preserve">As a separate legal entity, PPL EU enjoys some legal protections from financial difficulties at PPL Corporation and/or its affiliates, such as protection from the direct reach of creditors of its affiliated entities.  </w:t>
      </w:r>
      <w:r w:rsidRPr="00B80472">
        <w:t>Pennsylvania law recogn</w:t>
      </w:r>
      <w:r>
        <w:t>izes</w:t>
      </w:r>
      <w:r w:rsidRPr="00B80472">
        <w:t xml:space="preserve"> that a corporation is separate from its shareholders, even in the case of a wholly-owned subsidiary and its parent.  </w:t>
      </w:r>
      <w:r>
        <w:t>B</w:t>
      </w:r>
      <w:r w:rsidRPr="00B80472">
        <w:t>y virtue of Pennsylvania law, the limited liabilit</w:t>
      </w:r>
      <w:r>
        <w:t>y PPL EU has</w:t>
      </w:r>
      <w:r w:rsidRPr="00B80472">
        <w:t xml:space="preserve"> for the liabilities of its parent or affiliates will not usually be abrogated. </w:t>
      </w:r>
      <w:r>
        <w:t xml:space="preserve"> </w:t>
      </w:r>
    </w:p>
    <w:p w:rsidR="00A426C4" w:rsidRDefault="00A426C4" w:rsidP="00A426C4">
      <w:r>
        <w:t xml:space="preserve">However, there </w:t>
      </w:r>
      <w:proofErr w:type="gramStart"/>
      <w:r>
        <w:t>are</w:t>
      </w:r>
      <w:proofErr w:type="gramEnd"/>
      <w:r>
        <w:t xml:space="preserve"> other ring fencing protections that could be utilized.  Good practices include:</w:t>
      </w:r>
    </w:p>
    <w:p w:rsidR="00A426C4" w:rsidRPr="00B80472" w:rsidRDefault="00A426C4" w:rsidP="00A426C4">
      <w:pPr>
        <w:pStyle w:val="Bullet"/>
      </w:pPr>
      <w:r>
        <w:lastRenderedPageBreak/>
        <w:t xml:space="preserve">Although </w:t>
      </w:r>
      <w:r w:rsidRPr="00B80472">
        <w:t xml:space="preserve">Service </w:t>
      </w:r>
      <w:r>
        <w:t xml:space="preserve">Level </w:t>
      </w:r>
      <w:r w:rsidRPr="00B80472">
        <w:t xml:space="preserve">Agreements </w:t>
      </w:r>
      <w:r>
        <w:t xml:space="preserve">typically </w:t>
      </w:r>
      <w:r w:rsidRPr="00B80472">
        <w:t xml:space="preserve">do not address bankruptcy, they </w:t>
      </w:r>
      <w:r>
        <w:t>help to</w:t>
      </w:r>
      <w:r w:rsidRPr="00B80472">
        <w:t xml:space="preserve"> maintain corporate separation by providing a formal methodology for objectively providing and pricing intra-corporate services.  In the event of a bankruptcy or financial distress of an individual subsidiary, consistent </w:t>
      </w:r>
      <w:r>
        <w:t>application</w:t>
      </w:r>
      <w:r w:rsidRPr="00B80472">
        <w:t xml:space="preserve"> of procedures for pricing and carrying out intra-corporate transactions would be a significant factor in shielding subsidiaries from an attempt to "pierce the corporate veil."</w:t>
      </w:r>
    </w:p>
    <w:p w:rsidR="00A426C4" w:rsidRDefault="00A426C4" w:rsidP="00A426C4">
      <w:pPr>
        <w:pStyle w:val="Bullet"/>
      </w:pPr>
      <w:r>
        <w:t xml:space="preserve">Prohibition of PPL EU from making any loans to the parent or any affiliate </w:t>
      </w:r>
    </w:p>
    <w:p w:rsidR="00A426C4" w:rsidRDefault="00A426C4" w:rsidP="00A426C4">
      <w:pPr>
        <w:pStyle w:val="Normal-aftertable"/>
      </w:pPr>
      <w:r w:rsidRPr="00F82432">
        <w:t>The National Association of Regulatory Utility Commissions (NARUC) issued a report, “Ring Fencing Mechanisms for Insulating a Utility in a Holding Company,” in June 2003 which addresses multiple ways of protecting utility subsidiaries in a holding company, including legislative and regulatory measures.</w:t>
      </w:r>
      <w:r>
        <w:t xml:space="preserve">  The report says, “Ring fencing has been defined in different ways but generally involves techniques used to insulate the credit risk of an issuer from the risks of affiliate issuers within a corporate structure.”  It also states, according to a 2003 report, “Because of the recent trend of rating agencies to consolidate utilities and </w:t>
      </w:r>
      <w:r w:rsidR="005C402E">
        <w:t>nonregulated</w:t>
      </w:r>
      <w:r>
        <w:t xml:space="preserve"> affiliated companies when evaluating risks, there has been increasing concern over the impact of </w:t>
      </w:r>
      <w:r w:rsidR="005C402E">
        <w:t>nonregulated</w:t>
      </w:r>
      <w:r>
        <w:t xml:space="preserve"> ventures upon the utility’s access to debt and equity capital and the corresponding cost of such capital as well as the prospect of a utility being pulled into bankruptcy by its parent’s insolvency.”</w:t>
      </w:r>
    </w:p>
    <w:p w:rsidR="00A426C4" w:rsidRDefault="00A426C4" w:rsidP="00A426C4">
      <w:r>
        <w:t xml:space="preserve">The NARUC report identified several ways in which a holding company can enhance the ring fencing protections of its utility subsidiaries.  The report quotes an agent of </w:t>
      </w:r>
      <w:proofErr w:type="gramStart"/>
      <w:r>
        <w:t>Standard</w:t>
      </w:r>
      <w:proofErr w:type="gramEnd"/>
      <w:r>
        <w:t xml:space="preserve"> and Poor’s on the three elements of a properly structured package of ring fencing enhancements:</w:t>
      </w:r>
    </w:p>
    <w:p w:rsidR="00A426C4" w:rsidRDefault="00A426C4" w:rsidP="00A426C4">
      <w:pPr>
        <w:pStyle w:val="Bullet"/>
      </w:pPr>
      <w:r>
        <w:t>A special structure, often including a special purpose entity designed in a way that reduces the risk of a subsidiary being pulled into bankruptcy along with its parent.</w:t>
      </w:r>
    </w:p>
    <w:p w:rsidR="00A426C4" w:rsidRDefault="00A426C4" w:rsidP="00A426C4">
      <w:pPr>
        <w:pStyle w:val="Bullet"/>
      </w:pPr>
      <w:r>
        <w:t>A tightly drafted set of covenants, including dividend tests, negative pledges, non-petition covenants, prohibitions from creating new entities, restrictions on asset transfers and inter-company advances, that preserve the financial well-being and autonomy of the ring-fenced subsidiary.</w:t>
      </w:r>
    </w:p>
    <w:p w:rsidR="00A426C4" w:rsidRDefault="00A426C4" w:rsidP="00A426C4">
      <w:pPr>
        <w:pStyle w:val="Bullet"/>
      </w:pPr>
      <w:r>
        <w:t>The third element is collateral.  If the utility’s debt is fully secured by a pledge of all or substantially all of the assets of the subsidiary, the parent, in principle, has less freedom to deal with the assets of the subsidiary.</w:t>
      </w:r>
    </w:p>
    <w:p w:rsidR="00A426C4" w:rsidRDefault="00A426C4" w:rsidP="00A426C4">
      <w:pPr>
        <w:pStyle w:val="Normal-aftertable"/>
      </w:pPr>
      <w:r>
        <w:t>The report also included additional measures taken by Edison International and Pacific Gas &amp; Electric Corp. in response to the California energy crisis in 2000 and 2001 to protect their utility subsidiaries from insolvency:</w:t>
      </w:r>
    </w:p>
    <w:p w:rsidR="00A426C4" w:rsidRDefault="00A426C4" w:rsidP="00A426C4">
      <w:pPr>
        <w:pStyle w:val="Bullet"/>
      </w:pPr>
      <w:r>
        <w:t>Providing a non-consolidation opinion between subsidiary and parent (upon insolvency of the parent, the assets of the subsidiary would not be consolidated with the parent’s).</w:t>
      </w:r>
    </w:p>
    <w:p w:rsidR="00A426C4" w:rsidRDefault="00A426C4" w:rsidP="00A426C4">
      <w:pPr>
        <w:pStyle w:val="Bullet"/>
      </w:pPr>
      <w:r>
        <w:t>Securing legal comfort that the ring fencing did not contradict any law, regulation, order, or contract.</w:t>
      </w:r>
    </w:p>
    <w:p w:rsidR="00A426C4" w:rsidRDefault="00A426C4" w:rsidP="00A426C4">
      <w:pPr>
        <w:pStyle w:val="Bullet"/>
      </w:pPr>
      <w:r>
        <w:t>Securing other legal comfort that the ring fencing would not invoke any of the re-characterization provisions of the Federal Bankruptcy Code.</w:t>
      </w:r>
    </w:p>
    <w:p w:rsidR="00A426C4" w:rsidRDefault="00A426C4" w:rsidP="00A426C4">
      <w:pPr>
        <w:pStyle w:val="Normal-aftertable"/>
      </w:pPr>
      <w:r>
        <w:lastRenderedPageBreak/>
        <w:t>The report also mentioned the technique of a “golden share” in which an independent director for a utility has certain powers.</w:t>
      </w:r>
    </w:p>
    <w:p w:rsidR="00A426C4" w:rsidRDefault="00A426C4" w:rsidP="005123A6">
      <w:pPr>
        <w:pStyle w:val="Heading-forToC"/>
      </w:pPr>
      <w:bookmarkStart w:id="86" w:name="_Toc464552012"/>
      <w:r>
        <w:t>findings</w:t>
      </w:r>
      <w:bookmarkEnd w:id="86"/>
    </w:p>
    <w:p w:rsidR="00A426C4" w:rsidRDefault="00A426C4" w:rsidP="004F00E5">
      <w:pPr>
        <w:pStyle w:val="Findings"/>
        <w:numPr>
          <w:ilvl w:val="0"/>
          <w:numId w:val="79"/>
        </w:numPr>
      </w:pPr>
      <w:r>
        <w:t>The Talen spinoff greatly reduced the exposure of PPL EU to affiliate financial and other problems.</w:t>
      </w:r>
    </w:p>
    <w:p w:rsidR="00A426C4" w:rsidRPr="002B3234" w:rsidRDefault="00A426C4" w:rsidP="00A426C4">
      <w:r>
        <w:t>Nonregulated competitive affiliates typically carry more risks to regulated operating companies than affiliated regulated utility operating companies.  PPL Corporation has spun off or sold most of its unregulated subsidiaries and those that are left are relatively small.  Further, none of the PPL Corporation subsidiaries</w:t>
      </w:r>
      <w:r w:rsidRPr="002B3234">
        <w:t xml:space="preserve"> listed below have financial instruments that contain credit triggers that </w:t>
      </w:r>
      <w:r>
        <w:t>would unduly affect PPL EU’s liquidity position:</w:t>
      </w:r>
    </w:p>
    <w:p w:rsidR="00A426C4" w:rsidRPr="002B3234" w:rsidRDefault="00A426C4" w:rsidP="00A426C4">
      <w:pPr>
        <w:pStyle w:val="Bullet"/>
      </w:pPr>
      <w:r w:rsidRPr="002B3234">
        <w:t>LG&amp;E and K</w:t>
      </w:r>
      <w:r>
        <w:t>U</w:t>
      </w:r>
      <w:r w:rsidRPr="002B3234">
        <w:t xml:space="preserve"> Services</w:t>
      </w:r>
      <w:r>
        <w:t xml:space="preserve"> Company</w:t>
      </w:r>
    </w:p>
    <w:p w:rsidR="00A426C4" w:rsidRPr="002B3234" w:rsidRDefault="00A426C4" w:rsidP="00A426C4">
      <w:pPr>
        <w:pStyle w:val="Bullet"/>
      </w:pPr>
      <w:r w:rsidRPr="002B3234">
        <w:t>PPL Services</w:t>
      </w:r>
      <w:r>
        <w:t xml:space="preserve"> Corporation</w:t>
      </w:r>
    </w:p>
    <w:p w:rsidR="00A426C4" w:rsidRPr="002B3234" w:rsidRDefault="00A426C4" w:rsidP="00A426C4">
      <w:pPr>
        <w:pStyle w:val="Bullet"/>
      </w:pPr>
      <w:r w:rsidRPr="002B3234">
        <w:t>PPL Power Insurance</w:t>
      </w:r>
      <w:r>
        <w:t xml:space="preserve"> Ltd.</w:t>
      </w:r>
    </w:p>
    <w:p w:rsidR="00A426C4" w:rsidRPr="002B3234" w:rsidRDefault="00A426C4" w:rsidP="00A426C4">
      <w:pPr>
        <w:pStyle w:val="Bullet"/>
      </w:pPr>
      <w:r>
        <w:t>PPLSolutions,</w:t>
      </w:r>
      <w:r w:rsidRPr="002B3234">
        <w:t xml:space="preserve"> LLC</w:t>
      </w:r>
    </w:p>
    <w:p w:rsidR="00A426C4" w:rsidRPr="002B3234" w:rsidRDefault="00A426C4" w:rsidP="00A426C4">
      <w:pPr>
        <w:pStyle w:val="Bullet"/>
      </w:pPr>
      <w:r w:rsidRPr="002B3234">
        <w:t>PPL Infrastructure Services</w:t>
      </w:r>
      <w:r>
        <w:t>,</w:t>
      </w:r>
      <w:r w:rsidRPr="002B3234">
        <w:t xml:space="preserve"> LLC</w:t>
      </w:r>
    </w:p>
    <w:p w:rsidR="00A426C4" w:rsidRPr="002B3234" w:rsidRDefault="00A426C4" w:rsidP="00A426C4">
      <w:pPr>
        <w:pStyle w:val="Bullet"/>
      </w:pPr>
      <w:r w:rsidRPr="002B3234">
        <w:t>PPL Strategic Development</w:t>
      </w:r>
      <w:r>
        <w:t>,</w:t>
      </w:r>
      <w:r w:rsidRPr="002B3234">
        <w:t xml:space="preserve"> LLC</w:t>
      </w:r>
    </w:p>
    <w:p w:rsidR="00A426C4" w:rsidRDefault="00A426C4" w:rsidP="00A426C4">
      <w:pPr>
        <w:pStyle w:val="Bullet"/>
      </w:pPr>
      <w:r w:rsidRPr="002B3234">
        <w:t>PPL Global</w:t>
      </w:r>
      <w:r>
        <w:t>,</w:t>
      </w:r>
      <w:r w:rsidRPr="002B3234">
        <w:t xml:space="preserve"> LLC</w:t>
      </w:r>
      <w:r>
        <w:t xml:space="preserve"> </w:t>
      </w:r>
    </w:p>
    <w:p w:rsidR="00A426C4" w:rsidRDefault="00A426C4" w:rsidP="00A426C4">
      <w:pPr>
        <w:pStyle w:val="Normal-aftertable"/>
      </w:pPr>
      <w:r>
        <w:t xml:space="preserve">However, PPL Corporation still has regulated utility operations in Kentucky, Tennessee, Virginia, and the United Kingdom.  The LKE companies also own regulated generation, which carries different risks than transmission and distribution only utilities.  It is still possible for regulated utility operating companies to develop serious financial or other problems.  </w:t>
      </w:r>
    </w:p>
    <w:p w:rsidR="00A426C4" w:rsidRDefault="00A426C4" w:rsidP="0011052F">
      <w:pPr>
        <w:pStyle w:val="Findings"/>
      </w:pPr>
      <w:r>
        <w:t>PPL EU has weakened its ring fencing from affiliate risks.</w:t>
      </w:r>
    </w:p>
    <w:p w:rsidR="00A426C4" w:rsidRDefault="00A426C4" w:rsidP="00A426C4">
      <w:r>
        <w:t>In 2001, PPL EU announced a strategic initiative designed to substantially reduce its business and financial risk profile by limiting its business activities to the transmission and distribution of electricity and businesses related to or arising out of the electric transmission and distribution businesses.  Included below are some of the steps taken under this initiative:</w:t>
      </w:r>
    </w:p>
    <w:p w:rsidR="00A426C4" w:rsidRDefault="00A426C4" w:rsidP="00A426C4">
      <w:pPr>
        <w:pStyle w:val="Bullet"/>
      </w:pPr>
      <w:r>
        <w:t>Adopting amendments to its Articles of Incorporation and Bylaws that contain corporate governance and operating provisions designed to reinforce corporate separateness from affiliated companies by:</w:t>
      </w:r>
    </w:p>
    <w:p w:rsidR="00A426C4" w:rsidRDefault="00A426C4" w:rsidP="00A426C4">
      <w:pPr>
        <w:pStyle w:val="Bullet-indent1"/>
        <w:rPr>
          <w:rFonts w:eastAsia="Wingdings-Regular"/>
        </w:rPr>
      </w:pPr>
      <w:r>
        <w:rPr>
          <w:rFonts w:eastAsia="Wingdings-Regular"/>
        </w:rPr>
        <w:t>Requiring separate assets, books, and records of account</w:t>
      </w:r>
    </w:p>
    <w:p w:rsidR="00A426C4" w:rsidRDefault="00A426C4" w:rsidP="00A426C4">
      <w:pPr>
        <w:pStyle w:val="Bullet-indent1"/>
        <w:rPr>
          <w:rFonts w:eastAsia="Wingdings-Regular"/>
        </w:rPr>
      </w:pPr>
      <w:r>
        <w:rPr>
          <w:rFonts w:eastAsia="Wingdings-Regular"/>
        </w:rPr>
        <w:t>Requiring an arm’s-length relationship with its affiliates</w:t>
      </w:r>
    </w:p>
    <w:p w:rsidR="00A426C4" w:rsidRPr="00C25240" w:rsidRDefault="00A426C4" w:rsidP="00A426C4">
      <w:pPr>
        <w:pStyle w:val="Bullet-indent1"/>
        <w:rPr>
          <w:rFonts w:eastAsia="Wingdings-Regular"/>
        </w:rPr>
      </w:pPr>
      <w:r w:rsidRPr="00C25240">
        <w:rPr>
          <w:rFonts w:eastAsia="Wingdings-Regular"/>
        </w:rPr>
        <w:t>Appointing an independent director to its Board of Directors and requiring the unanimous consent of its Board of Directors to amend these corporate governance amendments of the Artic</w:t>
      </w:r>
      <w:r>
        <w:rPr>
          <w:rFonts w:eastAsia="Wingdings-Regular"/>
        </w:rPr>
        <w:t>les of Incorporation and Bylaws</w:t>
      </w:r>
    </w:p>
    <w:p w:rsidR="00A426C4" w:rsidRPr="00C25240" w:rsidRDefault="00A426C4" w:rsidP="00A426C4">
      <w:pPr>
        <w:pStyle w:val="Bullet-indent1"/>
        <w:rPr>
          <w:rFonts w:eastAsia="Wingdings-Regular"/>
        </w:rPr>
      </w:pPr>
      <w:r w:rsidRPr="00C25240">
        <w:rPr>
          <w:rFonts w:eastAsia="Wingdings-Regular"/>
        </w:rPr>
        <w:t>Appointing an independent compliance administrator to semi-annually review PPL Electric Utilities’ compliance with these new corporate governance amendments</w:t>
      </w:r>
    </w:p>
    <w:p w:rsidR="00A426C4" w:rsidRDefault="00A426C4" w:rsidP="00A426C4">
      <w:pPr>
        <w:pStyle w:val="Bullet"/>
        <w:rPr>
          <w:rFonts w:eastAsia="Wingdings-Regular"/>
        </w:rPr>
      </w:pPr>
      <w:r>
        <w:rPr>
          <w:rFonts w:eastAsia="Wingdings-Regular"/>
        </w:rPr>
        <w:t>Using debt securities covenants designed to limit financial risks such as:</w:t>
      </w:r>
    </w:p>
    <w:p w:rsidR="00A426C4" w:rsidRDefault="00A426C4" w:rsidP="00A426C4">
      <w:pPr>
        <w:pStyle w:val="Bullet-indent1"/>
        <w:rPr>
          <w:rFonts w:eastAsia="Wingdings-Regular"/>
        </w:rPr>
      </w:pPr>
      <w:r>
        <w:rPr>
          <w:rFonts w:eastAsia="Wingdings-Regular"/>
        </w:rPr>
        <w:lastRenderedPageBreak/>
        <w:t>Restricting the utility’s ability to issue additional debt securities</w:t>
      </w:r>
    </w:p>
    <w:p w:rsidR="00A426C4" w:rsidRPr="00C25240" w:rsidRDefault="00A426C4" w:rsidP="00A426C4">
      <w:pPr>
        <w:pStyle w:val="Bullet-indent1"/>
        <w:rPr>
          <w:rFonts w:eastAsia="Wingdings-Regular"/>
        </w:rPr>
      </w:pPr>
      <w:r w:rsidRPr="00C25240">
        <w:rPr>
          <w:rFonts w:eastAsia="Wingdings-Regular"/>
        </w:rPr>
        <w:t>Suspending declarations of dividends on common stock if the independent compliance administrator has deli</w:t>
      </w:r>
      <w:r>
        <w:rPr>
          <w:rFonts w:eastAsia="Wingdings-Regular"/>
        </w:rPr>
        <w:t>vered a notice of noncompliance</w:t>
      </w:r>
    </w:p>
    <w:p w:rsidR="00A426C4" w:rsidRPr="00C25240" w:rsidRDefault="00A426C4" w:rsidP="00A426C4">
      <w:pPr>
        <w:rPr>
          <w:rFonts w:ascii="TimesNewRomanPSMT" w:eastAsia="Wingdings-Regular" w:hAnsi="TimesNewRomanPSMT" w:cs="TimesNewRomanPSMT"/>
          <w:sz w:val="26"/>
          <w:szCs w:val="26"/>
        </w:rPr>
      </w:pPr>
      <w:r>
        <w:rPr>
          <w:rFonts w:eastAsia="Wingdings-Regular"/>
        </w:rPr>
        <w:t>These enhancements to PPL EU’s legal separation from its affiliates were intended to minimize the risk that a court would order its assets and liabilities to be consolidated with those of PPL Corporation or another affiliate in the event that PPL Corporation or another affiliate were to become a debtor in a bankruptcy case.</w:t>
      </w:r>
    </w:p>
    <w:p w:rsidR="00A426C4" w:rsidRDefault="00A426C4" w:rsidP="00A426C4">
      <w:r>
        <w:t>In 2013, the bylaws of PPL EU were amended to remove any ring fencing measures because the sole financing reason to originally implement PPL EU’s ring fencing no longer existed.  This substantially weakened PPL EU’s ring fencing as there are currently no ring fencing measures to protect PPL EU other than what is provided as a separate legal entity.</w:t>
      </w:r>
    </w:p>
    <w:p w:rsidR="00A426C4" w:rsidRDefault="00A426C4" w:rsidP="00A426C4">
      <w:r>
        <w:t>The 2001 ring-fencing was designed to enable PPL EU to cost-effectively realign its capital structure to reflect its (a) lower risk business profile following divestiture of its generation assets and (b) significantly reduced supply risk associated with its provider of last resort (POLR) obligations, both of which were accomplished as part of a PUC-approved 2000 realignment.  The goal of the original ring-fencing was to increase lower-cost debt in the capital structure without decreasing ratings.</w:t>
      </w:r>
    </w:p>
    <w:p w:rsidR="00A426C4" w:rsidRDefault="00A426C4" w:rsidP="005123A6">
      <w:pPr>
        <w:pStyle w:val="Heading-forToC"/>
      </w:pPr>
      <w:bookmarkStart w:id="87" w:name="_Toc464552013"/>
      <w:r>
        <w:t>recommendation</w:t>
      </w:r>
      <w:bookmarkEnd w:id="87"/>
    </w:p>
    <w:p w:rsidR="00A426C4" w:rsidRDefault="00A426C4" w:rsidP="004F00E5">
      <w:pPr>
        <w:pStyle w:val="Findings"/>
        <w:numPr>
          <w:ilvl w:val="0"/>
          <w:numId w:val="80"/>
        </w:numPr>
      </w:pPr>
      <w:r>
        <w:t>Reevaluate prior ring fencing measures and consider enhancing PPL EU ring fencing.  (See Finding 2)</w:t>
      </w:r>
    </w:p>
    <w:p w:rsidR="00A426C4" w:rsidRDefault="00A426C4" w:rsidP="00A426C4">
      <w:r>
        <w:t>PPL EU should reconsider the 2001 ring fencing measures that were deleted in 2013 and consider additional measures as well:</w:t>
      </w:r>
    </w:p>
    <w:p w:rsidR="00A426C4" w:rsidRDefault="00A426C4" w:rsidP="00A426C4">
      <w:pPr>
        <w:pStyle w:val="Bullet"/>
      </w:pPr>
      <w:r>
        <w:t>Adopting amendments to its Articles of Incorporation and Bylaws that contain corporate governance and operating provisions designed to reinforce corporate separateness from affiliated companies by:</w:t>
      </w:r>
    </w:p>
    <w:p w:rsidR="00A426C4" w:rsidRDefault="00A426C4" w:rsidP="00A426C4">
      <w:pPr>
        <w:pStyle w:val="Bullet-indent1"/>
        <w:rPr>
          <w:rFonts w:eastAsia="Wingdings-Regular"/>
        </w:rPr>
      </w:pPr>
      <w:r>
        <w:rPr>
          <w:rFonts w:eastAsia="Wingdings-Regular"/>
        </w:rPr>
        <w:t>Requiring separate assets, books, and records of account</w:t>
      </w:r>
    </w:p>
    <w:p w:rsidR="00A426C4" w:rsidRDefault="00A426C4" w:rsidP="00A426C4">
      <w:pPr>
        <w:pStyle w:val="Bullet-indent1"/>
        <w:rPr>
          <w:rFonts w:eastAsia="Wingdings-Regular"/>
        </w:rPr>
      </w:pPr>
      <w:r>
        <w:rPr>
          <w:rFonts w:eastAsia="Wingdings-Regular"/>
        </w:rPr>
        <w:t>Requiring an arm’s-length relationship with its affiliates</w:t>
      </w:r>
    </w:p>
    <w:p w:rsidR="00A426C4" w:rsidRPr="00C25240" w:rsidRDefault="00A426C4" w:rsidP="00A426C4">
      <w:pPr>
        <w:pStyle w:val="Bullet-indent1"/>
        <w:rPr>
          <w:rFonts w:eastAsia="Wingdings-Regular"/>
        </w:rPr>
      </w:pPr>
      <w:r w:rsidRPr="00C25240">
        <w:rPr>
          <w:rFonts w:eastAsia="Wingdings-Regular"/>
        </w:rPr>
        <w:t>Appointing an independent director to its Board of Directors and requiring the unanimous consent of its Board of Directors to amend these corporate governance amendments of the Artic</w:t>
      </w:r>
      <w:r>
        <w:rPr>
          <w:rFonts w:eastAsia="Wingdings-Regular"/>
        </w:rPr>
        <w:t>les of Incorporation and Bylaws</w:t>
      </w:r>
    </w:p>
    <w:p w:rsidR="00A426C4" w:rsidRPr="00C25240" w:rsidRDefault="00A426C4" w:rsidP="00A426C4">
      <w:pPr>
        <w:pStyle w:val="Bullet-indent1"/>
        <w:rPr>
          <w:rFonts w:eastAsia="Wingdings-Regular"/>
        </w:rPr>
      </w:pPr>
      <w:r w:rsidRPr="00C25240">
        <w:rPr>
          <w:rFonts w:eastAsia="Wingdings-Regular"/>
        </w:rPr>
        <w:t xml:space="preserve">Appointing an independent compliance administrator to semi-annually review PPL Electric Utilities’ compliance with these new </w:t>
      </w:r>
      <w:r>
        <w:rPr>
          <w:rFonts w:eastAsia="Wingdings-Regular"/>
        </w:rPr>
        <w:t>corporate governance amendments</w:t>
      </w:r>
    </w:p>
    <w:p w:rsidR="00A426C4" w:rsidRDefault="00A426C4" w:rsidP="00A426C4">
      <w:pPr>
        <w:pStyle w:val="Bullet"/>
        <w:rPr>
          <w:rFonts w:eastAsia="Wingdings-Regular"/>
        </w:rPr>
      </w:pPr>
      <w:r>
        <w:rPr>
          <w:rFonts w:eastAsia="Wingdings-Regular"/>
        </w:rPr>
        <w:t>Using debt securities covenants designed to limit financial risks, such as:</w:t>
      </w:r>
    </w:p>
    <w:p w:rsidR="00A426C4" w:rsidRDefault="00A426C4" w:rsidP="00A426C4">
      <w:pPr>
        <w:pStyle w:val="Bullet-indent1"/>
        <w:rPr>
          <w:rFonts w:eastAsia="Wingdings-Regular"/>
        </w:rPr>
      </w:pPr>
      <w:r>
        <w:rPr>
          <w:rFonts w:eastAsia="Wingdings-Regular"/>
        </w:rPr>
        <w:t>Restricting the utility’s ability to issue additional debt securities</w:t>
      </w:r>
    </w:p>
    <w:p w:rsidR="00A426C4" w:rsidRPr="00435F7B" w:rsidRDefault="00A426C4" w:rsidP="00A426C4">
      <w:pPr>
        <w:pStyle w:val="Bullet-indent1"/>
      </w:pPr>
      <w:r w:rsidRPr="00A0196E">
        <w:rPr>
          <w:rFonts w:eastAsia="Wingdings-Regular"/>
        </w:rPr>
        <w:t>Suspending declarations of dividends on common stock if the independent compliance administrator has delivered a notice of noncompliance</w:t>
      </w:r>
    </w:p>
    <w:p w:rsidR="00A426C4" w:rsidRDefault="00A426C4" w:rsidP="00A426C4">
      <w:pPr>
        <w:pStyle w:val="Bullet"/>
      </w:pPr>
      <w:r>
        <w:t>Implementation of service level agreements with each affiliate with which it has transactions as recommended in the Service Level Agreement section above</w:t>
      </w:r>
    </w:p>
    <w:p w:rsidR="00A426C4" w:rsidRDefault="00A426C4" w:rsidP="00A426C4">
      <w:pPr>
        <w:pStyle w:val="Bullet"/>
      </w:pPr>
      <w:r>
        <w:lastRenderedPageBreak/>
        <w:t>Prohibition of PPL EU from making any loans to the parent or any affiliate (except for participation in a short-term corporate money pool with adequate protections for PPL EU)</w:t>
      </w:r>
    </w:p>
    <w:p w:rsidR="00A426C4" w:rsidRDefault="00A426C4" w:rsidP="00A426C4">
      <w:pPr>
        <w:pStyle w:val="Bullet"/>
      </w:pPr>
      <w:r>
        <w:t>Developing and implementing a tightly drafted set of covenants, including dividend tests, negative pledges, non-petition covenants, prohibitions from creating new entities, restrictions on asset transfers and inter-company advances, that preserve the financial well-being and autonomy of the ring-fenced subsidiary</w:t>
      </w:r>
    </w:p>
    <w:p w:rsidR="00A426C4" w:rsidRDefault="00A426C4" w:rsidP="00A426C4">
      <w:pPr>
        <w:pStyle w:val="Bullet"/>
      </w:pPr>
      <w:r>
        <w:t>Collateral – fully secure PPL EU’s debt by a pledge of all or substantially all of the assets of PPL EU</w:t>
      </w:r>
    </w:p>
    <w:p w:rsidR="00A426C4" w:rsidRDefault="00A426C4" w:rsidP="00A426C4">
      <w:pPr>
        <w:pStyle w:val="Bullet"/>
      </w:pPr>
      <w:r>
        <w:t>Providing a non-consolidation opinion between PPL EU and PPL Corporation (upon insolvency of the parent, the assets of the subsidiary would not be consolidated with the parent’s)</w:t>
      </w:r>
    </w:p>
    <w:p w:rsidR="00A426C4" w:rsidRDefault="00A426C4" w:rsidP="00A426C4">
      <w:pPr>
        <w:pStyle w:val="Bullet"/>
      </w:pPr>
      <w:r>
        <w:t>Securing legal comfort that the ring fencing actions did not contradict any law, regulation, order, or contract</w:t>
      </w:r>
    </w:p>
    <w:p w:rsidR="00A426C4" w:rsidRDefault="00A426C4" w:rsidP="00A426C4">
      <w:pPr>
        <w:pStyle w:val="Bullet"/>
      </w:pPr>
      <w:r>
        <w:t>Securing other legal comfort that the ring fencing would not invoke any of the re-characterization provisions of the Federal Bankruptcy Code</w:t>
      </w:r>
    </w:p>
    <w:p w:rsidR="00A426C4" w:rsidRDefault="00A426C4" w:rsidP="00A426C4">
      <w:pPr>
        <w:pStyle w:val="Bullet"/>
      </w:pPr>
      <w:r>
        <w:t>Implementing a “golden share” arrangement in which the independent director for PPL EU has powers to prevent adverse actions against PPL EU</w:t>
      </w:r>
    </w:p>
    <w:p w:rsidR="00A426C4" w:rsidRPr="006A6DE3" w:rsidRDefault="00A426C4" w:rsidP="00A426C4">
      <w:r>
        <w:t>Based upon the reevaluation of possible ring fencing measures, the ring fencing protection for PPL EU should be enhanced as appropriate.</w:t>
      </w:r>
    </w:p>
    <w:p w:rsidR="00A426C4" w:rsidRDefault="00A426C4" w:rsidP="004F00E5">
      <w:pPr>
        <w:pStyle w:val="Heading2"/>
        <w:numPr>
          <w:ilvl w:val="0"/>
          <w:numId w:val="104"/>
        </w:numPr>
      </w:pPr>
      <w:bookmarkStart w:id="88" w:name="_Toc464552014"/>
      <w:r>
        <w:t>Indirect affiliate transactions</w:t>
      </w:r>
      <w:bookmarkEnd w:id="88"/>
    </w:p>
    <w:p w:rsidR="00A426C4" w:rsidRDefault="00A426C4" w:rsidP="005123A6">
      <w:pPr>
        <w:pStyle w:val="Heading-forToC"/>
      </w:pPr>
      <w:bookmarkStart w:id="89" w:name="_Toc464552015"/>
      <w:r>
        <w:t>background</w:t>
      </w:r>
      <w:bookmarkEnd w:id="89"/>
    </w:p>
    <w:p w:rsidR="00A426C4" w:rsidRDefault="00A426C4" w:rsidP="00A426C4">
      <w:r>
        <w:t>The Pennsylvania Public Utility Code Section 2101 defines affiliated interests.  Essentially, any entity in which a utility holding company, such as PPL Corporation, has five percent or more ownership is an affiliate of the Pennsylvania regulated operating utility company owned by the utility holding company, such as PPL EU.</w:t>
      </w:r>
      <w:r w:rsidRPr="00440B39">
        <w:t xml:space="preserve"> </w:t>
      </w:r>
      <w:r>
        <w:t xml:space="preserve">  Therefore, essentially all of the 85 legal entity subsidiaries of PPL Corporation are defined as PPL EU affiliates in Pennsylvania. </w:t>
      </w:r>
    </w:p>
    <w:p w:rsidR="00A426C4" w:rsidRDefault="00A426C4" w:rsidP="00A426C4">
      <w:r>
        <w:t xml:space="preserve">However, while essentially all of the PPL Corporation subsidiary legal entities are defined as affiliates of PPL EU, the utility company actually has material transactions (sales of goods or services to or from PPL EU by the affiliate) with only a subset of them.  These have been discussed in the prior sections of this chapter.  </w:t>
      </w:r>
    </w:p>
    <w:p w:rsidR="00A426C4" w:rsidRDefault="00A426C4" w:rsidP="00A426C4">
      <w:r>
        <w:t xml:space="preserve">In addition to the PPL EU direct transactions with affiliates, there are four other identified situations in which the parent corporation and other subsidiaries affect PPL EU that are not strictly defined as affiliate transactions in Pennsylvania:  </w:t>
      </w:r>
    </w:p>
    <w:p w:rsidR="00A426C4" w:rsidRDefault="00A426C4" w:rsidP="00A426C4">
      <w:pPr>
        <w:pStyle w:val="Bullet"/>
      </w:pPr>
      <w:r>
        <w:t>LG&amp;E and KU Services Company</w:t>
      </w:r>
    </w:p>
    <w:p w:rsidR="00A426C4" w:rsidRDefault="00A426C4" w:rsidP="00A426C4">
      <w:pPr>
        <w:pStyle w:val="Bullet"/>
      </w:pPr>
      <w:r>
        <w:t>CEP Lending, Inc.</w:t>
      </w:r>
    </w:p>
    <w:p w:rsidR="00A426C4" w:rsidRDefault="00A426C4" w:rsidP="00A426C4">
      <w:pPr>
        <w:pStyle w:val="Bullet"/>
      </w:pPr>
      <w:r>
        <w:t>CEP Reserves, Inc.</w:t>
      </w:r>
    </w:p>
    <w:p w:rsidR="00A426C4" w:rsidRDefault="00A426C4" w:rsidP="00A426C4">
      <w:pPr>
        <w:pStyle w:val="Bullet"/>
      </w:pPr>
      <w:r>
        <w:t>PPL Corporation Employee Talen Stock Ownership</w:t>
      </w:r>
    </w:p>
    <w:p w:rsidR="00A426C4" w:rsidRDefault="00A426C4" w:rsidP="00A426C4">
      <w:pPr>
        <w:pStyle w:val="Normal-aftertable"/>
      </w:pPr>
      <w:r>
        <w:t>Each is discussed below.</w:t>
      </w:r>
    </w:p>
    <w:p w:rsidR="00A426C4" w:rsidRDefault="00A426C4" w:rsidP="00A426C4">
      <w:pPr>
        <w:pStyle w:val="Heading40"/>
      </w:pPr>
      <w:r>
        <w:lastRenderedPageBreak/>
        <w:t>LG&amp;E and KU Services Company</w:t>
      </w:r>
    </w:p>
    <w:p w:rsidR="00A426C4" w:rsidRPr="00A3559B" w:rsidRDefault="00A426C4" w:rsidP="00A426C4">
      <w:r>
        <w:t>LG&amp;E and KU Services Company (LKE SC) was formed in 2000 (then known as LG&amp;E Energy Services Inc. (LES)) in conjunction with the Powergen plc (Powergen) acquisition of LG&amp;E Energy Corp. (LEC), the parent holding company of LG&amp;E and KU since the merger of their holding companies in 1998. LES (renamed as E.ON U.S. Services Inc. (EUSI)) continued through the 2002 acquisition of Powergen and LEC (succeeded and renamed E.ON U.S. LLC (EUS)) by E.ON AG. EUSI (renamed LG&amp;E and KU Services Company) further continued through the 2010 acquis</w:t>
      </w:r>
      <w:r w:rsidR="00671425">
        <w:t>i</w:t>
      </w:r>
      <w:r>
        <w:t>tion of EUS (renamed LG&amp;E and KU Energy LLC (LK</w:t>
      </w:r>
      <w:r w:rsidR="00671425">
        <w:t>E)) by PPL Corporation in 2010.</w:t>
      </w:r>
      <w:r>
        <w:t xml:space="preserve">    </w:t>
      </w:r>
    </w:p>
    <w:p w:rsidR="00A426C4" w:rsidRDefault="00A426C4" w:rsidP="00A426C4">
      <w:r>
        <w:t>LKE SC serves LKE, LG&amp;E, KU, and the remaining inactive nonregulated LKE subsidiaries.  Its headquarters for these affiliate are located in Louisville, Kentucky and in Lexington, Kentucky, as well as, in part, certain local business offices, operational facilities or call centers serving LG&amp;E and KU in Kentucky.  KU also serves approximately 28,000 customers in the southwest portion of Virginia.</w:t>
      </w:r>
    </w:p>
    <w:p w:rsidR="00A426C4" w:rsidRDefault="00A426C4" w:rsidP="00A426C4">
      <w:r>
        <w:t>LKE SC is a fully consolidated service company including the following functions:</w:t>
      </w:r>
    </w:p>
    <w:p w:rsidR="00A426C4" w:rsidRDefault="00A426C4" w:rsidP="00A426C4">
      <w:pPr>
        <w:pStyle w:val="Bullet"/>
      </w:pPr>
      <w:r>
        <w:t>Executive Management</w:t>
      </w:r>
    </w:p>
    <w:p w:rsidR="00A426C4" w:rsidRDefault="00A426C4" w:rsidP="00A426C4">
      <w:pPr>
        <w:pStyle w:val="Bullet"/>
      </w:pPr>
      <w:r>
        <w:t>Generation</w:t>
      </w:r>
    </w:p>
    <w:p w:rsidR="00A426C4" w:rsidRDefault="00A426C4" w:rsidP="00A426C4">
      <w:pPr>
        <w:pStyle w:val="Bullet"/>
      </w:pPr>
      <w:r>
        <w:t>Transmission – most all employees are in LKE SC</w:t>
      </w:r>
    </w:p>
    <w:p w:rsidR="00A426C4" w:rsidRDefault="00A426C4" w:rsidP="00A426C4">
      <w:pPr>
        <w:pStyle w:val="Bullet"/>
      </w:pPr>
      <w:r>
        <w:t>Distribution – the management is in LKE SC but there are some LG&amp;E and KU operating company employees physically deployed in the operating company territories</w:t>
      </w:r>
    </w:p>
    <w:p w:rsidR="00A426C4" w:rsidRDefault="00A426C4" w:rsidP="00A426C4">
      <w:pPr>
        <w:pStyle w:val="Bullet"/>
      </w:pPr>
      <w:r>
        <w:t xml:space="preserve">Customer Services – most employees are in LKE SC </w:t>
      </w:r>
    </w:p>
    <w:p w:rsidR="00A426C4" w:rsidRDefault="00A426C4" w:rsidP="00A426C4">
      <w:pPr>
        <w:pStyle w:val="Bullet"/>
      </w:pPr>
      <w:r>
        <w:t>Shared Services:</w:t>
      </w:r>
    </w:p>
    <w:p w:rsidR="00A426C4" w:rsidRDefault="00A426C4" w:rsidP="00A426C4">
      <w:pPr>
        <w:pStyle w:val="Bullet-indent1"/>
      </w:pPr>
      <w:r>
        <w:t>Legal</w:t>
      </w:r>
    </w:p>
    <w:p w:rsidR="00A426C4" w:rsidRDefault="00A426C4" w:rsidP="00A426C4">
      <w:pPr>
        <w:pStyle w:val="Bullet-indent1"/>
      </w:pPr>
      <w:r>
        <w:t xml:space="preserve">Internal Audit </w:t>
      </w:r>
    </w:p>
    <w:p w:rsidR="00A426C4" w:rsidRDefault="00A426C4" w:rsidP="00A426C4">
      <w:pPr>
        <w:pStyle w:val="Bullet-indent1"/>
      </w:pPr>
      <w:r>
        <w:t>Compliance</w:t>
      </w:r>
    </w:p>
    <w:p w:rsidR="00A426C4" w:rsidRDefault="00A426C4" w:rsidP="00A426C4">
      <w:pPr>
        <w:pStyle w:val="Bullet-indent1"/>
      </w:pPr>
      <w:r>
        <w:t>Finance</w:t>
      </w:r>
    </w:p>
    <w:p w:rsidR="00A426C4" w:rsidRDefault="00A426C4" w:rsidP="00A426C4">
      <w:pPr>
        <w:pStyle w:val="Bullet-indent1"/>
      </w:pPr>
      <w:r>
        <w:t>Accounting</w:t>
      </w:r>
    </w:p>
    <w:p w:rsidR="00A426C4" w:rsidRDefault="00A426C4" w:rsidP="00A426C4">
      <w:pPr>
        <w:pStyle w:val="Bullet-indent1"/>
      </w:pPr>
      <w:r>
        <w:t>Treasury</w:t>
      </w:r>
    </w:p>
    <w:p w:rsidR="00A426C4" w:rsidRDefault="00A426C4" w:rsidP="00A426C4">
      <w:pPr>
        <w:pStyle w:val="Bullet-indent1"/>
      </w:pPr>
      <w:r>
        <w:t>Finance</w:t>
      </w:r>
    </w:p>
    <w:p w:rsidR="00A426C4" w:rsidRDefault="00A426C4" w:rsidP="00A426C4">
      <w:pPr>
        <w:pStyle w:val="Bullet-indent1"/>
      </w:pPr>
      <w:r>
        <w:t>Human Resources</w:t>
      </w:r>
    </w:p>
    <w:p w:rsidR="00A426C4" w:rsidRDefault="00A426C4" w:rsidP="00A426C4">
      <w:pPr>
        <w:pStyle w:val="Bullet-indent1"/>
      </w:pPr>
      <w:r>
        <w:t>Supply Chain</w:t>
      </w:r>
    </w:p>
    <w:p w:rsidR="00A426C4" w:rsidRDefault="00A426C4" w:rsidP="00A426C4">
      <w:pPr>
        <w:pStyle w:val="Bullet-indent1"/>
      </w:pPr>
      <w:r>
        <w:t>Information Technology including Telecommunications</w:t>
      </w:r>
    </w:p>
    <w:p w:rsidR="00A426C4" w:rsidRDefault="00A426C4" w:rsidP="00A426C4">
      <w:pPr>
        <w:pStyle w:val="Bullet-indent1"/>
      </w:pPr>
      <w:r>
        <w:t>Communications – external and employee</w:t>
      </w:r>
    </w:p>
    <w:p w:rsidR="00A426C4" w:rsidRDefault="00A426C4" w:rsidP="00A426C4">
      <w:pPr>
        <w:pStyle w:val="Bullet-indent1"/>
      </w:pPr>
      <w:r>
        <w:t>Regulatory Affairs</w:t>
      </w:r>
    </w:p>
    <w:p w:rsidR="00A426C4" w:rsidRDefault="00A426C4" w:rsidP="00A426C4">
      <w:pPr>
        <w:pStyle w:val="Bullet-indent1"/>
      </w:pPr>
      <w:r>
        <w:t>Government Affairs</w:t>
      </w:r>
    </w:p>
    <w:p w:rsidR="00A426C4" w:rsidRDefault="00A426C4" w:rsidP="00A426C4">
      <w:pPr>
        <w:pStyle w:val="Bullet-indent1"/>
      </w:pPr>
      <w:r>
        <w:t>Safety – with additional safety representatives in the operating companies</w:t>
      </w:r>
    </w:p>
    <w:p w:rsidR="00A426C4" w:rsidRDefault="00A426C4" w:rsidP="00234825">
      <w:pPr>
        <w:pStyle w:val="Bullet-indent1"/>
        <w:spacing w:after="120"/>
      </w:pPr>
      <w:r>
        <w:t>Physical Security</w:t>
      </w:r>
    </w:p>
    <w:p w:rsidR="00A426C4" w:rsidRDefault="00A426C4" w:rsidP="00A426C4">
      <w:pPr>
        <w:rPr>
          <w:rFonts w:cs="Arial"/>
          <w:szCs w:val="24"/>
        </w:rPr>
      </w:pPr>
      <w:r>
        <w:lastRenderedPageBreak/>
        <w:t>The only remaining LG&amp;E and KU employees are physical workers dedicated to one of the operating companies or are represented employees linked to a union contract with one of the operating companies.</w:t>
      </w:r>
    </w:p>
    <w:p w:rsidR="00A426C4" w:rsidRDefault="00A426C4" w:rsidP="00A426C4">
      <w:r>
        <w:t>LKE SC has no affiliate transactions with PPL EU.  LKE SC does however provide some affiliate services to PPL SC, such as leasing data center space for servers for which it is charged rent and direct labor which, in turn, are partially allocated to PPL EU.  These charges are material.  In addition, the LKE Supply Chain organization buys information technology (IT) equipment for PPL SC IT.  This is a recent development.</w:t>
      </w:r>
    </w:p>
    <w:p w:rsidR="00A426C4" w:rsidRDefault="00A426C4" w:rsidP="00365E9F">
      <w:pPr>
        <w:pStyle w:val="Heading40"/>
      </w:pPr>
      <w:r>
        <w:t>CEP Lending</w:t>
      </w:r>
    </w:p>
    <w:p w:rsidR="00A426C4" w:rsidRDefault="00A426C4" w:rsidP="00A426C4">
      <w:pPr>
        <w:rPr>
          <w:rFonts w:cs="Arial"/>
          <w:szCs w:val="24"/>
        </w:rPr>
      </w:pPr>
      <w:r>
        <w:rPr>
          <w:rFonts w:cs="Arial"/>
          <w:szCs w:val="24"/>
        </w:rPr>
        <w:t xml:space="preserve">CEP Commerce, LLC (CEP Commerce) is a wholly owned subsidiary of PPL EU.  CEP Lending, Inc. (CEP Lending) is a wholly owned subsidiary of CEP Commerce.  PPL EU makes capital contributions to CEP Commerce which, in turn, makes capital contributions to CEP Lending.  CEP Lending does not have direct transactions with PPL EU and, therefore, does not fall under the affiliate requirements in Pennsylvania.  However, CEP Lending makes intercompany loans to PPL Energy Funding.  PPL Energy Funding pays interest to CEP Lending.  PPL Energy Funding repays the loans to CEP Lending which makes a return of capital to CEP Commerce, which, in turn, makes a return of capital to PPL EU.  PPL Energy Funding makes loans to PPL Corporation subsidiaries that do not have transactions with PPL EU directly. </w:t>
      </w:r>
    </w:p>
    <w:p w:rsidR="00A426C4" w:rsidRDefault="00A426C4" w:rsidP="00531D84">
      <w:pPr>
        <w:pStyle w:val="Heading40"/>
      </w:pPr>
      <w:r>
        <w:t>CEP Reserves, Inc.</w:t>
      </w:r>
    </w:p>
    <w:p w:rsidR="00A426C4" w:rsidRPr="00DF2C34" w:rsidRDefault="00A426C4" w:rsidP="00A426C4">
      <w:r>
        <w:t xml:space="preserve">PPL EUS has an intercompany loan with CEP Reserves, Inc.  The interest expense is recorded monthly in the general ledger and settled via a cash settlement the following month.  The intercompany interest expense that PPL EUS incurs is allocated to its clients, primarily PPL EU, through the indirect allocation process. </w:t>
      </w:r>
    </w:p>
    <w:p w:rsidR="00A426C4" w:rsidRDefault="00A426C4" w:rsidP="005123A6">
      <w:pPr>
        <w:pStyle w:val="Heading-forToC"/>
      </w:pPr>
      <w:bookmarkStart w:id="90" w:name="_Toc464552016"/>
      <w:r>
        <w:t>finding</w:t>
      </w:r>
      <w:bookmarkEnd w:id="90"/>
    </w:p>
    <w:p w:rsidR="00A426C4" w:rsidRDefault="00A426C4" w:rsidP="004F00E5">
      <w:pPr>
        <w:pStyle w:val="Findings"/>
        <w:numPr>
          <w:ilvl w:val="0"/>
          <w:numId w:val="81"/>
        </w:numPr>
      </w:pPr>
      <w:r>
        <w:t>Indirect affiliates present similar risks to PPL EU ratepayers as direct affiliates.</w:t>
      </w:r>
    </w:p>
    <w:p w:rsidR="00A426C4" w:rsidRDefault="00A426C4" w:rsidP="00A426C4">
      <w:r>
        <w:t>Indirect affiliate transactions affect PPL EU costs.  PPL Corporation has the same financial incentives to cause PPL EU costs to be higher and other subsidiary costs to be lower with indirect affiliate transactions as it does with direct affiliate transactions.</w:t>
      </w:r>
    </w:p>
    <w:p w:rsidR="00A426C4" w:rsidRDefault="00A426C4" w:rsidP="005123A6">
      <w:pPr>
        <w:pStyle w:val="Heading-forToC"/>
      </w:pPr>
      <w:bookmarkStart w:id="91" w:name="_Toc464552017"/>
      <w:r>
        <w:t>recommendation</w:t>
      </w:r>
      <w:bookmarkEnd w:id="91"/>
    </w:p>
    <w:p w:rsidR="00A426C4" w:rsidRDefault="00A426C4" w:rsidP="004F00E5">
      <w:pPr>
        <w:pStyle w:val="Findings"/>
        <w:numPr>
          <w:ilvl w:val="0"/>
          <w:numId w:val="82"/>
        </w:numPr>
      </w:pPr>
      <w:r>
        <w:t>Voluntarily apply all of the recommended affiliate relationships and transactions good practices in this chapter to the indirect affiliate relationships.  (See Finding 1)</w:t>
      </w:r>
    </w:p>
    <w:p w:rsidR="00A426C4" w:rsidRDefault="00A426C4" w:rsidP="00A426C4">
      <w:r>
        <w:t>Because indirect affiliate relationships have similar risks for PPL EU ratepayers as direct affiliate relationships, PPL EU should choose to voluntarily apply all of the affiliate relationship and transaction good practices recommended in this chapter to the PPL Corporation, LKE SC, CEP Lending, and any future indirect affiliate relationships.</w:t>
      </w:r>
    </w:p>
    <w:p w:rsidR="00A426C4" w:rsidRDefault="00A426C4" w:rsidP="004F00E5">
      <w:pPr>
        <w:pStyle w:val="Heading2"/>
        <w:numPr>
          <w:ilvl w:val="0"/>
          <w:numId w:val="104"/>
        </w:numPr>
      </w:pPr>
      <w:bookmarkStart w:id="92" w:name="_Toc464552018"/>
      <w:r>
        <w:lastRenderedPageBreak/>
        <w:t>internal audits</w:t>
      </w:r>
      <w:bookmarkEnd w:id="92"/>
    </w:p>
    <w:p w:rsidR="00A426C4" w:rsidRDefault="00A426C4" w:rsidP="005123A6">
      <w:pPr>
        <w:pStyle w:val="Heading-forToC"/>
        <w:spacing w:before="120"/>
      </w:pPr>
      <w:bookmarkStart w:id="93" w:name="_Toc464552019"/>
      <w:r>
        <w:t>background</w:t>
      </w:r>
      <w:bookmarkEnd w:id="93"/>
    </w:p>
    <w:p w:rsidR="00A426C4" w:rsidRDefault="00A426C4" w:rsidP="00BE2ED3">
      <w:pPr>
        <w:spacing w:after="60"/>
      </w:pPr>
      <w:r>
        <w:t>There is a Corporate Audit and Business Ethics function reporting to the PPL SC CEO.  It is responsible for all PPL Corporation entities, including Pennsylvania, Kentucky, and United Kingdom operations.  It has an annual schedule of internal audits programmed for each year in addition to special investigations as necessary.</w:t>
      </w:r>
    </w:p>
    <w:p w:rsidR="00A426C4" w:rsidRDefault="00D10053" w:rsidP="005123A6">
      <w:pPr>
        <w:pStyle w:val="Heading-forToC"/>
        <w:spacing w:before="120"/>
      </w:pPr>
      <w:bookmarkStart w:id="94" w:name="_Toc464552020"/>
      <w:r>
        <w:t>finding</w:t>
      </w:r>
      <w:bookmarkEnd w:id="94"/>
    </w:p>
    <w:p w:rsidR="00A426C4" w:rsidRDefault="00A426C4" w:rsidP="004F00E5">
      <w:pPr>
        <w:pStyle w:val="Findings"/>
        <w:numPr>
          <w:ilvl w:val="0"/>
          <w:numId w:val="83"/>
        </w:numPr>
        <w:spacing w:after="60"/>
      </w:pPr>
      <w:r>
        <w:t>There has been no internal audit of PPL SC cost accounting and allocation or any of the affiliate relationships and transactions since 2010.</w:t>
      </w:r>
    </w:p>
    <w:p w:rsidR="00A426C4" w:rsidRDefault="00A426C4" w:rsidP="00BE2ED3">
      <w:pPr>
        <w:spacing w:after="60"/>
      </w:pPr>
      <w:r>
        <w:t>The last internal audit of PPL SC cost accounting was in 2010.  Further, there have been no other audits of affiliate relationships and transactions since 2010.  There have been many material changes since then.  However, a</w:t>
      </w:r>
      <w:r w:rsidRPr="00F6055D">
        <w:t>n</w:t>
      </w:r>
      <w:r>
        <w:t xml:space="preserve"> internal</w:t>
      </w:r>
      <w:r w:rsidRPr="00F6055D">
        <w:t xml:space="preserve"> audit </w:t>
      </w:r>
      <w:r>
        <w:t>of the PPL EUS</w:t>
      </w:r>
      <w:r w:rsidRPr="00F6055D">
        <w:t xml:space="preserve"> cost allocation project</w:t>
      </w:r>
      <w:r>
        <w:t xml:space="preserve"> is </w:t>
      </w:r>
      <w:r w:rsidRPr="00F6055D">
        <w:t xml:space="preserve">included </w:t>
      </w:r>
      <w:r>
        <w:t xml:space="preserve">in the scheduled </w:t>
      </w:r>
      <w:r w:rsidRPr="00F6055D">
        <w:t xml:space="preserve">2016 Audit Plan.  </w:t>
      </w:r>
    </w:p>
    <w:p w:rsidR="00A426C4" w:rsidRDefault="00A426C4" w:rsidP="005123A6">
      <w:pPr>
        <w:pStyle w:val="Heading-forToC"/>
        <w:spacing w:before="120"/>
      </w:pPr>
      <w:bookmarkStart w:id="95" w:name="_Toc464552021"/>
      <w:r>
        <w:t>recommendation</w:t>
      </w:r>
      <w:bookmarkEnd w:id="95"/>
    </w:p>
    <w:p w:rsidR="00A426C4" w:rsidRDefault="00A426C4" w:rsidP="004F00E5">
      <w:pPr>
        <w:pStyle w:val="Findings"/>
        <w:numPr>
          <w:ilvl w:val="0"/>
          <w:numId w:val="84"/>
        </w:numPr>
        <w:spacing w:after="60"/>
      </w:pPr>
      <w:r>
        <w:t>Conduct regular internal audits of affiliate relationships and transactions.  (See Finding 1)</w:t>
      </w:r>
    </w:p>
    <w:p w:rsidR="00A426C4" w:rsidRDefault="00A426C4" w:rsidP="00BE2ED3">
      <w:pPr>
        <w:spacing w:after="60"/>
      </w:pPr>
      <w:r>
        <w:t>Because of the many weaknesses found in PPL EU’s management of affiliate relationships and transactions and noted in the prior sections of this chapter, the Corporate Audit and Business Ethics department should schedule comprehensive reviews of PPL EU’s affiliate relationships and transactions over the next two years.  These reviews should cover relationships with:</w:t>
      </w:r>
    </w:p>
    <w:p w:rsidR="00A426C4" w:rsidRDefault="00A426C4" w:rsidP="00BE2ED3">
      <w:pPr>
        <w:pStyle w:val="Bullet"/>
      </w:pPr>
      <w:r>
        <w:t xml:space="preserve">PPL Services Corporation </w:t>
      </w:r>
    </w:p>
    <w:p w:rsidR="00A426C4" w:rsidRDefault="00A426C4" w:rsidP="00BE2ED3">
      <w:pPr>
        <w:pStyle w:val="Bullet"/>
      </w:pPr>
      <w:r>
        <w:t>PPL EU Services Corporation if PPL EUS is not folded into PPL SC</w:t>
      </w:r>
    </w:p>
    <w:p w:rsidR="00A426C4" w:rsidRDefault="00A426C4" w:rsidP="00BE2ED3">
      <w:pPr>
        <w:pStyle w:val="Bullet"/>
      </w:pPr>
      <w:r>
        <w:t>PPLSolutions, LLC</w:t>
      </w:r>
    </w:p>
    <w:p w:rsidR="00A426C4" w:rsidRDefault="00A426C4" w:rsidP="00BE2ED3">
      <w:pPr>
        <w:pStyle w:val="Bullet"/>
      </w:pPr>
      <w:r>
        <w:t>PPL Infrastructure Services, LLC</w:t>
      </w:r>
    </w:p>
    <w:p w:rsidR="00A426C4" w:rsidRDefault="00A426C4" w:rsidP="00BE2ED3">
      <w:pPr>
        <w:pStyle w:val="Bullet"/>
      </w:pPr>
      <w:r>
        <w:t>PPL Power Insurance, Ltd.</w:t>
      </w:r>
    </w:p>
    <w:p w:rsidR="00A426C4" w:rsidRDefault="00A426C4" w:rsidP="00BE2ED3">
      <w:pPr>
        <w:pStyle w:val="Bullet"/>
      </w:pPr>
      <w:r>
        <w:t>CEP Commerce, LLC</w:t>
      </w:r>
    </w:p>
    <w:p w:rsidR="00A426C4" w:rsidRDefault="00A426C4" w:rsidP="00BE2ED3">
      <w:pPr>
        <w:pStyle w:val="Bullet"/>
      </w:pPr>
      <w:r>
        <w:t>CEP Lending, LLC</w:t>
      </w:r>
    </w:p>
    <w:p w:rsidR="00A426C4" w:rsidRDefault="00A426C4" w:rsidP="00BE2ED3">
      <w:pPr>
        <w:pStyle w:val="Bullet"/>
      </w:pPr>
      <w:r>
        <w:t>Louisville Gas and Electric Company</w:t>
      </w:r>
    </w:p>
    <w:p w:rsidR="00A426C4" w:rsidRDefault="00A426C4" w:rsidP="00BE2ED3">
      <w:pPr>
        <w:pStyle w:val="Bullet"/>
      </w:pPr>
      <w:r>
        <w:t>Kentucky Utilities Company</w:t>
      </w:r>
    </w:p>
    <w:p w:rsidR="00A426C4" w:rsidRDefault="00A426C4" w:rsidP="00BE2ED3">
      <w:pPr>
        <w:pStyle w:val="Normal-aftertable"/>
        <w:spacing w:after="60"/>
      </w:pPr>
      <w:r>
        <w:t>Each internal audit should cover:</w:t>
      </w:r>
    </w:p>
    <w:p w:rsidR="00A426C4" w:rsidRDefault="00A426C4" w:rsidP="00BE2ED3">
      <w:pPr>
        <w:pStyle w:val="Bullet"/>
      </w:pPr>
      <w:r>
        <w:t>Governance</w:t>
      </w:r>
    </w:p>
    <w:p w:rsidR="00A426C4" w:rsidRDefault="00A426C4" w:rsidP="00BE2ED3">
      <w:pPr>
        <w:pStyle w:val="Bullet"/>
      </w:pPr>
      <w:r>
        <w:t>Tracking of transactions</w:t>
      </w:r>
    </w:p>
    <w:p w:rsidR="00A426C4" w:rsidRDefault="00A426C4" w:rsidP="00BE2ED3">
      <w:pPr>
        <w:pStyle w:val="Bullet"/>
      </w:pPr>
      <w:r>
        <w:t>Service Level Agreement and PUC approval</w:t>
      </w:r>
    </w:p>
    <w:p w:rsidR="00A426C4" w:rsidRDefault="00A426C4" w:rsidP="00BE2ED3">
      <w:pPr>
        <w:pStyle w:val="Bullet"/>
      </w:pPr>
      <w:r>
        <w:t>Compliance with the Affiliate Code of Conduct</w:t>
      </w:r>
    </w:p>
    <w:p w:rsidR="00A426C4" w:rsidRDefault="00A426C4" w:rsidP="00BE2ED3">
      <w:pPr>
        <w:pStyle w:val="Bullet"/>
      </w:pPr>
      <w:r>
        <w:t>Benchmarking or other proof of affiliate relationship value</w:t>
      </w:r>
    </w:p>
    <w:p w:rsidR="00A426C4" w:rsidRDefault="00A426C4" w:rsidP="00BE2ED3">
      <w:pPr>
        <w:pStyle w:val="Bullet"/>
      </w:pPr>
      <w:r>
        <w:t>Ring fencing</w:t>
      </w:r>
    </w:p>
    <w:p w:rsidR="00A426C4" w:rsidRDefault="00A426C4" w:rsidP="00BE2ED3">
      <w:pPr>
        <w:pStyle w:val="Bullet"/>
      </w:pPr>
      <w:r>
        <w:t>Indirect affiliate involvement</w:t>
      </w:r>
    </w:p>
    <w:p w:rsidR="009B421B" w:rsidRDefault="00A426C4" w:rsidP="00A426C4">
      <w:pPr>
        <w:pStyle w:val="Normal-aftertable"/>
      </w:pPr>
      <w:r>
        <w:t xml:space="preserve">The internal audits should compare actual practices to good practices for affiliate relationship management and continue this practice periodically going forward.  </w:t>
      </w:r>
    </w:p>
    <w:p w:rsidR="009B421B" w:rsidRDefault="009B421B" w:rsidP="00A426C4">
      <w:pPr>
        <w:pStyle w:val="Normal-aftertable"/>
        <w:sectPr w:rsidR="009B421B" w:rsidSect="00701DCF">
          <w:footerReference w:type="default" r:id="rId26"/>
          <w:type w:val="continuous"/>
          <w:pgSz w:w="12240" w:h="15840"/>
          <w:pgMar w:top="1440" w:right="1440" w:bottom="1440" w:left="1440" w:header="720" w:footer="576" w:gutter="0"/>
          <w:cols w:space="720"/>
          <w:docGrid w:linePitch="360"/>
        </w:sectPr>
      </w:pPr>
    </w:p>
    <w:p w:rsidR="00F91070" w:rsidRDefault="00F91070" w:rsidP="00571AD4">
      <w:pPr>
        <w:pStyle w:val="Heading1"/>
      </w:pPr>
      <w:bookmarkStart w:id="96" w:name="_Toc464552022"/>
      <w:r>
        <w:lastRenderedPageBreak/>
        <w:t>FINANCE AND ACCOUNTING</w:t>
      </w:r>
      <w:bookmarkEnd w:id="96"/>
    </w:p>
    <w:p w:rsidR="00F91070" w:rsidRDefault="00F91070" w:rsidP="00B86FA4">
      <w:pPr>
        <w:pStyle w:val="Heading2"/>
        <w:numPr>
          <w:ilvl w:val="0"/>
          <w:numId w:val="16"/>
        </w:numPr>
      </w:pPr>
      <w:bookmarkStart w:id="97" w:name="_Toc464552023"/>
      <w:r>
        <w:t>background</w:t>
      </w:r>
      <w:bookmarkEnd w:id="97"/>
    </w:p>
    <w:p w:rsidR="00F91070" w:rsidRDefault="00F91070" w:rsidP="00701DCF">
      <w:r>
        <w:t xml:space="preserve">This chapter covers the provisioning of financial and accounting services to PPL Electric Utilities (PPL EU).  Financial and accounting services are provided to PPL EU by both PPL Services Corporation (PPL SC) and PPL EU Services Corporation (PPL EUS).  </w:t>
      </w:r>
      <w:r>
        <w:rPr>
          <w:rFonts w:cs="Arial"/>
          <w:szCs w:val="24"/>
        </w:rPr>
        <w:t xml:space="preserve">PPL EUS was formed in 2015 with the shared service units that primarily serve PPL EU. The PPL EUS Regulatory Affairs organization and the Accounting, Planning, Reporting </w:t>
      </w:r>
      <w:proofErr w:type="gramStart"/>
      <w:r>
        <w:rPr>
          <w:rFonts w:cs="Arial"/>
          <w:szCs w:val="24"/>
        </w:rPr>
        <w:t>organization provide</w:t>
      </w:r>
      <w:proofErr w:type="gramEnd"/>
      <w:r>
        <w:rPr>
          <w:rFonts w:cs="Arial"/>
          <w:szCs w:val="24"/>
        </w:rPr>
        <w:t xml:space="preserve"> finance and accounting services only to PPL EU.  PPL SC provides certain finance and accounting services to the entire PPL family of companies, including PPL EU.</w:t>
      </w:r>
    </w:p>
    <w:p w:rsidR="00F91070" w:rsidRDefault="00F91070" w:rsidP="00701DCF">
      <w:pPr>
        <w:pStyle w:val="Heading30"/>
      </w:pPr>
      <w:r>
        <w:t>PPL SC ORGANIZATION AND FUNCTIONS</w:t>
      </w:r>
    </w:p>
    <w:p w:rsidR="00F91070" w:rsidRDefault="00F91070" w:rsidP="00701DCF">
      <w:pPr>
        <w:rPr>
          <w:rFonts w:cs="Arial"/>
          <w:szCs w:val="24"/>
        </w:rPr>
      </w:pPr>
      <w:r>
        <w:rPr>
          <w:rFonts w:cs="Arial"/>
          <w:szCs w:val="24"/>
        </w:rPr>
        <w:t xml:space="preserve">The PPL SC Chief Financial Officer (CFO) is a senior vice president and reports directly to the Chairman, President, and Chief Executive Officer (CEO) of PPL SC.  The CFO has seven direct reports: an executive assistant and six senior management personnel (two senior directors and four vice presidents) representing the areas of Investor Relations and Financial Planning, Talen Transition Services Agreement (TSA) Financial, Controller, Tax, and Finance and Treasury.  All of these functions provide some level of services to PPL EU; however, PPL EUS has the primary responsibility for the accounting, reporting and financial planning functions of PPL EU.  The CFO is responsible for making presentations to the PPL Board of Directors, which include high level explanations for the financial performance of all of the PPL subsidiaries as well as the consolidated results of PPL. The President of PPL EU is responsible for updating the Board on the details of the PPL EU business operations and results. </w:t>
      </w:r>
    </w:p>
    <w:p w:rsidR="00F91070" w:rsidRDefault="00F91070" w:rsidP="00701DCF">
      <w:pPr>
        <w:rPr>
          <w:rFonts w:cs="Arial"/>
          <w:szCs w:val="24"/>
        </w:rPr>
      </w:pPr>
      <w:r>
        <w:rPr>
          <w:rFonts w:cs="Arial"/>
          <w:szCs w:val="24"/>
        </w:rPr>
        <w:t>PPL SC is also responsible for the internal audit function that audits the financial and operating functions of PPL EU.  The Vice President, Corporate Audit and Business Ethics, reports functionally to the Audit Committee Chair and administratively to the Chairman, President, and CEO of PPL SC and is responsible for performing internal audits of PPL EU and its affiliates.  PPL SC business units responsible for the financial operations of PPL EU are shown in the following organization chart.</w:t>
      </w:r>
    </w:p>
    <w:p w:rsidR="00F91070" w:rsidRPr="006E1189" w:rsidRDefault="00AD2223" w:rsidP="00AD2223">
      <w:pPr>
        <w:pStyle w:val="Caption"/>
        <w:rPr>
          <w:rFonts w:cs="Arial"/>
          <w:szCs w:val="24"/>
        </w:rPr>
      </w:pPr>
      <w:bookmarkStart w:id="98" w:name="_Toc464552957"/>
      <w:r>
        <w:lastRenderedPageBreak/>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D10053">
        <w:br/>
      </w:r>
      <w:r w:rsidR="00F91070">
        <w:t>PPL SC Financial and Corporate Audit Organization Chart</w:t>
      </w:r>
      <w:bookmarkEnd w:id="98"/>
      <w:r w:rsidR="00F91070">
        <w:t xml:space="preserve"> </w:t>
      </w:r>
    </w:p>
    <w:p w:rsidR="00F91070" w:rsidRDefault="00D360FF" w:rsidP="006304A4">
      <w:pPr>
        <w:jc w:val="center"/>
        <w:rPr>
          <w:rFonts w:cs="Arial"/>
          <w:szCs w:val="24"/>
        </w:rPr>
      </w:pPr>
      <w:r>
        <w:rPr>
          <w:rFonts w:cs="Arial"/>
          <w:noProof/>
          <w:szCs w:val="24"/>
        </w:rPr>
        <w:drawing>
          <wp:inline distT="0" distB="0" distL="0" distR="0">
            <wp:extent cx="5095875" cy="3596472"/>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PL-SC_01072_Finances_page1&amp;14_v2.jpg"/>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10349" cy="3606687"/>
                    </a:xfrm>
                    <a:prstGeom prst="rect">
                      <a:avLst/>
                    </a:prstGeom>
                  </pic:spPr>
                </pic:pic>
              </a:graphicData>
            </a:graphic>
          </wp:inline>
        </w:drawing>
      </w:r>
    </w:p>
    <w:p w:rsidR="00F91070" w:rsidRDefault="00F91070" w:rsidP="00701DCF">
      <w:pPr>
        <w:rPr>
          <w:rFonts w:cs="Arial"/>
          <w:szCs w:val="24"/>
        </w:rPr>
      </w:pPr>
      <w:r>
        <w:rPr>
          <w:rFonts w:cs="Arial"/>
          <w:szCs w:val="24"/>
        </w:rPr>
        <w:t>Source:  DN 01-072</w:t>
      </w:r>
    </w:p>
    <w:p w:rsidR="00F91070" w:rsidRDefault="00F91070" w:rsidP="00701DCF">
      <w:pPr>
        <w:pStyle w:val="Heading40"/>
      </w:pPr>
      <w:r>
        <w:t>Investor Relations and Financial Planning</w:t>
      </w:r>
    </w:p>
    <w:p w:rsidR="00F91070" w:rsidRDefault="00F91070" w:rsidP="00701DCF">
      <w:pPr>
        <w:rPr>
          <w:rFonts w:cs="Arial"/>
          <w:szCs w:val="24"/>
        </w:rPr>
      </w:pPr>
      <w:r>
        <w:rPr>
          <w:rFonts w:cs="Arial"/>
          <w:szCs w:val="24"/>
        </w:rPr>
        <w:t xml:space="preserve">The three work groups in this area are Investor Relations, Corporate Budgeting, and Financial Planning.    </w:t>
      </w:r>
    </w:p>
    <w:p w:rsidR="00F91070" w:rsidRDefault="00F91070" w:rsidP="00701DCF">
      <w:pPr>
        <w:rPr>
          <w:rFonts w:cs="Arial"/>
          <w:szCs w:val="24"/>
        </w:rPr>
      </w:pPr>
      <w:proofErr w:type="gramStart"/>
      <w:r>
        <w:rPr>
          <w:rFonts w:cs="Arial"/>
          <w:b/>
          <w:szCs w:val="24"/>
        </w:rPr>
        <w:t>Investor Relations.</w:t>
      </w:r>
      <w:proofErr w:type="gramEnd"/>
      <w:r>
        <w:rPr>
          <w:rFonts w:cs="Arial"/>
          <w:b/>
          <w:szCs w:val="24"/>
        </w:rPr>
        <w:t xml:space="preserve">  </w:t>
      </w:r>
      <w:r>
        <w:rPr>
          <w:rFonts w:cs="Arial"/>
          <w:szCs w:val="24"/>
        </w:rPr>
        <w:t>This function is handled directly by the Vice President, Investor Relations and Financial Planning and involves maintaining relationships with, and making presentations to, PPL’s investor groups.  Wells Fargo Bank is utilized as PPL’s stock transfer agent.  As of January 30, 2015, PPL had 666,968,138 shares of common stock outstanding that were being traded on the New York Stock Exchange.  On the same date, PPL held all 66,368,056 outstanding common shares of PPL EU.</w:t>
      </w:r>
    </w:p>
    <w:p w:rsidR="00F91070" w:rsidRDefault="00F91070" w:rsidP="00701DCF">
      <w:proofErr w:type="gramStart"/>
      <w:r w:rsidRPr="0045102A">
        <w:rPr>
          <w:b/>
        </w:rPr>
        <w:t>Corporate Budgeting</w:t>
      </w:r>
      <w:r>
        <w:rPr>
          <w:b/>
        </w:rPr>
        <w:t xml:space="preserve"> and Financial Planning.</w:t>
      </w:r>
      <w:proofErr w:type="gramEnd"/>
      <w:r>
        <w:rPr>
          <w:b/>
        </w:rPr>
        <w:t xml:space="preserve">  </w:t>
      </w:r>
      <w:r w:rsidRPr="009C0E22">
        <w:t xml:space="preserve">The Financial Planning </w:t>
      </w:r>
      <w:r>
        <w:t>work group, led by the Director, Financial Planning, along with a Manager and three analysts,</w:t>
      </w:r>
      <w:r w:rsidRPr="009C0E22">
        <w:t xml:space="preserve"> uses a mod</w:t>
      </w:r>
      <w:r>
        <w:t xml:space="preserve">el, UI Planner, to generate PPL’ s and PPL EU’s long range </w:t>
      </w:r>
      <w:r w:rsidRPr="009C0E22">
        <w:t>business plan</w:t>
      </w:r>
      <w:r>
        <w:t>.  T</w:t>
      </w:r>
      <w:r w:rsidRPr="009C0E22">
        <w:t>his model will produce five years of capital spending and five years of O&amp;M expenses.</w:t>
      </w:r>
      <w:r w:rsidRPr="007F2EDA">
        <w:t xml:space="preserve"> </w:t>
      </w:r>
      <w:r w:rsidRPr="009C0E22">
        <w:t xml:space="preserve">The </w:t>
      </w:r>
      <w:r>
        <w:t>business p</w:t>
      </w:r>
      <w:r w:rsidRPr="009C0E22">
        <w:t xml:space="preserve">lan is reviewed by </w:t>
      </w:r>
      <w:r>
        <w:t xml:space="preserve">the Corporate Financial Planning and Analysis department, then by </w:t>
      </w:r>
      <w:r w:rsidRPr="009C0E22">
        <w:t xml:space="preserve">the </w:t>
      </w:r>
      <w:r>
        <w:t>Extended Corporate Leadership Council (</w:t>
      </w:r>
      <w:r w:rsidRPr="009C0E22">
        <w:t>ECLC</w:t>
      </w:r>
      <w:r>
        <w:t>)</w:t>
      </w:r>
      <w:r w:rsidRPr="009C0E22">
        <w:t>.</w:t>
      </w:r>
      <w:r>
        <w:t xml:space="preserve"> </w:t>
      </w:r>
    </w:p>
    <w:p w:rsidR="00F91070" w:rsidRDefault="00F91070" w:rsidP="00701DCF">
      <w:r>
        <w:t xml:space="preserve">The Corporate Budgeting work group, </w:t>
      </w:r>
      <w:r w:rsidRPr="009B097C">
        <w:t xml:space="preserve">led by a </w:t>
      </w:r>
      <w:r>
        <w:t>t</w:t>
      </w:r>
      <w:r w:rsidRPr="009B097C">
        <w:t xml:space="preserve">eam </w:t>
      </w:r>
      <w:r>
        <w:t>l</w:t>
      </w:r>
      <w:r w:rsidRPr="009B097C">
        <w:t>eader with two anal</w:t>
      </w:r>
      <w:r>
        <w:t xml:space="preserve">ysts, is responsible for the PPL Corporate budgeting process, which includes the budget calendar and the corporate roll-up, consolidation, and allocation processes.  The budget and the financial planning process </w:t>
      </w:r>
      <w:proofErr w:type="gramStart"/>
      <w:r>
        <w:t>is</w:t>
      </w:r>
      <w:proofErr w:type="gramEnd"/>
      <w:r>
        <w:t xml:space="preserve"> kicked-off in August with each of the budget units. </w:t>
      </w:r>
      <w:r>
        <w:lastRenderedPageBreak/>
        <w:t xml:space="preserve">The various business units, such as, PPL Global, PPL EU, PPL SC, PPL EUS, and LKE and its subsidiaries, do the actual budgeting. </w:t>
      </w:r>
    </w:p>
    <w:p w:rsidR="00F91070" w:rsidRDefault="00F91070" w:rsidP="00701DCF">
      <w:r>
        <w:t>There are five service groups for PPL SC:</w:t>
      </w:r>
    </w:p>
    <w:p w:rsidR="00F91070" w:rsidRPr="00171113" w:rsidRDefault="00F91070" w:rsidP="00701DCF">
      <w:pPr>
        <w:pStyle w:val="Bullet"/>
      </w:pPr>
      <w:r w:rsidRPr="00171113">
        <w:t>Finance</w:t>
      </w:r>
    </w:p>
    <w:p w:rsidR="00F91070" w:rsidRPr="00171113" w:rsidRDefault="00F91070" w:rsidP="00701DCF">
      <w:pPr>
        <w:pStyle w:val="Bullet"/>
      </w:pPr>
      <w:r w:rsidRPr="00171113">
        <w:t>General Counsel and External Affairs</w:t>
      </w:r>
    </w:p>
    <w:p w:rsidR="00F91070" w:rsidRPr="00171113" w:rsidRDefault="00F91070" w:rsidP="00701DCF">
      <w:pPr>
        <w:pStyle w:val="Bullet"/>
      </w:pPr>
      <w:r w:rsidRPr="00171113">
        <w:t>Human Resources</w:t>
      </w:r>
    </w:p>
    <w:p w:rsidR="00F91070" w:rsidRPr="00171113" w:rsidRDefault="00F91070" w:rsidP="00701DCF">
      <w:pPr>
        <w:pStyle w:val="Bullet"/>
      </w:pPr>
      <w:r w:rsidRPr="00171113">
        <w:t>I</w:t>
      </w:r>
      <w:r>
        <w:t xml:space="preserve">nformation </w:t>
      </w:r>
      <w:r w:rsidRPr="00171113">
        <w:t>T</w:t>
      </w:r>
      <w:r>
        <w:t>echnology</w:t>
      </w:r>
    </w:p>
    <w:p w:rsidR="00F91070" w:rsidRPr="00171113" w:rsidRDefault="00F91070" w:rsidP="00234825">
      <w:pPr>
        <w:pStyle w:val="Bullet"/>
        <w:spacing w:after="120"/>
      </w:pPr>
      <w:r w:rsidRPr="00171113">
        <w:t>Audit</w:t>
      </w:r>
    </w:p>
    <w:p w:rsidR="00F91070" w:rsidRDefault="00F91070" w:rsidP="00701DCF">
      <w:r>
        <w:t>Each service group has a budget coordinator.  The budget includes forecast allocations to PPL EU and the other business units.  There is a budget challenge process in which the receiving business units can address the proposed budgets of the service groups.  The CEO and CFO are the final arbiters of any budget impasses.</w:t>
      </w:r>
    </w:p>
    <w:p w:rsidR="00F91070" w:rsidRDefault="00F91070" w:rsidP="00701DCF">
      <w:r>
        <w:t>Earnings per share targets are based on bottom-up budgeting and financial planning.  PPL Corporation does not set capital expenditure targets for the various business segments.  Capital expenditure prioritization occurs at the operating company level.</w:t>
      </w:r>
    </w:p>
    <w:p w:rsidR="00F91070" w:rsidRDefault="00F91070" w:rsidP="00701DCF">
      <w:pPr>
        <w:rPr>
          <w:rFonts w:cs="Arial"/>
          <w:szCs w:val="24"/>
        </w:rPr>
      </w:pPr>
      <w:r>
        <w:rPr>
          <w:rFonts w:cs="Arial"/>
          <w:szCs w:val="24"/>
        </w:rPr>
        <w:t xml:space="preserve">The VP, Investor Relations and Financial Planning and the CFO present the budget and financial plan, representing the overall corporate view, to the Finance Committee of the PPL Board of Directors (BOD).  The business line presidents and business line CFO’s/VP Finance present each respective business unit. The development of the budget and business plan is iterative, so as to avoid inconsistencies and surprises to the Finance Committee and BOD. </w:t>
      </w:r>
    </w:p>
    <w:p w:rsidR="00F91070" w:rsidRDefault="00F91070" w:rsidP="00701DCF">
      <w:pPr>
        <w:rPr>
          <w:rFonts w:cs="Arial"/>
          <w:szCs w:val="24"/>
        </w:rPr>
      </w:pPr>
      <w:r>
        <w:rPr>
          <w:rFonts w:cs="Arial"/>
          <w:szCs w:val="24"/>
        </w:rPr>
        <w:t>Capital budget plans are developed at the PPL EU level.  PPL EU develops its capital plans independent of the other PPL utility company affiliates (the Kentucky utility companies and the United Kingdom (UK) utility companies).</w:t>
      </w:r>
    </w:p>
    <w:p w:rsidR="00F91070" w:rsidRDefault="00F91070" w:rsidP="00701DCF">
      <w:pPr>
        <w:rPr>
          <w:rFonts w:cs="Arial"/>
          <w:szCs w:val="24"/>
        </w:rPr>
      </w:pPr>
      <w:r>
        <w:rPr>
          <w:rFonts w:cs="Arial"/>
          <w:szCs w:val="24"/>
        </w:rPr>
        <w:t>The budgets, both capital and O&amp;M, are submitted to the corporate financial planning group for review and ultimately to the BOD for their review and approval at the end of the calendar year.  The PPL EU presentation to the BOD in December, 2014 included the following topics:</w:t>
      </w:r>
    </w:p>
    <w:p w:rsidR="00F91070" w:rsidRDefault="00F91070" w:rsidP="00701DCF">
      <w:pPr>
        <w:pStyle w:val="Bullet"/>
      </w:pPr>
      <w:r>
        <w:t>Key drivers</w:t>
      </w:r>
    </w:p>
    <w:p w:rsidR="00F91070" w:rsidRDefault="00F91070" w:rsidP="00701DCF">
      <w:pPr>
        <w:pStyle w:val="Bullet"/>
      </w:pPr>
      <w:r>
        <w:t>Key changes from the 2014 plan</w:t>
      </w:r>
    </w:p>
    <w:p w:rsidR="00F91070" w:rsidRDefault="00F91070" w:rsidP="00701DCF">
      <w:pPr>
        <w:pStyle w:val="Bullet"/>
      </w:pPr>
      <w:r>
        <w:t>2014–2017 earnings per share (EPS) and rate base</w:t>
      </w:r>
    </w:p>
    <w:p w:rsidR="00F91070" w:rsidRDefault="00F91070" w:rsidP="00701DCF">
      <w:pPr>
        <w:pStyle w:val="Bullet"/>
      </w:pPr>
      <w:r>
        <w:t>2015 capital plan</w:t>
      </w:r>
    </w:p>
    <w:p w:rsidR="00F91070" w:rsidRDefault="00F91070" w:rsidP="00701DCF">
      <w:pPr>
        <w:pStyle w:val="Bullet"/>
      </w:pPr>
      <w:r>
        <w:t>Major capital projects</w:t>
      </w:r>
    </w:p>
    <w:p w:rsidR="00F91070" w:rsidRDefault="00F91070" w:rsidP="00701DCF">
      <w:pPr>
        <w:pStyle w:val="Bullet"/>
      </w:pPr>
      <w:r>
        <w:t>Transmission margin comparison</w:t>
      </w:r>
    </w:p>
    <w:p w:rsidR="00F91070" w:rsidRDefault="00F91070" w:rsidP="00701DCF">
      <w:pPr>
        <w:pStyle w:val="Bullet"/>
      </w:pPr>
      <w:r>
        <w:t>Distribution margin comparison</w:t>
      </w:r>
    </w:p>
    <w:p w:rsidR="00F91070" w:rsidRDefault="00F91070" w:rsidP="00701DCF">
      <w:pPr>
        <w:pStyle w:val="Bullet"/>
      </w:pPr>
      <w:r>
        <w:t>Retail electric rates</w:t>
      </w:r>
    </w:p>
    <w:p w:rsidR="00F91070" w:rsidRPr="0051569B" w:rsidRDefault="00F91070" w:rsidP="00234825">
      <w:pPr>
        <w:pStyle w:val="Bullet"/>
        <w:spacing w:after="120"/>
      </w:pPr>
      <w:r>
        <w:t>Opportunities and risks</w:t>
      </w:r>
    </w:p>
    <w:p w:rsidR="00F91070" w:rsidRDefault="00F91070" w:rsidP="00701DCF">
      <w:r>
        <w:t xml:space="preserve">PPL’s Integrated Planning and Budgeting Schedule for the 2014 Forecast and 2015 Planning Cycle sets out the timeframe for developing, submitting, reviewing, and approving PPL EU’s annual budget.  It covers the tasks and timeframes involved from </w:t>
      </w:r>
      <w:r>
        <w:lastRenderedPageBreak/>
        <w:t>April of the preceding year when the budget process begins until January of the budget year when the budget is approved by the Board of Directors.  This schedule is included in the PPL Corporation Budgeting Guidelines which also contains budgeting overview, theory, guidelines, assumptions, and detailed instructions on preparing the annual budget.</w:t>
      </w:r>
    </w:p>
    <w:p w:rsidR="00F91070" w:rsidRDefault="00F91070" w:rsidP="00701DCF">
      <w:pPr>
        <w:pStyle w:val="Heading40"/>
      </w:pPr>
      <w:r>
        <w:t>Talen Energy TSA Oversight</w:t>
      </w:r>
    </w:p>
    <w:p w:rsidR="00F91070" w:rsidRDefault="00F91070" w:rsidP="00701DCF">
      <w:pPr>
        <w:rPr>
          <w:rFonts w:cs="Arial"/>
          <w:szCs w:val="24"/>
        </w:rPr>
      </w:pPr>
      <w:r w:rsidRPr="00A31517">
        <w:t xml:space="preserve">This </w:t>
      </w:r>
      <w:r>
        <w:t xml:space="preserve">work group is headed by the Senior Director, Financial Projects </w:t>
      </w:r>
      <w:r>
        <w:rPr>
          <w:rFonts w:cs="Arial"/>
          <w:szCs w:val="24"/>
        </w:rPr>
        <w:t>and includes three direct reports.  The function of this work group is to identify and capture the costs that should be charged to Talen Energy (formerly PPL Energy Supply</w:t>
      </w:r>
      <w:r w:rsidR="00763DEA">
        <w:rPr>
          <w:rFonts w:cs="Arial"/>
          <w:szCs w:val="24"/>
        </w:rPr>
        <w:t>, LLC</w:t>
      </w:r>
      <w:r>
        <w:rPr>
          <w:rFonts w:cs="Arial"/>
          <w:szCs w:val="24"/>
        </w:rPr>
        <w:t>) during the transition period.  Talen has a contract with PPL Corporation to provide support for up to 24 months after the spinoff date.  Currently, this work group bills Talen approximately $3.6 million per month for services, primarily information technology (IT) services.  The total forecasted to be charged to Talen over this 24-month period is $75 million.  In addition to the IT services, which include all of the financial systems, there are some PPL EU subject matter experts (SMEs) that charge time to Talen.  The services provided to Talen are governed by a master agreement with approximately 16 releases which include approximately 75 transition services.</w:t>
      </w:r>
      <w:r w:rsidRPr="00A31517">
        <w:rPr>
          <w:rFonts w:cs="Arial"/>
          <w:szCs w:val="24"/>
        </w:rPr>
        <w:t xml:space="preserve"> </w:t>
      </w:r>
      <w:r>
        <w:rPr>
          <w:rFonts w:cs="Arial"/>
          <w:szCs w:val="24"/>
        </w:rPr>
        <w:t>All of the transition costs are exempt from allocations that could go to PPL EU.</w:t>
      </w:r>
    </w:p>
    <w:p w:rsidR="00F91070" w:rsidRPr="00A17935" w:rsidRDefault="00F91070" w:rsidP="00701DCF">
      <w:r w:rsidRPr="00A17935">
        <w:t xml:space="preserve">One of the services provided by this work group is records separation – separating Talen-related documents from PPL documents (PPL </w:t>
      </w:r>
      <w:r>
        <w:t xml:space="preserve">Energy </w:t>
      </w:r>
      <w:r w:rsidRPr="00A17935">
        <w:t>Supply</w:t>
      </w:r>
      <w:r w:rsidR="00763DEA">
        <w:t>, LLC</w:t>
      </w:r>
      <w:r w:rsidRPr="00A17935">
        <w:t xml:space="preserve"> records) so they can be sent to Talen.  These can be hard copy as well as electronic, and the number of years that must be researched for records depends on the type of record and the particular record retention policy.</w:t>
      </w:r>
    </w:p>
    <w:p w:rsidR="00F91070" w:rsidRDefault="00F91070" w:rsidP="00701DCF">
      <w:pPr>
        <w:pStyle w:val="Heading40"/>
      </w:pPr>
      <w:r>
        <w:t>Controller</w:t>
      </w:r>
    </w:p>
    <w:p w:rsidR="00F91070" w:rsidRPr="00A17935" w:rsidRDefault="00F91070" w:rsidP="00701DCF">
      <w:r w:rsidRPr="00A17935">
        <w:t xml:space="preserve">This work group is headed by a Vice President and Controller and includes </w:t>
      </w:r>
      <w:r>
        <w:t>five</w:t>
      </w:r>
      <w:r w:rsidRPr="00A17935">
        <w:t xml:space="preserve"> direct reports, one of whom is an administrative assistant that is shared with the VP, Tax.  The Controller meets with the CFO frequently </w:t>
      </w:r>
      <w:r>
        <w:t xml:space="preserve">(at least weekly) </w:t>
      </w:r>
      <w:r w:rsidRPr="00A17935">
        <w:t>and with the Audit Committee Chairman on a regular basis, several times a quarter.  Interaction with PPL EUS Accounting includes consolidation of financial results, providing technical research assistance, reviewing reports to be submitted to</w:t>
      </w:r>
      <w:r>
        <w:t xml:space="preserve"> the</w:t>
      </w:r>
      <w:r w:rsidRPr="00A17935">
        <w:t xml:space="preserve"> </w:t>
      </w:r>
      <w:r>
        <w:t>Federal Energy Regulatory Commission (</w:t>
      </w:r>
      <w:r w:rsidRPr="00A17935">
        <w:t>FERC</w:t>
      </w:r>
      <w:r>
        <w:t>)</w:t>
      </w:r>
      <w:r w:rsidRPr="00A17935">
        <w:t xml:space="preserve">, answering accounting questions, and meeting with the external auditor (Ernst &amp; Young) along with </w:t>
      </w:r>
      <w:r>
        <w:t xml:space="preserve">the PPL </w:t>
      </w:r>
      <w:r w:rsidRPr="00A17935">
        <w:t>EU</w:t>
      </w:r>
      <w:r>
        <w:t>S</w:t>
      </w:r>
      <w:r w:rsidRPr="00A17935">
        <w:t xml:space="preserve"> Director, Accounting </w:t>
      </w:r>
      <w:r>
        <w:t>and</w:t>
      </w:r>
      <w:r w:rsidRPr="00A17935">
        <w:t xml:space="preserve"> Financial Reporting.  Although the </w:t>
      </w:r>
      <w:r>
        <w:t xml:space="preserve">most current </w:t>
      </w:r>
      <w:r w:rsidRPr="00A17935">
        <w:t xml:space="preserve">Services Agreement detailing services that are provided by PPL SC to PPL EU is dated </w:t>
      </w:r>
      <w:r>
        <w:t>2014</w:t>
      </w:r>
      <w:r w:rsidRPr="00A17935">
        <w:t xml:space="preserve">, the services provided by PPL SC to PPL EU have changed.  Accounting functions that were formerly performed by PPL </w:t>
      </w:r>
      <w:proofErr w:type="gramStart"/>
      <w:r w:rsidRPr="00A17935">
        <w:t>SC,</w:t>
      </w:r>
      <w:proofErr w:type="gramEnd"/>
      <w:r w:rsidRPr="00A17935">
        <w:t xml:space="preserve"> are now provided by PPL EUS.</w:t>
      </w:r>
      <w:r>
        <w:t xml:space="preserve">  See Chapter IV Affiliate Relations for more information on the relationship between PPL EU and its affiliates.</w:t>
      </w:r>
    </w:p>
    <w:p w:rsidR="00F91070" w:rsidRDefault="00F91070" w:rsidP="00701DCF">
      <w:pPr>
        <w:rPr>
          <w:rFonts w:cs="Arial"/>
          <w:szCs w:val="24"/>
        </w:rPr>
      </w:pPr>
      <w:proofErr w:type="gramStart"/>
      <w:r w:rsidRPr="00C35B1C">
        <w:rPr>
          <w:b/>
        </w:rPr>
        <w:t>Shared Accounting Services</w:t>
      </w:r>
      <w:r>
        <w:t>.</w:t>
      </w:r>
      <w:proofErr w:type="gramEnd"/>
      <w:r>
        <w:t xml:space="preserve">  This group, headed by the Director, Shared Accounting Services, along with 11 staff, is responsible for accounting for pensions for all PPL employee groups, consolidations, setting up new companies, and internal corporate management reporting.  </w:t>
      </w:r>
      <w:r>
        <w:rPr>
          <w:rFonts w:cs="Arial"/>
          <w:szCs w:val="24"/>
        </w:rPr>
        <w:t>The functions of the Shared Accounting Services work group include:</w:t>
      </w:r>
    </w:p>
    <w:p w:rsidR="00F91070" w:rsidRPr="00F14B69" w:rsidRDefault="00F91070" w:rsidP="00701DCF">
      <w:pPr>
        <w:pStyle w:val="Bullet"/>
      </w:pPr>
      <w:r>
        <w:lastRenderedPageBreak/>
        <w:t>Benefits Accounting – preparing</w:t>
      </w:r>
      <w:r w:rsidRPr="00F14B69">
        <w:t xml:space="preserve"> journal entr</w:t>
      </w:r>
      <w:r>
        <w:t>i</w:t>
      </w:r>
      <w:r w:rsidRPr="00F14B69">
        <w:t>es, and perform</w:t>
      </w:r>
      <w:r>
        <w:t>ing</w:t>
      </w:r>
      <w:r w:rsidRPr="00F14B69">
        <w:t xml:space="preserve"> account analysis.  There are six benefit plans for </w:t>
      </w:r>
      <w:r>
        <w:t xml:space="preserve">PPL </w:t>
      </w:r>
      <w:r w:rsidRPr="00F14B69">
        <w:t>EU and the other PPL companies.</w:t>
      </w:r>
    </w:p>
    <w:p w:rsidR="00F91070" w:rsidRPr="00F14B69" w:rsidRDefault="00F91070" w:rsidP="00701DCF">
      <w:pPr>
        <w:pStyle w:val="Bullet"/>
      </w:pPr>
      <w:r>
        <w:t>Corporate Accounting – preparing</w:t>
      </w:r>
      <w:r w:rsidRPr="00F14B69">
        <w:t xml:space="preserve"> or consolidat</w:t>
      </w:r>
      <w:r>
        <w:t>ing</w:t>
      </w:r>
      <w:r w:rsidRPr="00F14B69">
        <w:t xml:space="preserve"> financial information for internal management reports – </w:t>
      </w:r>
      <w:r>
        <w:t>Preliminary Flash Earnings Report (</w:t>
      </w:r>
      <w:r w:rsidRPr="00F14B69">
        <w:t>Flash</w:t>
      </w:r>
      <w:r>
        <w:t>) and the Performance and Key Events Report (</w:t>
      </w:r>
      <w:r w:rsidRPr="00F14B69">
        <w:t>PKE</w:t>
      </w:r>
      <w:r>
        <w:t>)</w:t>
      </w:r>
      <w:r w:rsidRPr="00F14B69">
        <w:t>.  This group will also perform due diligence for all debt offerings.</w:t>
      </w:r>
    </w:p>
    <w:p w:rsidR="00F91070" w:rsidRPr="00F14B69" w:rsidRDefault="00F91070" w:rsidP="00701DCF">
      <w:pPr>
        <w:pStyle w:val="Bullet"/>
      </w:pPr>
      <w:r w:rsidRPr="00F14B69">
        <w:t xml:space="preserve">Consolidations – seven work days after the end of the month a closing meeting </w:t>
      </w:r>
      <w:r>
        <w:t xml:space="preserve">will be held </w:t>
      </w:r>
      <w:r w:rsidRPr="00F14B69">
        <w:t xml:space="preserve">at which the Flash report will be discussed.  </w:t>
      </w:r>
      <w:r>
        <w:t xml:space="preserve">The Flash </w:t>
      </w:r>
      <w:r w:rsidRPr="00F14B69">
        <w:t>report will be distributed</w:t>
      </w:r>
      <w:r>
        <w:t xml:space="preserve"> after the closing meeting</w:t>
      </w:r>
      <w:r w:rsidRPr="00F14B69">
        <w:t>.</w:t>
      </w:r>
    </w:p>
    <w:p w:rsidR="00F91070" w:rsidRDefault="00F91070" w:rsidP="00234825">
      <w:pPr>
        <w:pStyle w:val="Bullet"/>
        <w:spacing w:after="120"/>
      </w:pPr>
      <w:r w:rsidRPr="00F14B69">
        <w:t>Accounting for the Treasury function – these reports will include details concerning debt, interest rate swaps, etc.</w:t>
      </w:r>
    </w:p>
    <w:p w:rsidR="00F91070" w:rsidRPr="00F14B69" w:rsidRDefault="00F91070" w:rsidP="00701DCF">
      <w:r>
        <w:t>The majority of PPL EU employees are eligible for pension benefits under non-contributory defined benefit pension plans.  Starting in January, 2012, the defined benefit pension plan was closed to all new salaried employees and in July, 2014, also closed to new bargaining unit employees.  These new employees were eligible to participate in the PPL Retirement Savings Plan, a 401(k) savings plan with enhanced employer contributions.  PPL EU does not have its own defined benefit plan, but participates in the PPL plans.  PPL EU is allocated a portion of the funded status and costs of the plans sponsored by PPL.  See Chapter XII Human Resources for a more detailed description of the benefit plans available to the employees of PPL EU.</w:t>
      </w:r>
    </w:p>
    <w:p w:rsidR="00F91070" w:rsidRDefault="00F91070" w:rsidP="00701DCF">
      <w:pPr>
        <w:rPr>
          <w:rFonts w:cs="Arial"/>
          <w:szCs w:val="24"/>
        </w:rPr>
      </w:pPr>
      <w:proofErr w:type="gramStart"/>
      <w:r w:rsidRPr="00183F55">
        <w:rPr>
          <w:rFonts w:cs="Arial"/>
          <w:b/>
          <w:szCs w:val="24"/>
        </w:rPr>
        <w:t>International Accounting</w:t>
      </w:r>
      <w:r>
        <w:rPr>
          <w:rFonts w:cs="Arial"/>
          <w:szCs w:val="24"/>
        </w:rPr>
        <w:t>.</w:t>
      </w:r>
      <w:proofErr w:type="gramEnd"/>
      <w:r>
        <w:rPr>
          <w:rFonts w:cs="Arial"/>
          <w:szCs w:val="24"/>
        </w:rPr>
        <w:t xml:space="preserve">  This group is tasked with overseeing the financial reporting process to ensure consolidation and disclosures of </w:t>
      </w:r>
      <w:r w:rsidR="00876A9D">
        <w:rPr>
          <w:rFonts w:cs="Arial"/>
          <w:szCs w:val="24"/>
        </w:rPr>
        <w:t>WPD Midlands</w:t>
      </w:r>
      <w:r>
        <w:rPr>
          <w:rFonts w:cs="Arial"/>
          <w:szCs w:val="24"/>
        </w:rPr>
        <w:t xml:space="preserve"> in the UK are in accordance with US Generally Accepted Accounting Principles (GAAP) as well as making certain other journal entries related to PPL Global conform to GAAP.  This group is led by an International Controller and eight accounting staff in the US and one expatriate staff in the UK.</w:t>
      </w:r>
    </w:p>
    <w:p w:rsidR="00F91070" w:rsidRDefault="00F91070" w:rsidP="00701DCF">
      <w:pPr>
        <w:rPr>
          <w:rFonts w:cs="Arial"/>
          <w:szCs w:val="24"/>
        </w:rPr>
      </w:pPr>
      <w:proofErr w:type="gramStart"/>
      <w:r w:rsidRPr="00183F55">
        <w:rPr>
          <w:rFonts w:cs="Arial"/>
          <w:b/>
          <w:szCs w:val="24"/>
        </w:rPr>
        <w:t>Technical Accounting</w:t>
      </w:r>
      <w:r>
        <w:rPr>
          <w:rFonts w:cs="Arial"/>
          <w:szCs w:val="24"/>
        </w:rPr>
        <w:t>.</w:t>
      </w:r>
      <w:proofErr w:type="gramEnd"/>
      <w:r>
        <w:rPr>
          <w:rFonts w:cs="Arial"/>
          <w:szCs w:val="24"/>
        </w:rPr>
        <w:t xml:space="preserve">  This position is expected to be eliminated.  The current occupant is now working on the PPL/Talen spinoff, and has transferred to Talen.  The Technical Accounting responsibility has been transferred to the Financial Reporting and Consolidations work group.</w:t>
      </w:r>
    </w:p>
    <w:p w:rsidR="00F91070" w:rsidRDefault="00F91070" w:rsidP="00701DCF">
      <w:pPr>
        <w:rPr>
          <w:rFonts w:cs="Arial"/>
          <w:szCs w:val="24"/>
        </w:rPr>
      </w:pPr>
      <w:proofErr w:type="gramStart"/>
      <w:r w:rsidRPr="00183F55">
        <w:rPr>
          <w:rFonts w:cs="Arial"/>
          <w:b/>
          <w:szCs w:val="24"/>
        </w:rPr>
        <w:t xml:space="preserve">Financial Reporting </w:t>
      </w:r>
      <w:r>
        <w:rPr>
          <w:rFonts w:cs="Arial"/>
          <w:b/>
          <w:szCs w:val="24"/>
        </w:rPr>
        <w:t>and</w:t>
      </w:r>
      <w:r w:rsidRPr="00183F55">
        <w:rPr>
          <w:rFonts w:cs="Arial"/>
          <w:b/>
          <w:szCs w:val="24"/>
        </w:rPr>
        <w:t xml:space="preserve"> Consolidations</w:t>
      </w:r>
      <w:r>
        <w:rPr>
          <w:rFonts w:cs="Arial"/>
          <w:szCs w:val="24"/>
        </w:rPr>
        <w:t>.</w:t>
      </w:r>
      <w:proofErr w:type="gramEnd"/>
      <w:r w:rsidRPr="000975F2">
        <w:rPr>
          <w:rFonts w:cs="Arial"/>
          <w:szCs w:val="24"/>
        </w:rPr>
        <w:t xml:space="preserve">  This </w:t>
      </w:r>
      <w:r>
        <w:rPr>
          <w:rFonts w:cs="Arial"/>
          <w:szCs w:val="24"/>
        </w:rPr>
        <w:t xml:space="preserve">nine-person work </w:t>
      </w:r>
      <w:r w:rsidRPr="000975F2">
        <w:rPr>
          <w:rFonts w:cs="Arial"/>
          <w:szCs w:val="24"/>
        </w:rPr>
        <w:t>group</w:t>
      </w:r>
      <w:r>
        <w:rPr>
          <w:rFonts w:cs="Arial"/>
          <w:szCs w:val="24"/>
        </w:rPr>
        <w:t xml:space="preserve">, headed by the Director, Financial Reporting and Consolidations </w:t>
      </w:r>
      <w:r w:rsidRPr="000975F2">
        <w:rPr>
          <w:rFonts w:cs="Arial"/>
          <w:szCs w:val="24"/>
        </w:rPr>
        <w:t xml:space="preserve">is responsible for external reporting – </w:t>
      </w:r>
      <w:r>
        <w:rPr>
          <w:rFonts w:cs="Arial"/>
          <w:szCs w:val="24"/>
        </w:rPr>
        <w:t xml:space="preserve">SEC </w:t>
      </w:r>
      <w:r w:rsidRPr="000975F2">
        <w:rPr>
          <w:rFonts w:cs="Arial"/>
          <w:szCs w:val="24"/>
        </w:rPr>
        <w:t>10Q’s 10 K’s, 8 K’s, surveys, and technical accounting.</w:t>
      </w:r>
      <w:r>
        <w:rPr>
          <w:rFonts w:cs="Arial"/>
          <w:szCs w:val="24"/>
        </w:rPr>
        <w:t xml:space="preserve">  The Financial Reporting and Consolidation work group meets with the business lines in preparing for the SEC reports that are generated.  PPL has five SEC registrants:</w:t>
      </w:r>
    </w:p>
    <w:p w:rsidR="00F91070" w:rsidRDefault="00F91070" w:rsidP="00701DCF">
      <w:pPr>
        <w:pStyle w:val="Bullet"/>
      </w:pPr>
      <w:r>
        <w:t xml:space="preserve">LKE </w:t>
      </w:r>
    </w:p>
    <w:p w:rsidR="00F91070" w:rsidRDefault="00F91070" w:rsidP="00701DCF">
      <w:pPr>
        <w:pStyle w:val="Bullet"/>
      </w:pPr>
      <w:r>
        <w:t xml:space="preserve">LG&amp;E </w:t>
      </w:r>
    </w:p>
    <w:p w:rsidR="00F91070" w:rsidRDefault="00F91070" w:rsidP="00701DCF">
      <w:pPr>
        <w:pStyle w:val="Bullet"/>
      </w:pPr>
      <w:r>
        <w:t>KU</w:t>
      </w:r>
    </w:p>
    <w:p w:rsidR="00F91070" w:rsidRDefault="00F91070" w:rsidP="00701DCF">
      <w:pPr>
        <w:pStyle w:val="Bullet"/>
      </w:pPr>
      <w:r>
        <w:t xml:space="preserve">PPL EU </w:t>
      </w:r>
    </w:p>
    <w:p w:rsidR="00F91070" w:rsidRDefault="00F91070" w:rsidP="00234825">
      <w:pPr>
        <w:pStyle w:val="Bullet"/>
        <w:spacing w:after="120"/>
      </w:pPr>
      <w:r>
        <w:t>PPL Corporation</w:t>
      </w:r>
    </w:p>
    <w:p w:rsidR="00F91070" w:rsidRDefault="00F91070" w:rsidP="00701DCF">
      <w:pPr>
        <w:rPr>
          <w:rFonts w:cs="Arial"/>
          <w:szCs w:val="24"/>
        </w:rPr>
      </w:pPr>
      <w:r>
        <w:rPr>
          <w:rFonts w:cs="Arial"/>
          <w:szCs w:val="24"/>
        </w:rPr>
        <w:t xml:space="preserve">The </w:t>
      </w:r>
      <w:r w:rsidR="00876A9D">
        <w:rPr>
          <w:rFonts w:cs="Arial"/>
          <w:szCs w:val="24"/>
        </w:rPr>
        <w:t>WPD Midlands</w:t>
      </w:r>
      <w:r>
        <w:rPr>
          <w:rFonts w:cs="Arial"/>
          <w:szCs w:val="24"/>
        </w:rPr>
        <w:t xml:space="preserve"> companies – four Distribution Network Operators (DNOs) – are folded into the PPL Corporation registrant.</w:t>
      </w:r>
    </w:p>
    <w:p w:rsidR="00F91070" w:rsidRDefault="00F91070" w:rsidP="00701DCF">
      <w:pPr>
        <w:rPr>
          <w:rFonts w:cs="Arial"/>
          <w:szCs w:val="24"/>
        </w:rPr>
      </w:pPr>
      <w:r>
        <w:rPr>
          <w:rFonts w:cs="Arial"/>
          <w:szCs w:val="24"/>
        </w:rPr>
        <w:lastRenderedPageBreak/>
        <w:t>The preliminary draft of 10-Q reports is developed the first week of the month following the end of the quarter.  This will go to Financial Reporting, Technical Accounting, and the business lines.  One week after the books are closed for the month, the initial draft of the 10-Q is prepared.  It is reviewed by the Office of the General Counsel, Sr. Directors and the business lines.  Comments concerning this first draft are discussed in a meeting during which changes to the initial draft can be made.  One week later, the second draft is produced and sent to senior leadership and certifiers, the Audit Committee, and all recipients of the first draft.  A Certification Meeting is then held, attended by the CEO, CFO, Controller, and staff supporting certifiers.  At this meeting key disclosures are discussed.  The final draft is then prepared and reviewed at a meeting a few days prior to the filing.  The report is filed near the day of the news release teleconference call, attended by the CEO, CFO, business line presidents, VP - Corporate Controller, and VP - Investor Relations.  Preparation of the 10-K schedule, on an annual basis, follows a similar process, except the 10-K is filed a few weeks after the news release teleconference call.</w:t>
      </w:r>
    </w:p>
    <w:p w:rsidR="00F91070" w:rsidRDefault="00F91070" w:rsidP="00701DCF">
      <w:r>
        <w:t>Existing information systems used by PPL SC to perform accounting functions include:</w:t>
      </w:r>
    </w:p>
    <w:p w:rsidR="00F91070" w:rsidRPr="00F75789" w:rsidRDefault="00F91070" w:rsidP="00701DCF">
      <w:pPr>
        <w:pStyle w:val="Bullet"/>
      </w:pPr>
      <w:r w:rsidRPr="00F75789">
        <w:t xml:space="preserve">Oracle </w:t>
      </w:r>
      <w:r>
        <w:t>General Ledger</w:t>
      </w:r>
      <w:r w:rsidRPr="00F75789">
        <w:t xml:space="preserve"> (actually PeopleSoft) that PPL </w:t>
      </w:r>
      <w:r>
        <w:t xml:space="preserve">SC </w:t>
      </w:r>
      <w:r w:rsidRPr="00F75789">
        <w:t>has named BMI</w:t>
      </w:r>
    </w:p>
    <w:p w:rsidR="00F91070" w:rsidRDefault="00F91070" w:rsidP="00701DCF">
      <w:pPr>
        <w:pStyle w:val="Bullet"/>
      </w:pPr>
      <w:r>
        <w:t>Asset Suite – a homegrown system for work management</w:t>
      </w:r>
    </w:p>
    <w:p w:rsidR="00F91070" w:rsidRDefault="00F91070" w:rsidP="00701DCF">
      <w:pPr>
        <w:pStyle w:val="Bullet"/>
      </w:pPr>
      <w:r>
        <w:t>Time reporting – owned by Human Resources</w:t>
      </w:r>
    </w:p>
    <w:p w:rsidR="00F91070" w:rsidRDefault="00F91070" w:rsidP="00701DCF">
      <w:pPr>
        <w:pStyle w:val="Bullet"/>
      </w:pPr>
      <w:r>
        <w:t>Hyperion – financial reporting system from Oracle</w:t>
      </w:r>
    </w:p>
    <w:p w:rsidR="00F91070" w:rsidRDefault="00F91070" w:rsidP="00701DCF">
      <w:pPr>
        <w:pStyle w:val="Bullet"/>
      </w:pPr>
      <w:r>
        <w:t>PowerPlan – fixed asset accounting</w:t>
      </w:r>
    </w:p>
    <w:p w:rsidR="00F91070" w:rsidRDefault="00F91070" w:rsidP="00701DCF">
      <w:pPr>
        <w:pStyle w:val="Bullet"/>
      </w:pPr>
      <w:r>
        <w:t>Cognos Data Management – SEC Filing software</w:t>
      </w:r>
    </w:p>
    <w:p w:rsidR="00F91070" w:rsidRPr="00274F55" w:rsidRDefault="00F91070" w:rsidP="00234825">
      <w:pPr>
        <w:pStyle w:val="Bullet"/>
        <w:spacing w:after="120"/>
      </w:pPr>
      <w:r w:rsidRPr="00274F55">
        <w:t xml:space="preserve">Tax Plan – </w:t>
      </w:r>
      <w:r>
        <w:t>t</w:t>
      </w:r>
      <w:r w:rsidRPr="00274F55">
        <w:t>ax system</w:t>
      </w:r>
    </w:p>
    <w:p w:rsidR="00F91070" w:rsidRPr="00A17935" w:rsidRDefault="00F91070" w:rsidP="00701DCF">
      <w:r w:rsidRPr="00A17935">
        <w:t xml:space="preserve">The spinoff of the PPL Supply group to Talen Energy (Talen) took place on June 1, 2015.  This was a tax-free spinoff of the generating assets to a newly formed company, Talen.  Shareholders of PPL as of 5:00 PM on May 20, 2015 received </w:t>
      </w:r>
      <w:r>
        <w:t>0</w:t>
      </w:r>
      <w:r w:rsidRPr="00A17935">
        <w:t xml:space="preserve">.1249 shares of Talen </w:t>
      </w:r>
      <w:r>
        <w:t xml:space="preserve">stock </w:t>
      </w:r>
      <w:r w:rsidRPr="00A17935">
        <w:t>for every full share they held in PPL.  Talen will continue to be supported by various PPL entities, including the PPL SC Finance and Accounting group, for a two-year period and will be charged for the services that they receive.</w:t>
      </w:r>
    </w:p>
    <w:p w:rsidR="00F91070" w:rsidRDefault="00F91070" w:rsidP="00701DCF">
      <w:pPr>
        <w:pStyle w:val="Heading40"/>
      </w:pPr>
      <w:r w:rsidRPr="009D60C6">
        <w:t>Tax</w:t>
      </w:r>
    </w:p>
    <w:p w:rsidR="00F91070" w:rsidRDefault="00F91070" w:rsidP="00701DCF">
      <w:pPr>
        <w:rPr>
          <w:rFonts w:cs="Arial"/>
          <w:szCs w:val="24"/>
        </w:rPr>
      </w:pPr>
      <w:r>
        <w:rPr>
          <w:rFonts w:cs="Arial"/>
          <w:szCs w:val="24"/>
        </w:rPr>
        <w:t xml:space="preserve">This work group is headed by the Vice President, Tax with two direct reports and a total staff of nine tax professionals.  </w:t>
      </w:r>
      <w:r>
        <w:t xml:space="preserve">With the spinoff of the generating assets to Talen, one half of the PPL SC Tax Department went to Talen.  </w:t>
      </w:r>
      <w:r>
        <w:rPr>
          <w:rFonts w:cs="Arial"/>
          <w:szCs w:val="24"/>
        </w:rPr>
        <w:t xml:space="preserve">There is no tax group in PPL EUS.  There are separate tax groups within the UK and Kentucky operations which do not directly report to, but do coordinate closely with, the PPL SC Tax Department.  The PPL SC Tax Department does utilize external tax professional assistance.  </w:t>
      </w:r>
      <w:r>
        <w:t xml:space="preserve">  </w:t>
      </w:r>
    </w:p>
    <w:p w:rsidR="00F91070" w:rsidRDefault="00F91070" w:rsidP="00701DCF">
      <w:pPr>
        <w:rPr>
          <w:rFonts w:cs="Arial"/>
          <w:szCs w:val="24"/>
        </w:rPr>
      </w:pPr>
      <w:proofErr w:type="gramStart"/>
      <w:r w:rsidRPr="00183F55">
        <w:rPr>
          <w:rFonts w:cs="Arial"/>
          <w:b/>
          <w:szCs w:val="24"/>
        </w:rPr>
        <w:t>Tax Accounting</w:t>
      </w:r>
      <w:r>
        <w:rPr>
          <w:rFonts w:cs="Arial"/>
          <w:szCs w:val="24"/>
        </w:rPr>
        <w:t>.</w:t>
      </w:r>
      <w:proofErr w:type="gramEnd"/>
      <w:r>
        <w:rPr>
          <w:rFonts w:cs="Arial"/>
          <w:szCs w:val="24"/>
        </w:rPr>
        <w:t xml:space="preserve">  This group, headed by the Manager, Tax Accounting with three staff, is responsible for tax accounting and reporting for PPL Corporate, including the monthly, quarterly, and year-end closings.  This work group books accounting entries, conducts necessary analysis concerning regulatory accounting and financial reporting, and also handles the tax accounting for all fixed asset transactions.</w:t>
      </w:r>
    </w:p>
    <w:p w:rsidR="00F91070" w:rsidRDefault="00F91070" w:rsidP="00701DCF">
      <w:pPr>
        <w:rPr>
          <w:rFonts w:cs="Arial"/>
          <w:szCs w:val="24"/>
        </w:rPr>
      </w:pPr>
      <w:proofErr w:type="gramStart"/>
      <w:r w:rsidRPr="00183F55">
        <w:rPr>
          <w:rFonts w:cs="Arial"/>
          <w:b/>
          <w:szCs w:val="24"/>
        </w:rPr>
        <w:lastRenderedPageBreak/>
        <w:t>International Tax</w:t>
      </w:r>
      <w:r>
        <w:rPr>
          <w:rFonts w:cs="Arial"/>
          <w:szCs w:val="24"/>
        </w:rPr>
        <w:t>.</w:t>
      </w:r>
      <w:proofErr w:type="gramEnd"/>
      <w:r>
        <w:rPr>
          <w:rFonts w:cs="Arial"/>
          <w:szCs w:val="24"/>
        </w:rPr>
        <w:t xml:space="preserve">  This group, headed by the Director, International Tax with six staff, is responsible for tax compliance – filing all federal and state returns, including sales and use tax returns.</w:t>
      </w:r>
    </w:p>
    <w:p w:rsidR="00F91070" w:rsidDel="00D012EB" w:rsidRDefault="00F91070" w:rsidP="00701DCF">
      <w:pPr>
        <w:pStyle w:val="Heading40"/>
      </w:pPr>
      <w:r w:rsidDel="00D012EB">
        <w:t>Treasury and Risk</w:t>
      </w:r>
    </w:p>
    <w:p w:rsidR="00F91070" w:rsidDel="00D012EB" w:rsidRDefault="00F91070" w:rsidP="00701DCF">
      <w:pPr>
        <w:rPr>
          <w:rFonts w:cs="Arial"/>
          <w:szCs w:val="24"/>
        </w:rPr>
      </w:pPr>
      <w:r w:rsidDel="00D012EB">
        <w:rPr>
          <w:rFonts w:cs="Arial"/>
          <w:szCs w:val="24"/>
        </w:rPr>
        <w:t xml:space="preserve">The Treasury and Risk work group is headed by the Vice President, Treasury and Chief Risk Officer with </w:t>
      </w:r>
      <w:r>
        <w:rPr>
          <w:rFonts w:cs="Arial"/>
          <w:szCs w:val="24"/>
        </w:rPr>
        <w:t>eight</w:t>
      </w:r>
      <w:r w:rsidDel="00D012EB">
        <w:rPr>
          <w:rFonts w:cs="Arial"/>
          <w:szCs w:val="24"/>
        </w:rPr>
        <w:t xml:space="preserve"> direct reports representing the areas of Corporate Finance, Cash Management, Risk Management, </w:t>
      </w:r>
      <w:r>
        <w:rPr>
          <w:rFonts w:cs="Arial"/>
          <w:szCs w:val="24"/>
        </w:rPr>
        <w:t>PPL Infrastructure Services</w:t>
      </w:r>
      <w:r w:rsidDel="00D012EB">
        <w:rPr>
          <w:rFonts w:cs="Arial"/>
          <w:szCs w:val="24"/>
        </w:rPr>
        <w:t xml:space="preserve">, and </w:t>
      </w:r>
      <w:r w:rsidR="00763DEA">
        <w:rPr>
          <w:rFonts w:cs="Arial"/>
          <w:szCs w:val="24"/>
        </w:rPr>
        <w:t>PPLSolutions</w:t>
      </w:r>
      <w:r w:rsidDel="00D012EB">
        <w:rPr>
          <w:rFonts w:cs="Arial"/>
          <w:szCs w:val="24"/>
        </w:rPr>
        <w:t xml:space="preserve">, LLC.   </w:t>
      </w:r>
    </w:p>
    <w:p w:rsidR="00F91070" w:rsidDel="00D012EB" w:rsidRDefault="00F91070" w:rsidP="00701DCF">
      <w:pPr>
        <w:rPr>
          <w:rFonts w:cs="Arial"/>
          <w:szCs w:val="24"/>
        </w:rPr>
      </w:pPr>
      <w:proofErr w:type="gramStart"/>
      <w:r w:rsidRPr="00AE3FB1" w:rsidDel="00D012EB">
        <w:rPr>
          <w:b/>
        </w:rPr>
        <w:t>Corporate Finance.</w:t>
      </w:r>
      <w:proofErr w:type="gramEnd"/>
      <w:r w:rsidDel="00D012EB">
        <w:rPr>
          <w:b/>
        </w:rPr>
        <w:t xml:space="preserve"> </w:t>
      </w:r>
      <w:r w:rsidDel="00D012EB">
        <w:t xml:space="preserve"> </w:t>
      </w:r>
      <w:r w:rsidRPr="003F7C9D" w:rsidDel="00D012EB">
        <w:rPr>
          <w:rFonts w:cs="Arial"/>
          <w:szCs w:val="24"/>
        </w:rPr>
        <w:t>The Director</w:t>
      </w:r>
      <w:r w:rsidDel="00D012EB">
        <w:rPr>
          <w:rFonts w:cs="Arial"/>
          <w:szCs w:val="24"/>
        </w:rPr>
        <w:t>,</w:t>
      </w:r>
      <w:r w:rsidRPr="003F7C9D" w:rsidDel="00D012EB">
        <w:rPr>
          <w:rFonts w:cs="Arial"/>
          <w:szCs w:val="24"/>
        </w:rPr>
        <w:t xml:space="preserve"> Corporate Finance is the liaison for any long-term lending.</w:t>
      </w:r>
      <w:r w:rsidDel="00D012EB">
        <w:rPr>
          <w:rFonts w:cs="Arial"/>
          <w:szCs w:val="24"/>
        </w:rPr>
        <w:t xml:space="preserve"> The functions of this work group include banking relations concerning credit facilities, liaison with credit rating agencies, </w:t>
      </w:r>
      <w:r>
        <w:rPr>
          <w:rFonts w:cs="Arial"/>
          <w:szCs w:val="24"/>
        </w:rPr>
        <w:t>stockholder services</w:t>
      </w:r>
      <w:r w:rsidDel="00D012EB">
        <w:rPr>
          <w:rFonts w:cs="Arial"/>
          <w:szCs w:val="24"/>
        </w:rPr>
        <w:t xml:space="preserve">, </w:t>
      </w:r>
      <w:proofErr w:type="gramStart"/>
      <w:r w:rsidDel="00D012EB">
        <w:rPr>
          <w:rFonts w:cs="Arial"/>
          <w:szCs w:val="24"/>
        </w:rPr>
        <w:t>foreign</w:t>
      </w:r>
      <w:proofErr w:type="gramEnd"/>
      <w:r w:rsidDel="00D012EB">
        <w:rPr>
          <w:rFonts w:cs="Arial"/>
          <w:szCs w:val="24"/>
        </w:rPr>
        <w:t xml:space="preserve"> currency </w:t>
      </w:r>
      <w:r>
        <w:rPr>
          <w:rFonts w:cs="Arial"/>
          <w:szCs w:val="24"/>
        </w:rPr>
        <w:t xml:space="preserve">hedging </w:t>
      </w:r>
      <w:r w:rsidDel="00D012EB">
        <w:rPr>
          <w:rFonts w:cs="Arial"/>
          <w:szCs w:val="24"/>
        </w:rPr>
        <w:t>transactions, pension investment management in administration of the Employee Benefits Pension Board (EBPB), and the management of liquidity.  PPL uses Wells Fargo as their Stock Transfer Agent.</w:t>
      </w:r>
    </w:p>
    <w:p w:rsidR="00F91070" w:rsidDel="00D012EB" w:rsidRDefault="00F91070" w:rsidP="00701DCF">
      <w:r w:rsidDel="00D012EB">
        <w:t xml:space="preserve">PPL EU had approximately $2.6 billion in long-term debt as of the end of 2014 comprised of first mortgage bonds and pollution control bonds.  The schedule of current long-term obligations at December 31, 2014 with maturities ranging from 2015 through 2044 is shown in the following exhibit. </w:t>
      </w:r>
    </w:p>
    <w:p w:rsidR="00F91070" w:rsidDel="00D012EB" w:rsidRDefault="00AD2223" w:rsidP="00AD2223">
      <w:pPr>
        <w:pStyle w:val="Caption"/>
      </w:pPr>
      <w:bookmarkStart w:id="99" w:name="_Toc464552958"/>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D10053">
        <w:br/>
      </w:r>
      <w:r w:rsidR="00F91070" w:rsidDel="00D012EB">
        <w:t>PPL EU Long-Term Debt as of December 31, 2014</w:t>
      </w:r>
      <w:bookmarkEnd w:id="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1530"/>
        <w:gridCol w:w="1800"/>
        <w:gridCol w:w="1800"/>
        <w:gridCol w:w="1080"/>
        <w:gridCol w:w="1615"/>
      </w:tblGrid>
      <w:tr w:rsidR="00F91070" w:rsidRPr="0052607D" w:rsidDel="00D012EB" w:rsidTr="00F91070">
        <w:trPr>
          <w:cantSplit/>
          <w:tblHeader/>
          <w:jc w:val="center"/>
        </w:trPr>
        <w:tc>
          <w:tcPr>
            <w:tcW w:w="1525" w:type="dxa"/>
            <w:vMerge w:val="restart"/>
            <w:shd w:val="clear" w:color="auto" w:fill="A5CD7E"/>
            <w:vAlign w:val="center"/>
          </w:tcPr>
          <w:p w:rsidR="00F91070" w:rsidRPr="0052607D" w:rsidDel="00D012EB" w:rsidRDefault="00F91070" w:rsidP="002F6183">
            <w:pPr>
              <w:spacing w:before="80" w:after="80"/>
              <w:jc w:val="center"/>
              <w:rPr>
                <w:b/>
                <w:sz w:val="22"/>
              </w:rPr>
            </w:pPr>
            <w:r w:rsidRPr="0052607D" w:rsidDel="00D012EB">
              <w:rPr>
                <w:b/>
                <w:sz w:val="22"/>
              </w:rPr>
              <w:t>Nominal Date of Issue</w:t>
            </w:r>
          </w:p>
        </w:tc>
        <w:tc>
          <w:tcPr>
            <w:tcW w:w="1530" w:type="dxa"/>
            <w:vMerge w:val="restart"/>
            <w:shd w:val="clear" w:color="auto" w:fill="A5CD7E"/>
            <w:vAlign w:val="center"/>
          </w:tcPr>
          <w:p w:rsidR="00F91070" w:rsidRPr="0052607D" w:rsidDel="00D012EB" w:rsidRDefault="00F91070" w:rsidP="002F6183">
            <w:pPr>
              <w:spacing w:before="80" w:after="80"/>
              <w:jc w:val="center"/>
              <w:rPr>
                <w:b/>
                <w:sz w:val="22"/>
              </w:rPr>
            </w:pPr>
            <w:r w:rsidRPr="0052607D" w:rsidDel="00D012EB">
              <w:rPr>
                <w:b/>
                <w:sz w:val="22"/>
              </w:rPr>
              <w:t>Date Of Maturity</w:t>
            </w:r>
          </w:p>
        </w:tc>
        <w:tc>
          <w:tcPr>
            <w:tcW w:w="1800" w:type="dxa"/>
            <w:vMerge w:val="restart"/>
            <w:shd w:val="clear" w:color="auto" w:fill="A5CD7E"/>
            <w:vAlign w:val="center"/>
          </w:tcPr>
          <w:p w:rsidR="00F91070" w:rsidRPr="0052607D" w:rsidDel="00D012EB" w:rsidRDefault="00F91070" w:rsidP="0052607D">
            <w:pPr>
              <w:spacing w:before="80" w:after="80"/>
              <w:jc w:val="center"/>
              <w:rPr>
                <w:b/>
                <w:sz w:val="22"/>
              </w:rPr>
            </w:pPr>
            <w:r w:rsidRPr="0052607D" w:rsidDel="00D012EB">
              <w:rPr>
                <w:b/>
                <w:sz w:val="22"/>
              </w:rPr>
              <w:t xml:space="preserve">Principal Amount Authorized </w:t>
            </w:r>
          </w:p>
        </w:tc>
        <w:tc>
          <w:tcPr>
            <w:tcW w:w="1800" w:type="dxa"/>
            <w:vMerge w:val="restart"/>
            <w:shd w:val="clear" w:color="auto" w:fill="A5CD7E"/>
            <w:vAlign w:val="center"/>
          </w:tcPr>
          <w:p w:rsidR="00F91070" w:rsidRPr="0052607D" w:rsidDel="00D012EB" w:rsidRDefault="00F91070" w:rsidP="0052607D">
            <w:pPr>
              <w:spacing w:before="80" w:after="80"/>
              <w:jc w:val="center"/>
              <w:rPr>
                <w:b/>
                <w:sz w:val="22"/>
              </w:rPr>
            </w:pPr>
            <w:r w:rsidRPr="0052607D" w:rsidDel="00D012EB">
              <w:rPr>
                <w:b/>
                <w:sz w:val="22"/>
              </w:rPr>
              <w:t xml:space="preserve">Outstanding Balance </w:t>
            </w:r>
          </w:p>
        </w:tc>
        <w:tc>
          <w:tcPr>
            <w:tcW w:w="2695" w:type="dxa"/>
            <w:gridSpan w:val="2"/>
            <w:shd w:val="clear" w:color="auto" w:fill="A5CD7E"/>
            <w:vAlign w:val="center"/>
          </w:tcPr>
          <w:p w:rsidR="00F91070" w:rsidRPr="0052607D" w:rsidDel="00D012EB" w:rsidRDefault="00F91070" w:rsidP="002F6183">
            <w:pPr>
              <w:spacing w:before="80" w:after="80"/>
              <w:jc w:val="center"/>
              <w:rPr>
                <w:b/>
                <w:sz w:val="22"/>
              </w:rPr>
            </w:pPr>
            <w:r w:rsidRPr="0052607D" w:rsidDel="00D012EB">
              <w:rPr>
                <w:b/>
                <w:sz w:val="22"/>
              </w:rPr>
              <w:t>2014 Interest</w:t>
            </w:r>
          </w:p>
        </w:tc>
      </w:tr>
      <w:tr w:rsidR="00F91070" w:rsidRPr="006304A4" w:rsidDel="00D012EB" w:rsidTr="00701DCF">
        <w:trPr>
          <w:tblHeader/>
          <w:jc w:val="center"/>
        </w:trPr>
        <w:tc>
          <w:tcPr>
            <w:tcW w:w="1525" w:type="dxa"/>
            <w:vMerge/>
            <w:shd w:val="clear" w:color="auto" w:fill="FBD4B4" w:themeFill="accent6" w:themeFillTint="66"/>
            <w:vAlign w:val="center"/>
          </w:tcPr>
          <w:p w:rsidR="00F91070" w:rsidRPr="0026354E" w:rsidDel="00D012EB" w:rsidRDefault="00F91070" w:rsidP="002F6183">
            <w:pPr>
              <w:spacing w:before="80" w:after="80"/>
              <w:jc w:val="center"/>
              <w:rPr>
                <w:b/>
              </w:rPr>
            </w:pPr>
          </w:p>
        </w:tc>
        <w:tc>
          <w:tcPr>
            <w:tcW w:w="1530" w:type="dxa"/>
            <w:vMerge/>
            <w:shd w:val="clear" w:color="auto" w:fill="FBD4B4" w:themeFill="accent6" w:themeFillTint="66"/>
            <w:vAlign w:val="center"/>
          </w:tcPr>
          <w:p w:rsidR="00F91070" w:rsidRPr="0026354E" w:rsidDel="00D012EB" w:rsidRDefault="00F91070" w:rsidP="002F6183">
            <w:pPr>
              <w:spacing w:before="80" w:after="80"/>
              <w:jc w:val="center"/>
              <w:rPr>
                <w:b/>
              </w:rPr>
            </w:pPr>
          </w:p>
        </w:tc>
        <w:tc>
          <w:tcPr>
            <w:tcW w:w="1800" w:type="dxa"/>
            <w:vMerge/>
            <w:shd w:val="clear" w:color="auto" w:fill="FBD4B4" w:themeFill="accent6" w:themeFillTint="66"/>
            <w:vAlign w:val="center"/>
          </w:tcPr>
          <w:p w:rsidR="00F91070" w:rsidRPr="0026354E" w:rsidDel="00D012EB" w:rsidRDefault="00F91070" w:rsidP="002F6183">
            <w:pPr>
              <w:spacing w:before="80" w:after="80"/>
              <w:jc w:val="center"/>
              <w:rPr>
                <w:b/>
              </w:rPr>
            </w:pPr>
          </w:p>
        </w:tc>
        <w:tc>
          <w:tcPr>
            <w:tcW w:w="1800" w:type="dxa"/>
            <w:vMerge/>
            <w:shd w:val="clear" w:color="auto" w:fill="FBD4B4" w:themeFill="accent6" w:themeFillTint="66"/>
            <w:vAlign w:val="center"/>
          </w:tcPr>
          <w:p w:rsidR="00F91070" w:rsidRPr="0026354E" w:rsidDel="00D012EB" w:rsidRDefault="00F91070" w:rsidP="002F6183">
            <w:pPr>
              <w:spacing w:before="80" w:after="80"/>
              <w:jc w:val="center"/>
              <w:rPr>
                <w:b/>
              </w:rPr>
            </w:pPr>
          </w:p>
        </w:tc>
        <w:tc>
          <w:tcPr>
            <w:tcW w:w="1080" w:type="dxa"/>
            <w:shd w:val="clear" w:color="auto" w:fill="A5CD7E"/>
            <w:vAlign w:val="center"/>
          </w:tcPr>
          <w:p w:rsidR="00F91070" w:rsidRPr="0026354E" w:rsidDel="00D012EB" w:rsidRDefault="00F91070" w:rsidP="002F6183">
            <w:pPr>
              <w:spacing w:before="80" w:after="80"/>
              <w:jc w:val="center"/>
              <w:rPr>
                <w:b/>
              </w:rPr>
            </w:pPr>
            <w:r w:rsidRPr="0026354E" w:rsidDel="00D012EB">
              <w:rPr>
                <w:b/>
              </w:rPr>
              <w:t>Rate</w:t>
            </w:r>
          </w:p>
        </w:tc>
        <w:tc>
          <w:tcPr>
            <w:tcW w:w="1615" w:type="dxa"/>
            <w:shd w:val="clear" w:color="auto" w:fill="A5CD7E"/>
            <w:vAlign w:val="center"/>
          </w:tcPr>
          <w:p w:rsidR="00F91070" w:rsidRPr="0026354E" w:rsidDel="00D012EB" w:rsidRDefault="00F91070" w:rsidP="0052607D">
            <w:pPr>
              <w:spacing w:before="80" w:after="80"/>
              <w:jc w:val="center"/>
              <w:rPr>
                <w:b/>
              </w:rPr>
            </w:pPr>
            <w:r w:rsidRPr="0026354E" w:rsidDel="00D012EB">
              <w:rPr>
                <w:b/>
              </w:rPr>
              <w:t>Amount</w:t>
            </w:r>
            <w:r w:rsidDel="00D012EB">
              <w:rPr>
                <w:b/>
              </w:rPr>
              <w:t xml:space="preserve"> </w:t>
            </w:r>
          </w:p>
        </w:tc>
      </w:tr>
      <w:tr w:rsidR="00F91070" w:rsidDel="00D012EB" w:rsidTr="00701DCF">
        <w:trPr>
          <w:jc w:val="center"/>
        </w:trPr>
        <w:tc>
          <w:tcPr>
            <w:tcW w:w="9350" w:type="dxa"/>
            <w:gridSpan w:val="6"/>
            <w:vAlign w:val="bottom"/>
          </w:tcPr>
          <w:p w:rsidR="00F91070" w:rsidRPr="0052607D" w:rsidDel="00D012EB" w:rsidRDefault="00F91070" w:rsidP="00701DCF">
            <w:pPr>
              <w:spacing w:after="0"/>
              <w:jc w:val="left"/>
              <w:rPr>
                <w:rFonts w:cs="Arial"/>
                <w:sz w:val="22"/>
              </w:rPr>
            </w:pPr>
            <w:r w:rsidRPr="0052607D" w:rsidDel="00D012EB">
              <w:rPr>
                <w:rFonts w:cs="Arial"/>
                <w:sz w:val="22"/>
              </w:rPr>
              <w:t>Senior Secured Bonds / First Mortgage Bonds</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03/23/1994</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03/01/2014</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100,000,000</w:t>
            </w:r>
          </w:p>
        </w:tc>
        <w:tc>
          <w:tcPr>
            <w:tcW w:w="1800" w:type="dxa"/>
          </w:tcPr>
          <w:p w:rsidR="00F91070" w:rsidRPr="0052607D" w:rsidDel="00D012EB" w:rsidRDefault="00F91070" w:rsidP="00701DCF">
            <w:pPr>
              <w:spacing w:after="0"/>
              <w:jc w:val="right"/>
              <w:rPr>
                <w:rFonts w:cs="Arial"/>
                <w:sz w:val="22"/>
              </w:rPr>
            </w:pPr>
            <w:r w:rsidRPr="0052607D" w:rsidDel="00D012EB">
              <w:rPr>
                <w:rFonts w:cs="Arial"/>
                <w:sz w:val="22"/>
              </w:rPr>
              <w:t>0</w:t>
            </w:r>
          </w:p>
        </w:tc>
        <w:tc>
          <w:tcPr>
            <w:tcW w:w="1080" w:type="dxa"/>
          </w:tcPr>
          <w:p w:rsidR="00F91070" w:rsidRPr="0052607D" w:rsidDel="00D012EB" w:rsidRDefault="00F91070" w:rsidP="00701DCF">
            <w:pPr>
              <w:spacing w:after="0"/>
              <w:jc w:val="center"/>
              <w:rPr>
                <w:rFonts w:cs="Arial"/>
                <w:sz w:val="22"/>
              </w:rPr>
            </w:pPr>
            <w:r w:rsidRPr="0052607D" w:rsidDel="00D012EB">
              <w:rPr>
                <w:rFonts w:cs="Arial"/>
                <w:sz w:val="22"/>
              </w:rPr>
              <w:t>7 3/8%</w:t>
            </w:r>
          </w:p>
        </w:tc>
        <w:tc>
          <w:tcPr>
            <w:tcW w:w="1615"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126,481</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12/20/2005</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12/15/2015</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100,000,000</w:t>
            </w:r>
          </w:p>
        </w:tc>
        <w:tc>
          <w:tcPr>
            <w:tcW w:w="1080" w:type="dxa"/>
          </w:tcPr>
          <w:p w:rsidR="00F91070" w:rsidRPr="0052607D" w:rsidDel="00D012EB" w:rsidRDefault="00F91070" w:rsidP="00701DCF">
            <w:pPr>
              <w:spacing w:after="0"/>
              <w:jc w:val="center"/>
              <w:rPr>
                <w:rFonts w:cs="Arial"/>
                <w:sz w:val="22"/>
              </w:rPr>
            </w:pPr>
            <w:r w:rsidRPr="0052607D" w:rsidDel="00D012EB">
              <w:rPr>
                <w:rFonts w:cs="Arial"/>
                <w:sz w:val="22"/>
              </w:rPr>
              <w:t>4.95%</w:t>
            </w:r>
          </w:p>
        </w:tc>
        <w:tc>
          <w:tcPr>
            <w:tcW w:w="1615"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4,950,000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12/20/2005</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12/15/2020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100,000,000</w:t>
            </w:r>
          </w:p>
        </w:tc>
        <w:tc>
          <w:tcPr>
            <w:tcW w:w="1080" w:type="dxa"/>
          </w:tcPr>
          <w:p w:rsidR="00F91070" w:rsidRPr="0052607D" w:rsidDel="00D012EB" w:rsidRDefault="00F91070" w:rsidP="00701DCF">
            <w:pPr>
              <w:spacing w:after="0"/>
              <w:jc w:val="center"/>
              <w:rPr>
                <w:rFonts w:cs="Arial"/>
                <w:sz w:val="22"/>
              </w:rPr>
            </w:pPr>
            <w:r w:rsidRPr="0052607D" w:rsidDel="00D012EB">
              <w:rPr>
                <w:rFonts w:cs="Arial"/>
                <w:sz w:val="22"/>
              </w:rPr>
              <w:t>5.15%</w:t>
            </w:r>
          </w:p>
        </w:tc>
        <w:tc>
          <w:tcPr>
            <w:tcW w:w="1615"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5,150,000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08/13/2007</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08/15/2037</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080" w:type="dxa"/>
          </w:tcPr>
          <w:p w:rsidR="00F91070" w:rsidRPr="0052607D" w:rsidDel="00D012EB" w:rsidRDefault="00F91070" w:rsidP="00701DCF">
            <w:pPr>
              <w:spacing w:after="0"/>
              <w:jc w:val="center"/>
              <w:rPr>
                <w:rFonts w:cs="Arial"/>
                <w:sz w:val="22"/>
              </w:rPr>
            </w:pPr>
            <w:r w:rsidRPr="0052607D" w:rsidDel="00D012EB">
              <w:rPr>
                <w:rFonts w:cs="Arial"/>
                <w:sz w:val="22"/>
              </w:rPr>
              <w:t>6.25%</w:t>
            </w:r>
          </w:p>
        </w:tc>
        <w:tc>
          <w:tcPr>
            <w:tcW w:w="1615"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18,750,000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05/22/2009</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05/15/2039</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300,000,000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300,000,000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6.25%</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18,750,000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07/15/2011</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07/15/2041</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5.20%</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13,000,000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08/23/2011</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09/15/2021</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400,000,000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400,000,000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3.00%</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12,000,000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08/24/2012</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09/01/2022</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250,000,000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2.50%</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6,250,000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07/11/2013</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07/15/2043</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350,000,000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350,000,000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4.75%</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16,625,000</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06/05/2014</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06/15/2044</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300,000,000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300,000,000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4.13%</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7,081,250</w:t>
            </w:r>
          </w:p>
        </w:tc>
      </w:tr>
      <w:tr w:rsidR="00F91070" w:rsidDel="00D012EB" w:rsidTr="00701DCF">
        <w:trPr>
          <w:jc w:val="center"/>
        </w:trPr>
        <w:tc>
          <w:tcPr>
            <w:tcW w:w="3055" w:type="dxa"/>
            <w:gridSpan w:val="2"/>
            <w:vAlign w:val="bottom"/>
          </w:tcPr>
          <w:p w:rsidR="00F91070" w:rsidRPr="0052607D" w:rsidDel="00D012EB" w:rsidRDefault="00F91070" w:rsidP="00701DCF">
            <w:pPr>
              <w:spacing w:after="0"/>
              <w:jc w:val="left"/>
              <w:rPr>
                <w:rFonts w:cs="Arial"/>
                <w:sz w:val="22"/>
              </w:rPr>
            </w:pPr>
            <w:r w:rsidRPr="0052607D" w:rsidDel="00D012EB">
              <w:rPr>
                <w:rFonts w:cs="Arial"/>
                <w:sz w:val="22"/>
              </w:rPr>
              <w:t>Total Senior Secured Bonds / First Mortgage Bonds</w:t>
            </w:r>
          </w:p>
        </w:tc>
        <w:tc>
          <w:tcPr>
            <w:tcW w:w="1800"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2,400,000,000</w:t>
            </w:r>
          </w:p>
        </w:tc>
        <w:tc>
          <w:tcPr>
            <w:tcW w:w="1800"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2,300,000,000</w:t>
            </w:r>
          </w:p>
        </w:tc>
        <w:tc>
          <w:tcPr>
            <w:tcW w:w="1080" w:type="dxa"/>
            <w:vAlign w:val="center"/>
          </w:tcPr>
          <w:p w:rsidR="00F91070" w:rsidRPr="0052607D" w:rsidDel="00D012EB" w:rsidRDefault="00F91070" w:rsidP="00701DCF">
            <w:pPr>
              <w:spacing w:after="0"/>
              <w:jc w:val="center"/>
              <w:rPr>
                <w:rFonts w:cs="Arial"/>
                <w:sz w:val="22"/>
              </w:rPr>
            </w:pPr>
          </w:p>
        </w:tc>
        <w:tc>
          <w:tcPr>
            <w:tcW w:w="1615"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100,057,731</w:t>
            </w:r>
          </w:p>
        </w:tc>
      </w:tr>
      <w:tr w:rsidR="00F91070" w:rsidDel="00D012EB" w:rsidTr="00701DCF">
        <w:trPr>
          <w:jc w:val="center"/>
        </w:trPr>
        <w:tc>
          <w:tcPr>
            <w:tcW w:w="9350" w:type="dxa"/>
            <w:gridSpan w:val="6"/>
            <w:vAlign w:val="bottom"/>
          </w:tcPr>
          <w:p w:rsidR="00F91070" w:rsidRPr="0052607D" w:rsidDel="00D012EB" w:rsidRDefault="00F91070" w:rsidP="00701DCF">
            <w:pPr>
              <w:spacing w:after="0"/>
              <w:jc w:val="left"/>
              <w:rPr>
                <w:rFonts w:cs="Arial"/>
                <w:sz w:val="22"/>
              </w:rPr>
            </w:pPr>
            <w:r w:rsidRPr="0052607D" w:rsidDel="00D012EB">
              <w:rPr>
                <w:rFonts w:cs="Arial"/>
                <w:sz w:val="22"/>
              </w:rPr>
              <w:t>Senior Secured Bonds:  Pollution Control Series</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02/23/2005</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09/01/2029</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115,500,000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115,500,000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4.70%</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5,428,500</w:t>
            </w:r>
          </w:p>
        </w:tc>
      </w:tr>
      <w:tr w:rsidR="00F91070" w:rsidDel="00D012EB" w:rsidTr="002F6183">
        <w:trPr>
          <w:trHeight w:val="350"/>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05/17/2005</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02/15/2027</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108,250,000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108,250,000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4.75%</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5,141,875</w:t>
            </w:r>
          </w:p>
        </w:tc>
      </w:tr>
      <w:tr w:rsidR="00F91070" w:rsidDel="00D012EB" w:rsidTr="00701DCF">
        <w:trPr>
          <w:jc w:val="center"/>
        </w:trPr>
        <w:tc>
          <w:tcPr>
            <w:tcW w:w="1525" w:type="dxa"/>
          </w:tcPr>
          <w:p w:rsidR="00F91070" w:rsidRPr="0052607D" w:rsidDel="00D012EB" w:rsidRDefault="00F91070" w:rsidP="00701DCF">
            <w:pPr>
              <w:spacing w:after="0"/>
              <w:jc w:val="left"/>
              <w:rPr>
                <w:rFonts w:cs="Arial"/>
                <w:sz w:val="22"/>
              </w:rPr>
            </w:pPr>
            <w:r w:rsidRPr="0052607D" w:rsidDel="00D012EB">
              <w:rPr>
                <w:rFonts w:cs="Arial"/>
                <w:sz w:val="22"/>
              </w:rPr>
              <w:t>10/28/2008</w:t>
            </w:r>
          </w:p>
        </w:tc>
        <w:tc>
          <w:tcPr>
            <w:tcW w:w="1530" w:type="dxa"/>
          </w:tcPr>
          <w:p w:rsidR="00F91070" w:rsidRPr="0052607D" w:rsidDel="00D012EB" w:rsidRDefault="00F91070" w:rsidP="00701DCF">
            <w:pPr>
              <w:spacing w:after="0"/>
              <w:jc w:val="left"/>
              <w:rPr>
                <w:rFonts w:cs="Arial"/>
                <w:sz w:val="22"/>
              </w:rPr>
            </w:pPr>
            <w:r w:rsidRPr="0052607D" w:rsidDel="00D012EB">
              <w:rPr>
                <w:rFonts w:cs="Arial"/>
                <w:sz w:val="22"/>
              </w:rPr>
              <w:t>10/01/2023</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90,000,000</w:t>
            </w:r>
          </w:p>
        </w:tc>
        <w:tc>
          <w:tcPr>
            <w:tcW w:w="1800" w:type="dxa"/>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90,000,000</w:t>
            </w:r>
          </w:p>
        </w:tc>
        <w:tc>
          <w:tcPr>
            <w:tcW w:w="1080" w:type="dxa"/>
            <w:vAlign w:val="bottom"/>
          </w:tcPr>
          <w:p w:rsidR="00F91070" w:rsidRPr="0052607D" w:rsidDel="00D012EB" w:rsidRDefault="00F91070" w:rsidP="00701DCF">
            <w:pPr>
              <w:spacing w:after="0"/>
              <w:jc w:val="center"/>
              <w:rPr>
                <w:rFonts w:cs="Arial"/>
                <w:sz w:val="22"/>
              </w:rPr>
            </w:pPr>
            <w:r w:rsidRPr="0052607D" w:rsidDel="00D012EB">
              <w:rPr>
                <w:rFonts w:cs="Arial"/>
                <w:sz w:val="22"/>
              </w:rPr>
              <w:t>4.00%</w:t>
            </w:r>
          </w:p>
        </w:tc>
        <w:tc>
          <w:tcPr>
            <w:tcW w:w="1615" w:type="dxa"/>
            <w:vAlign w:val="bottom"/>
          </w:tcPr>
          <w:p w:rsidR="00F91070" w:rsidRPr="0052607D" w:rsidDel="00D012EB" w:rsidRDefault="0052607D" w:rsidP="00701DCF">
            <w:pPr>
              <w:spacing w:after="0"/>
              <w:jc w:val="right"/>
              <w:rPr>
                <w:rFonts w:cs="Arial"/>
                <w:sz w:val="22"/>
              </w:rPr>
            </w:pPr>
            <w:r w:rsidRPr="0052607D">
              <w:rPr>
                <w:rFonts w:cs="Arial"/>
                <w:sz w:val="22"/>
              </w:rPr>
              <w:t>$</w:t>
            </w:r>
            <w:r w:rsidR="00F91070" w:rsidRPr="0052607D" w:rsidDel="00D012EB">
              <w:rPr>
                <w:rFonts w:cs="Arial"/>
                <w:sz w:val="22"/>
              </w:rPr>
              <w:t>3,600,000</w:t>
            </w:r>
          </w:p>
        </w:tc>
      </w:tr>
      <w:tr w:rsidR="00F91070" w:rsidDel="00D012EB" w:rsidTr="00701DCF">
        <w:trPr>
          <w:jc w:val="center"/>
        </w:trPr>
        <w:tc>
          <w:tcPr>
            <w:tcW w:w="3055" w:type="dxa"/>
            <w:gridSpan w:val="2"/>
            <w:vAlign w:val="center"/>
          </w:tcPr>
          <w:p w:rsidR="00F91070" w:rsidRPr="0052607D" w:rsidDel="00D012EB" w:rsidRDefault="00F91070" w:rsidP="00701DCF">
            <w:pPr>
              <w:spacing w:after="0"/>
              <w:jc w:val="center"/>
              <w:rPr>
                <w:rFonts w:cs="Arial"/>
                <w:sz w:val="22"/>
              </w:rPr>
            </w:pPr>
            <w:r w:rsidRPr="0052607D" w:rsidDel="00D012EB">
              <w:rPr>
                <w:rFonts w:cs="Arial"/>
                <w:sz w:val="22"/>
              </w:rPr>
              <w:t>Total Senior Secured:  Pollution Control Series</w:t>
            </w:r>
          </w:p>
        </w:tc>
        <w:tc>
          <w:tcPr>
            <w:tcW w:w="1800"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313,750,000</w:t>
            </w:r>
          </w:p>
        </w:tc>
        <w:tc>
          <w:tcPr>
            <w:tcW w:w="1800"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313,750,000</w:t>
            </w:r>
          </w:p>
        </w:tc>
        <w:tc>
          <w:tcPr>
            <w:tcW w:w="1080" w:type="dxa"/>
            <w:vAlign w:val="center"/>
          </w:tcPr>
          <w:p w:rsidR="00F91070" w:rsidRPr="0052607D" w:rsidDel="00D012EB" w:rsidRDefault="00F91070" w:rsidP="00701DCF">
            <w:pPr>
              <w:spacing w:after="0"/>
              <w:jc w:val="center"/>
              <w:rPr>
                <w:rFonts w:cs="Arial"/>
                <w:sz w:val="22"/>
              </w:rPr>
            </w:pPr>
          </w:p>
        </w:tc>
        <w:tc>
          <w:tcPr>
            <w:tcW w:w="1615" w:type="dxa"/>
            <w:vAlign w:val="center"/>
          </w:tcPr>
          <w:p w:rsidR="00F91070" w:rsidRPr="0052607D" w:rsidDel="00D012EB" w:rsidRDefault="0052607D" w:rsidP="00701DCF">
            <w:pPr>
              <w:spacing w:after="0"/>
              <w:jc w:val="center"/>
              <w:rPr>
                <w:rFonts w:cs="Arial"/>
                <w:sz w:val="22"/>
              </w:rPr>
            </w:pPr>
            <w:r w:rsidRPr="0052607D">
              <w:rPr>
                <w:rFonts w:cs="Arial"/>
                <w:sz w:val="22"/>
              </w:rPr>
              <w:t>$</w:t>
            </w:r>
            <w:r w:rsidR="00F91070" w:rsidRPr="0052607D" w:rsidDel="00D012EB">
              <w:rPr>
                <w:rFonts w:cs="Arial"/>
                <w:sz w:val="22"/>
              </w:rPr>
              <w:t>14,170,375</w:t>
            </w:r>
          </w:p>
        </w:tc>
      </w:tr>
      <w:tr w:rsidR="00F91070" w:rsidDel="00D012EB" w:rsidTr="00701DCF">
        <w:trPr>
          <w:jc w:val="center"/>
        </w:trPr>
        <w:tc>
          <w:tcPr>
            <w:tcW w:w="3055" w:type="dxa"/>
            <w:gridSpan w:val="2"/>
            <w:vAlign w:val="bottom"/>
          </w:tcPr>
          <w:p w:rsidR="00F91070" w:rsidRPr="0052607D" w:rsidDel="00D012EB" w:rsidRDefault="00F91070" w:rsidP="00701DCF">
            <w:pPr>
              <w:spacing w:after="0"/>
              <w:jc w:val="right"/>
              <w:rPr>
                <w:rFonts w:cs="Arial"/>
                <w:b/>
                <w:sz w:val="22"/>
              </w:rPr>
            </w:pPr>
            <w:r w:rsidRPr="0052607D" w:rsidDel="00D012EB">
              <w:rPr>
                <w:rFonts w:cs="Arial"/>
                <w:b/>
                <w:sz w:val="22"/>
              </w:rPr>
              <w:t xml:space="preserve">TOTAL </w:t>
            </w:r>
          </w:p>
        </w:tc>
        <w:tc>
          <w:tcPr>
            <w:tcW w:w="1800" w:type="dxa"/>
            <w:vAlign w:val="bottom"/>
          </w:tcPr>
          <w:p w:rsidR="00F91070" w:rsidRPr="0052607D" w:rsidDel="00D012EB" w:rsidRDefault="0052607D" w:rsidP="00701DCF">
            <w:pPr>
              <w:spacing w:after="0"/>
              <w:jc w:val="right"/>
              <w:rPr>
                <w:rFonts w:cs="Arial"/>
                <w:b/>
                <w:sz w:val="22"/>
              </w:rPr>
            </w:pPr>
            <w:r w:rsidRPr="0052607D">
              <w:rPr>
                <w:rFonts w:cs="Arial"/>
                <w:sz w:val="22"/>
              </w:rPr>
              <w:t>$</w:t>
            </w:r>
            <w:r w:rsidR="00F91070" w:rsidRPr="0052607D" w:rsidDel="00D012EB">
              <w:rPr>
                <w:rFonts w:cs="Arial"/>
                <w:b/>
                <w:sz w:val="22"/>
              </w:rPr>
              <w:t>2,713,750,000</w:t>
            </w:r>
          </w:p>
        </w:tc>
        <w:tc>
          <w:tcPr>
            <w:tcW w:w="1800" w:type="dxa"/>
            <w:vAlign w:val="bottom"/>
          </w:tcPr>
          <w:p w:rsidR="00F91070" w:rsidRPr="0052607D" w:rsidDel="00D012EB" w:rsidRDefault="0052607D" w:rsidP="00701DCF">
            <w:pPr>
              <w:spacing w:after="0"/>
              <w:jc w:val="right"/>
              <w:rPr>
                <w:rFonts w:cs="Arial"/>
                <w:b/>
                <w:sz w:val="22"/>
              </w:rPr>
            </w:pPr>
            <w:r w:rsidRPr="0052607D">
              <w:rPr>
                <w:rFonts w:cs="Arial"/>
                <w:sz w:val="22"/>
              </w:rPr>
              <w:t>$</w:t>
            </w:r>
            <w:r w:rsidR="00F91070" w:rsidRPr="0052607D" w:rsidDel="00D012EB">
              <w:rPr>
                <w:rFonts w:cs="Arial"/>
                <w:b/>
                <w:sz w:val="22"/>
              </w:rPr>
              <w:t>2,613,750,000</w:t>
            </w:r>
          </w:p>
        </w:tc>
        <w:tc>
          <w:tcPr>
            <w:tcW w:w="1080" w:type="dxa"/>
          </w:tcPr>
          <w:p w:rsidR="00F91070" w:rsidRPr="0052607D" w:rsidDel="00D012EB" w:rsidRDefault="00F91070" w:rsidP="00701DCF">
            <w:pPr>
              <w:spacing w:after="0"/>
              <w:jc w:val="left"/>
              <w:rPr>
                <w:rFonts w:cs="Arial"/>
                <w:sz w:val="22"/>
              </w:rPr>
            </w:pPr>
          </w:p>
        </w:tc>
        <w:tc>
          <w:tcPr>
            <w:tcW w:w="1615" w:type="dxa"/>
            <w:vAlign w:val="bottom"/>
          </w:tcPr>
          <w:p w:rsidR="00F91070" w:rsidRPr="0052607D" w:rsidDel="00D012EB" w:rsidRDefault="0052607D" w:rsidP="00701DCF">
            <w:pPr>
              <w:spacing w:after="0"/>
              <w:jc w:val="right"/>
              <w:rPr>
                <w:rFonts w:cs="Arial"/>
                <w:b/>
                <w:sz w:val="22"/>
              </w:rPr>
            </w:pPr>
            <w:r w:rsidRPr="0052607D">
              <w:rPr>
                <w:rFonts w:cs="Arial"/>
                <w:sz w:val="22"/>
              </w:rPr>
              <w:t>$</w:t>
            </w:r>
            <w:r w:rsidR="00F91070" w:rsidRPr="0052607D" w:rsidDel="00D012EB">
              <w:rPr>
                <w:rFonts w:cs="Arial"/>
                <w:b/>
                <w:sz w:val="22"/>
              </w:rPr>
              <w:t>114,228,106</w:t>
            </w:r>
          </w:p>
        </w:tc>
      </w:tr>
      <w:tr w:rsidR="00F91070" w:rsidDel="00D012EB" w:rsidTr="00701DCF">
        <w:trPr>
          <w:jc w:val="center"/>
        </w:trPr>
        <w:tc>
          <w:tcPr>
            <w:tcW w:w="9350" w:type="dxa"/>
            <w:gridSpan w:val="6"/>
            <w:vAlign w:val="bottom"/>
          </w:tcPr>
          <w:p w:rsidR="00F91070" w:rsidRPr="0052607D" w:rsidDel="00D012EB" w:rsidRDefault="00F91070" w:rsidP="00701DCF">
            <w:pPr>
              <w:spacing w:after="0"/>
              <w:jc w:val="left"/>
              <w:rPr>
                <w:rFonts w:cs="Arial"/>
                <w:sz w:val="22"/>
              </w:rPr>
            </w:pPr>
            <w:r w:rsidRPr="0052607D" w:rsidDel="00D012EB">
              <w:rPr>
                <w:rFonts w:cs="Arial"/>
                <w:sz w:val="22"/>
              </w:rPr>
              <w:t>Source:  2014 Annual Report of PPL Electric Utilities Corporation</w:t>
            </w:r>
          </w:p>
        </w:tc>
      </w:tr>
    </w:tbl>
    <w:p w:rsidR="00F91070" w:rsidDel="00D012EB" w:rsidRDefault="00F91070" w:rsidP="00701DCF">
      <w:pPr>
        <w:pStyle w:val="Normal-aftertable"/>
      </w:pPr>
      <w:r w:rsidDel="00D012EB">
        <w:lastRenderedPageBreak/>
        <w:t xml:space="preserve">Interest rates on long-term debt ranged from a low of 2.75% for bonds issued in 2012 to 7 3/8% bonds (paid off in 2014) issued in 1994.  Recent long-term debt issues for both PPL EU and PPL’s Kentucky companies (LG&amp;E and KU) have been well received, with demand exceeding note amounts and relatively low interest rates.  A September 2015, $350 million 30-year first mortgage bond issue (not shown in the 2014 Annual Report of PPL Electric Utilities) carried a rate of 4.186%.  </w:t>
      </w:r>
    </w:p>
    <w:p w:rsidR="00F91070" w:rsidDel="00D012EB" w:rsidRDefault="00F91070" w:rsidP="00701DCF">
      <w:pPr>
        <w:rPr>
          <w:rFonts w:cs="Arial"/>
          <w:szCs w:val="24"/>
        </w:rPr>
      </w:pPr>
      <w:r w:rsidDel="00D012EB">
        <w:t xml:space="preserve">PPL EU’s credit ratings have recently been upgraded by credit rating agencies – Standard &amp; Poor’s (S&amp;P) in June, 2015 and Moody’s Investor Services (Moody’s) in September, 2015. </w:t>
      </w:r>
      <w:r w:rsidDel="00D012EB">
        <w:rPr>
          <w:rFonts w:cs="Arial"/>
          <w:szCs w:val="24"/>
        </w:rPr>
        <w:t xml:space="preserve">S&amp;P increased PPL EU’s credit ratings by two increments to a rating of A-, and Moody’s has assigned PPL EU a credit rating of A3.  PPL does not use the credit rating services of Fitch.  Reasons given for PPL EU credit ratings include:  </w:t>
      </w:r>
    </w:p>
    <w:p w:rsidR="00F91070" w:rsidDel="00D012EB" w:rsidRDefault="00F91070" w:rsidP="00701DCF">
      <w:pPr>
        <w:pStyle w:val="Bullet"/>
      </w:pPr>
      <w:r w:rsidDel="00D012EB">
        <w:t>R</w:t>
      </w:r>
      <w:r w:rsidRPr="00AE2205" w:rsidDel="00D012EB">
        <w:t xml:space="preserve">elative stability and predictability of utility cash flows </w:t>
      </w:r>
      <w:r w:rsidDel="00D012EB">
        <w:t>with a large and predominately residential and commercial customer base</w:t>
      </w:r>
    </w:p>
    <w:p w:rsidR="00F91070" w:rsidDel="00D012EB" w:rsidRDefault="00F91070" w:rsidP="00701DCF">
      <w:pPr>
        <w:pStyle w:val="Bullet"/>
      </w:pPr>
      <w:r w:rsidDel="00D012EB">
        <w:t>Constructive regulatory framework and s</w:t>
      </w:r>
      <w:r w:rsidRPr="00AE2205" w:rsidDel="00D012EB">
        <w:t xml:space="preserve">upportive regulatory treatment from PAPUC and FERC </w:t>
      </w:r>
    </w:p>
    <w:p w:rsidR="00F91070" w:rsidDel="00D012EB" w:rsidRDefault="00F91070" w:rsidP="00864BDD">
      <w:pPr>
        <w:pStyle w:val="Bullet"/>
      </w:pPr>
      <w:r w:rsidDel="00D012EB">
        <w:t>A</w:t>
      </w:r>
      <w:r w:rsidRPr="00AE2205" w:rsidDel="00D012EB">
        <w:t>ppropriate cash flow metrics.</w:t>
      </w:r>
      <w:r w:rsidDel="00D012EB">
        <w:t xml:space="preserve">  Ratios vary based on the credit rating agency, but generally include measurements of cash or funds from operations or operating cash flow compared to interest payments and debt; and debt compared to capitalization and earnings before interest, taxes, depreciation, and amortization (EBITDA).  These ratios measure a utility’s ability to cover the cost of its borrowed capital, the cash generating ability of a utility compared to the aggregate level of debt on the balance sheet, and the financial leverage and strength of a utility’s cash flow after dividend payments are made.</w:t>
      </w:r>
    </w:p>
    <w:p w:rsidR="00F91070" w:rsidRPr="00AE2205" w:rsidDel="00D012EB" w:rsidRDefault="00F91070" w:rsidP="00701DCF">
      <w:r w:rsidRPr="00AE2205" w:rsidDel="00D012EB">
        <w:t xml:space="preserve">The credit ratings for PPL EU and </w:t>
      </w:r>
      <w:r w:rsidDel="00D012EB">
        <w:t>PPL Corporation</w:t>
      </w:r>
      <w:r w:rsidRPr="00AE2205" w:rsidDel="00D012EB">
        <w:t xml:space="preserve"> are shown </w:t>
      </w:r>
      <w:r w:rsidDel="00D012EB">
        <w:t>in</w:t>
      </w:r>
      <w:r w:rsidRPr="00AE2205" w:rsidDel="00D012EB">
        <w:t xml:space="preserve"> the following exhibit.</w:t>
      </w:r>
    </w:p>
    <w:p w:rsidR="00F91070" w:rsidDel="00D012EB" w:rsidRDefault="00AD2223" w:rsidP="00AD2223">
      <w:pPr>
        <w:pStyle w:val="Caption"/>
      </w:pPr>
      <w:bookmarkStart w:id="100" w:name="_Toc464552959"/>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2F6183">
        <w:br/>
      </w:r>
      <w:r w:rsidR="00F91070" w:rsidDel="00D012EB">
        <w:t>PPL Credit Ratings – October 15, 2015</w:t>
      </w:r>
      <w:bookmarkEnd w:id="1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73"/>
        <w:gridCol w:w="1530"/>
        <w:gridCol w:w="1800"/>
      </w:tblGrid>
      <w:tr w:rsidR="00F91070" w:rsidRPr="006304A4" w:rsidDel="00D012EB" w:rsidTr="00B47C78">
        <w:trPr>
          <w:cantSplit/>
          <w:trHeight w:val="647"/>
          <w:tblHeader/>
          <w:jc w:val="center"/>
        </w:trPr>
        <w:tc>
          <w:tcPr>
            <w:tcW w:w="4273" w:type="dxa"/>
            <w:shd w:val="clear" w:color="auto" w:fill="A5CD7E"/>
            <w:vAlign w:val="center"/>
          </w:tcPr>
          <w:p w:rsidR="00F91070" w:rsidRPr="00B72F63" w:rsidDel="00D012EB" w:rsidRDefault="00F91070" w:rsidP="006304A4">
            <w:pPr>
              <w:spacing w:before="120"/>
              <w:jc w:val="center"/>
              <w:rPr>
                <w:b/>
              </w:rPr>
            </w:pPr>
            <w:r w:rsidRPr="00B72F63" w:rsidDel="00D012EB">
              <w:rPr>
                <w:b/>
              </w:rPr>
              <w:t>SEC Registrant</w:t>
            </w:r>
          </w:p>
        </w:tc>
        <w:tc>
          <w:tcPr>
            <w:tcW w:w="1530" w:type="dxa"/>
            <w:shd w:val="clear" w:color="auto" w:fill="A5CD7E"/>
            <w:vAlign w:val="center"/>
          </w:tcPr>
          <w:p w:rsidR="00F91070" w:rsidRPr="00B72F63" w:rsidDel="00D012EB" w:rsidRDefault="00F91070" w:rsidP="006304A4">
            <w:pPr>
              <w:spacing w:before="120"/>
              <w:jc w:val="center"/>
              <w:rPr>
                <w:b/>
              </w:rPr>
            </w:pPr>
            <w:r w:rsidRPr="00B72F63" w:rsidDel="00D012EB">
              <w:rPr>
                <w:b/>
              </w:rPr>
              <w:t>S&amp;P Credit Rating</w:t>
            </w:r>
          </w:p>
        </w:tc>
        <w:tc>
          <w:tcPr>
            <w:tcW w:w="1800" w:type="dxa"/>
            <w:shd w:val="clear" w:color="auto" w:fill="A5CD7E"/>
            <w:vAlign w:val="center"/>
          </w:tcPr>
          <w:p w:rsidR="00F91070" w:rsidRPr="00B72F63" w:rsidDel="00D012EB" w:rsidRDefault="00F91070" w:rsidP="006304A4">
            <w:pPr>
              <w:spacing w:before="120"/>
              <w:jc w:val="center"/>
              <w:rPr>
                <w:b/>
              </w:rPr>
            </w:pPr>
            <w:r w:rsidRPr="00B72F63" w:rsidDel="00D012EB">
              <w:rPr>
                <w:b/>
              </w:rPr>
              <w:t>Moody’s Credit Rating</w:t>
            </w:r>
          </w:p>
        </w:tc>
      </w:tr>
      <w:tr w:rsidR="00F91070" w:rsidDel="00D012EB" w:rsidTr="00B47C78">
        <w:trPr>
          <w:cantSplit/>
          <w:jc w:val="center"/>
        </w:trPr>
        <w:tc>
          <w:tcPr>
            <w:tcW w:w="4273" w:type="dxa"/>
            <w:vAlign w:val="bottom"/>
          </w:tcPr>
          <w:p w:rsidR="00F91070" w:rsidRPr="001E5214" w:rsidDel="00D012EB" w:rsidRDefault="00F91070" w:rsidP="00701DCF">
            <w:pPr>
              <w:spacing w:after="0"/>
              <w:jc w:val="left"/>
              <w:rPr>
                <w:u w:val="single"/>
              </w:rPr>
            </w:pPr>
            <w:r w:rsidRPr="001E5214" w:rsidDel="00D012EB">
              <w:rPr>
                <w:u w:val="single"/>
              </w:rPr>
              <w:t>PPL EU</w:t>
            </w:r>
          </w:p>
          <w:p w:rsidR="00F91070" w:rsidDel="00D012EB" w:rsidRDefault="00F91070" w:rsidP="00701DCF">
            <w:pPr>
              <w:spacing w:after="0"/>
              <w:jc w:val="left"/>
            </w:pPr>
            <w:r w:rsidDel="00D012EB">
              <w:t>Issuer Rating</w:t>
            </w:r>
          </w:p>
          <w:p w:rsidR="00F91070" w:rsidDel="00D012EB" w:rsidRDefault="00F91070" w:rsidP="00701DCF">
            <w:pPr>
              <w:spacing w:after="0"/>
              <w:jc w:val="left"/>
            </w:pPr>
            <w:r w:rsidDel="00D012EB">
              <w:t>Senior Secured/First Mortgage Bonds</w:t>
            </w:r>
          </w:p>
          <w:p w:rsidR="00F91070" w:rsidDel="00D012EB" w:rsidRDefault="00F91070" w:rsidP="00701DCF">
            <w:pPr>
              <w:spacing w:after="0"/>
              <w:jc w:val="left"/>
            </w:pPr>
            <w:r w:rsidDel="00D012EB">
              <w:t>Short-term/Commercial Paper</w:t>
            </w:r>
          </w:p>
          <w:p w:rsidR="00F91070" w:rsidDel="00D012EB" w:rsidRDefault="00F91070" w:rsidP="00701DCF">
            <w:pPr>
              <w:spacing w:after="0"/>
              <w:jc w:val="left"/>
            </w:pPr>
            <w:r w:rsidDel="00D012EB">
              <w:t>Outlook</w:t>
            </w:r>
          </w:p>
        </w:tc>
        <w:tc>
          <w:tcPr>
            <w:tcW w:w="1530" w:type="dxa"/>
          </w:tcPr>
          <w:p w:rsidR="00F91070" w:rsidDel="00D012EB" w:rsidRDefault="00F91070" w:rsidP="00701DCF">
            <w:pPr>
              <w:spacing w:after="0"/>
            </w:pPr>
          </w:p>
          <w:p w:rsidR="00F91070" w:rsidDel="00D012EB" w:rsidRDefault="00F91070" w:rsidP="00701DCF">
            <w:pPr>
              <w:spacing w:after="0"/>
            </w:pPr>
            <w:r w:rsidDel="00D012EB">
              <w:t>A-</w:t>
            </w:r>
          </w:p>
          <w:p w:rsidR="00F91070" w:rsidDel="00D012EB" w:rsidRDefault="00F91070" w:rsidP="00701DCF">
            <w:pPr>
              <w:spacing w:after="0"/>
            </w:pPr>
            <w:r w:rsidDel="00D012EB">
              <w:t>A</w:t>
            </w:r>
          </w:p>
          <w:p w:rsidR="00F91070" w:rsidDel="00D012EB" w:rsidRDefault="00F91070" w:rsidP="00701DCF">
            <w:pPr>
              <w:spacing w:after="0"/>
            </w:pPr>
            <w:r w:rsidDel="00D012EB">
              <w:t>A-2</w:t>
            </w:r>
          </w:p>
          <w:p w:rsidR="00F91070" w:rsidDel="00D012EB" w:rsidRDefault="00F91070" w:rsidP="00701DCF">
            <w:pPr>
              <w:spacing w:after="0"/>
            </w:pPr>
            <w:r w:rsidDel="00D012EB">
              <w:t>Stable</w:t>
            </w:r>
          </w:p>
        </w:tc>
        <w:tc>
          <w:tcPr>
            <w:tcW w:w="1800" w:type="dxa"/>
          </w:tcPr>
          <w:p w:rsidR="00F91070" w:rsidDel="00D012EB" w:rsidRDefault="00F91070" w:rsidP="00701DCF">
            <w:pPr>
              <w:spacing w:after="0"/>
            </w:pPr>
          </w:p>
          <w:p w:rsidR="00F91070" w:rsidDel="00D012EB" w:rsidRDefault="00F91070" w:rsidP="00701DCF">
            <w:pPr>
              <w:spacing w:after="0"/>
            </w:pPr>
            <w:r w:rsidDel="00D012EB">
              <w:t>A3</w:t>
            </w:r>
          </w:p>
          <w:p w:rsidR="00F91070" w:rsidDel="00D012EB" w:rsidRDefault="00F91070" w:rsidP="00701DCF">
            <w:pPr>
              <w:spacing w:after="0"/>
            </w:pPr>
            <w:r w:rsidDel="00D012EB">
              <w:t>A1</w:t>
            </w:r>
          </w:p>
          <w:p w:rsidR="00F91070" w:rsidDel="00D012EB" w:rsidRDefault="00F91070" w:rsidP="00701DCF">
            <w:pPr>
              <w:spacing w:after="0"/>
            </w:pPr>
            <w:r w:rsidDel="00D012EB">
              <w:t>P-2</w:t>
            </w:r>
          </w:p>
          <w:p w:rsidR="00F91070" w:rsidDel="00D012EB" w:rsidRDefault="00F91070" w:rsidP="00701DCF">
            <w:pPr>
              <w:spacing w:after="0"/>
            </w:pPr>
            <w:r w:rsidDel="00D012EB">
              <w:t>Stable</w:t>
            </w:r>
          </w:p>
        </w:tc>
      </w:tr>
      <w:tr w:rsidR="00F91070" w:rsidDel="00D012EB" w:rsidTr="00B47C78">
        <w:trPr>
          <w:cantSplit/>
          <w:jc w:val="center"/>
        </w:trPr>
        <w:tc>
          <w:tcPr>
            <w:tcW w:w="4273" w:type="dxa"/>
            <w:vAlign w:val="bottom"/>
          </w:tcPr>
          <w:p w:rsidR="00F91070" w:rsidDel="00D012EB" w:rsidRDefault="00F91070" w:rsidP="00701DCF">
            <w:pPr>
              <w:spacing w:after="0"/>
              <w:jc w:val="left"/>
              <w:rPr>
                <w:u w:val="single"/>
              </w:rPr>
            </w:pPr>
            <w:r w:rsidRPr="001E5214" w:rsidDel="00D012EB">
              <w:rPr>
                <w:u w:val="single"/>
              </w:rPr>
              <w:t>PPL Corporation</w:t>
            </w:r>
          </w:p>
          <w:p w:rsidR="00F91070" w:rsidDel="00D012EB" w:rsidRDefault="00F91070" w:rsidP="00701DCF">
            <w:pPr>
              <w:spacing w:after="0"/>
              <w:jc w:val="left"/>
            </w:pPr>
            <w:r w:rsidDel="00D012EB">
              <w:t>Issuer Rating</w:t>
            </w:r>
          </w:p>
          <w:p w:rsidR="00F91070" w:rsidDel="00D012EB" w:rsidRDefault="00F91070" w:rsidP="00701DCF">
            <w:pPr>
              <w:spacing w:after="0"/>
              <w:jc w:val="left"/>
            </w:pPr>
            <w:r w:rsidDel="00D012EB">
              <w:t>Short-term Issuer Rating</w:t>
            </w:r>
          </w:p>
          <w:p w:rsidR="00F91070" w:rsidRPr="001E5214" w:rsidDel="00D012EB" w:rsidRDefault="00F91070" w:rsidP="00701DCF">
            <w:pPr>
              <w:spacing w:after="0"/>
              <w:jc w:val="left"/>
            </w:pPr>
            <w:r w:rsidDel="00D012EB">
              <w:t>Outlook</w:t>
            </w:r>
          </w:p>
        </w:tc>
        <w:tc>
          <w:tcPr>
            <w:tcW w:w="1530" w:type="dxa"/>
          </w:tcPr>
          <w:p w:rsidR="00F91070" w:rsidDel="00D012EB" w:rsidRDefault="00F91070" w:rsidP="00701DCF">
            <w:pPr>
              <w:spacing w:after="0"/>
            </w:pPr>
          </w:p>
          <w:p w:rsidR="00F91070" w:rsidDel="00D012EB" w:rsidRDefault="00F91070" w:rsidP="00701DCF">
            <w:pPr>
              <w:spacing w:after="0"/>
            </w:pPr>
            <w:r w:rsidDel="00D012EB">
              <w:t>A-</w:t>
            </w:r>
          </w:p>
          <w:p w:rsidR="00F91070" w:rsidDel="00D012EB" w:rsidRDefault="00F91070" w:rsidP="00701DCF">
            <w:pPr>
              <w:spacing w:after="0"/>
            </w:pPr>
            <w:r w:rsidDel="00D012EB">
              <w:t>A-2</w:t>
            </w:r>
          </w:p>
          <w:p w:rsidR="00F91070" w:rsidDel="00D012EB" w:rsidRDefault="00F91070" w:rsidP="00701DCF">
            <w:pPr>
              <w:spacing w:after="0"/>
            </w:pPr>
            <w:r w:rsidDel="00D012EB">
              <w:t>Stable</w:t>
            </w:r>
          </w:p>
        </w:tc>
        <w:tc>
          <w:tcPr>
            <w:tcW w:w="1800" w:type="dxa"/>
          </w:tcPr>
          <w:p w:rsidR="00F91070" w:rsidDel="00D012EB" w:rsidRDefault="00F91070" w:rsidP="00701DCF">
            <w:pPr>
              <w:spacing w:after="0"/>
            </w:pPr>
          </w:p>
          <w:p w:rsidR="00F91070" w:rsidDel="00D012EB" w:rsidRDefault="00F91070" w:rsidP="00701DCF">
            <w:pPr>
              <w:spacing w:after="0"/>
            </w:pPr>
            <w:r w:rsidDel="00D012EB">
              <w:t>Baa2</w:t>
            </w:r>
          </w:p>
          <w:p w:rsidR="00F91070" w:rsidDel="00D012EB" w:rsidRDefault="00F91070" w:rsidP="00701DCF">
            <w:pPr>
              <w:spacing w:after="0"/>
            </w:pPr>
          </w:p>
          <w:p w:rsidR="00F91070" w:rsidDel="00D012EB" w:rsidRDefault="00F91070" w:rsidP="00701DCF">
            <w:pPr>
              <w:spacing w:after="0"/>
            </w:pPr>
            <w:r w:rsidDel="00D012EB">
              <w:t>Stable</w:t>
            </w:r>
          </w:p>
        </w:tc>
      </w:tr>
      <w:tr w:rsidR="00F91070" w:rsidDel="00D012EB" w:rsidTr="00B47C78">
        <w:trPr>
          <w:cantSplit/>
          <w:jc w:val="center"/>
        </w:trPr>
        <w:tc>
          <w:tcPr>
            <w:tcW w:w="4273" w:type="dxa"/>
            <w:vAlign w:val="bottom"/>
          </w:tcPr>
          <w:p w:rsidR="00F91070" w:rsidDel="00D012EB" w:rsidRDefault="00F91070" w:rsidP="00701DCF">
            <w:pPr>
              <w:spacing w:after="0"/>
              <w:jc w:val="left"/>
            </w:pPr>
            <w:r w:rsidDel="00D012EB">
              <w:t>Source:  DN 08-160</w:t>
            </w:r>
          </w:p>
        </w:tc>
        <w:tc>
          <w:tcPr>
            <w:tcW w:w="1530" w:type="dxa"/>
          </w:tcPr>
          <w:p w:rsidR="00F91070" w:rsidDel="00D012EB" w:rsidRDefault="00F91070" w:rsidP="00701DCF">
            <w:pPr>
              <w:spacing w:after="0"/>
            </w:pPr>
          </w:p>
        </w:tc>
        <w:tc>
          <w:tcPr>
            <w:tcW w:w="1800" w:type="dxa"/>
          </w:tcPr>
          <w:p w:rsidR="00F91070" w:rsidDel="00D012EB" w:rsidRDefault="00F91070" w:rsidP="00701DCF">
            <w:pPr>
              <w:spacing w:after="0"/>
            </w:pPr>
          </w:p>
        </w:tc>
      </w:tr>
    </w:tbl>
    <w:p w:rsidR="00F91070" w:rsidRPr="00B72F63" w:rsidDel="00D012EB" w:rsidRDefault="00F91070" w:rsidP="00701DCF">
      <w:pPr>
        <w:pStyle w:val="Normal-aftertable"/>
      </w:pPr>
      <w:r w:rsidDel="00D012EB">
        <w:t xml:space="preserve">PPL EU’s credit ratings from S&amp;P and Moody’s are investment grade (equal to, or better than BBB for S&amp;P or Baa for Moody’s) and equal to or better than the ratings of its affiliates in the United States and in the United Kingdom.  PPL EU’s rating outlook (Outlook), which indicates the direction a rating is likely to move over a one to two-year </w:t>
      </w:r>
      <w:r w:rsidDel="00D012EB">
        <w:lastRenderedPageBreak/>
        <w:t>period is stable, which means that a change in ratings is not indicated at the current time.</w:t>
      </w:r>
    </w:p>
    <w:p w:rsidR="00F91070" w:rsidRPr="00492242" w:rsidDel="00D012EB" w:rsidRDefault="00F91070" w:rsidP="00701DCF">
      <w:pPr>
        <w:rPr>
          <w:rFonts w:cs="Arial"/>
          <w:szCs w:val="24"/>
        </w:rPr>
      </w:pPr>
      <w:proofErr w:type="gramStart"/>
      <w:r w:rsidDel="00D012EB">
        <w:rPr>
          <w:b/>
        </w:rPr>
        <w:t>Cash Management</w:t>
      </w:r>
      <w:r w:rsidRPr="00AE3FB1" w:rsidDel="00D012EB">
        <w:rPr>
          <w:b/>
        </w:rPr>
        <w:t>.</w:t>
      </w:r>
      <w:proofErr w:type="gramEnd"/>
      <w:r w:rsidDel="00D012EB">
        <w:rPr>
          <w:b/>
        </w:rPr>
        <w:t xml:space="preserve">  </w:t>
      </w:r>
      <w:r w:rsidRPr="00570EFD" w:rsidDel="00D012EB">
        <w:t xml:space="preserve">The </w:t>
      </w:r>
      <w:r w:rsidDel="00D012EB">
        <w:t>money management, short-term borrowing, and short-term investing functions are the responsibility of PPL SC’s Director, Cash Management (Director), who is</w:t>
      </w:r>
      <w:r w:rsidRPr="003F7C9D" w:rsidDel="00D012EB">
        <w:rPr>
          <w:rFonts w:cs="Arial"/>
          <w:szCs w:val="24"/>
        </w:rPr>
        <w:t xml:space="preserve"> the liaison for the banks used by EU.</w:t>
      </w:r>
      <w:r w:rsidDel="00D012EB">
        <w:rPr>
          <w:rFonts w:cs="Arial"/>
          <w:szCs w:val="24"/>
        </w:rPr>
        <w:t xml:space="preserve">  The Director is supported by </w:t>
      </w:r>
      <w:r w:rsidDel="00D012EB">
        <w:t xml:space="preserve">a management staff of 15 and approximately 21 represented staff.  Contractors are utilized to transport mail from the post office to PPL SC’s Digital Mailroom at the company headquarters.  Cash remittances received at the Remittance Processing Center at the Company’s headquarters are for PPL EU and the PPL Corporation only. A remittance processing </w:t>
      </w:r>
      <w:proofErr w:type="gramStart"/>
      <w:r w:rsidDel="00D012EB">
        <w:t>service company</w:t>
      </w:r>
      <w:proofErr w:type="gramEnd"/>
      <w:r w:rsidDel="00D012EB">
        <w:t xml:space="preserve"> has been contracted to handle 10% of PPL EU’s remittances for the past two years.  This same service company </w:t>
      </w:r>
      <w:r w:rsidDel="00D012EB">
        <w:rPr>
          <w:rFonts w:cs="Arial"/>
          <w:szCs w:val="24"/>
        </w:rPr>
        <w:t>also processes remittances from the LKE operating companies.</w:t>
      </w:r>
    </w:p>
    <w:p w:rsidR="00F91070" w:rsidDel="00D012EB" w:rsidRDefault="00F91070" w:rsidP="00701DCF">
      <w:pPr>
        <w:rPr>
          <w:rFonts w:cs="Arial"/>
          <w:szCs w:val="24"/>
        </w:rPr>
      </w:pPr>
      <w:r w:rsidDel="00D012EB">
        <w:rPr>
          <w:rFonts w:cs="Arial"/>
          <w:szCs w:val="24"/>
        </w:rPr>
        <w:t xml:space="preserve">The Digital Mailroom handles cash receipts processing and invoice capture.  Cash receipts come in through the mail (four deliveries of mail per day), with the first mail delivery at 3:00 AM and the mail processing beginning at 3:30 AM.  The Digital Mailroom operates five days a week, with Monday being the busiest day, requiring the staff to work 10 hours.  The other four days are 7.5-hour work days.  Payments received in the Digital Mailroom represent 48% of the total PPL EU customer payments.  The other 52% of payments are made through third-party companies, telephonically, electronically though the customers’ </w:t>
      </w:r>
      <w:proofErr w:type="gramStart"/>
      <w:r w:rsidDel="00D012EB">
        <w:rPr>
          <w:rFonts w:cs="Arial"/>
          <w:szCs w:val="24"/>
        </w:rPr>
        <w:t>bill pay</w:t>
      </w:r>
      <w:proofErr w:type="gramEnd"/>
      <w:r w:rsidDel="00D012EB">
        <w:rPr>
          <w:rFonts w:cs="Arial"/>
          <w:szCs w:val="24"/>
        </w:rPr>
        <w:t xml:space="preserve"> services or through the company’s web site.</w:t>
      </w:r>
    </w:p>
    <w:p w:rsidR="00F91070" w:rsidDel="00D012EB" w:rsidRDefault="00F91070" w:rsidP="00701DCF">
      <w:pPr>
        <w:rPr>
          <w:rFonts w:cs="Arial"/>
          <w:szCs w:val="24"/>
        </w:rPr>
      </w:pPr>
      <w:r w:rsidDel="00D012EB">
        <w:rPr>
          <w:rFonts w:cs="Arial"/>
          <w:szCs w:val="24"/>
        </w:rPr>
        <w:t xml:space="preserve">An OPEX Eagle machine is used to process the mail and can generally process a full mail delivery compliment in a single day.  If needed, an older processing machine is available for use as a backup.  Customer accounts are credited with the payment the same day as processed through the Digital Mailroom.  The Accounts Receivable group will individually handle all issues or problems with customer payments that could not be processed electronically.  </w:t>
      </w:r>
    </w:p>
    <w:p w:rsidR="00F91070" w:rsidDel="00D012EB" w:rsidRDefault="00F91070" w:rsidP="00701DCF">
      <w:pPr>
        <w:rPr>
          <w:rFonts w:cs="Arial"/>
          <w:szCs w:val="24"/>
        </w:rPr>
      </w:pPr>
      <w:r w:rsidDel="00D012EB">
        <w:rPr>
          <w:rFonts w:cs="Arial"/>
          <w:szCs w:val="24"/>
        </w:rPr>
        <w:t>Invoices arriving by mail are also handled in the Digital Mailroom.  When received, the invoices, in whatever format the vendor provides, are scanned into the Accounts Payable system.  From 60% to 65% of all invoices come in electronically.  Once received</w:t>
      </w:r>
      <w:r>
        <w:rPr>
          <w:rFonts w:cs="Arial"/>
          <w:szCs w:val="24"/>
        </w:rPr>
        <w:t>,</w:t>
      </w:r>
      <w:r w:rsidDel="00D012EB">
        <w:rPr>
          <w:rFonts w:cs="Arial"/>
          <w:szCs w:val="24"/>
        </w:rPr>
        <w:t xml:space="preserve"> a three-way matching is performed</w:t>
      </w:r>
      <w:r>
        <w:rPr>
          <w:rFonts w:cs="Arial"/>
          <w:szCs w:val="24"/>
        </w:rPr>
        <w:t>,</w:t>
      </w:r>
      <w:r w:rsidDel="00D012EB">
        <w:rPr>
          <w:rFonts w:cs="Arial"/>
          <w:szCs w:val="24"/>
        </w:rPr>
        <w:t xml:space="preserve"> and approvals for payment are made on-line.  There are no delays in the Accounts Payable process.  </w:t>
      </w:r>
    </w:p>
    <w:p w:rsidR="00F91070" w:rsidDel="00D012EB" w:rsidRDefault="00F91070" w:rsidP="00701DCF">
      <w:pPr>
        <w:rPr>
          <w:rFonts w:cs="Arial"/>
          <w:szCs w:val="24"/>
        </w:rPr>
      </w:pPr>
      <w:r w:rsidDel="00D012EB">
        <w:rPr>
          <w:rFonts w:cs="Arial"/>
          <w:szCs w:val="24"/>
        </w:rPr>
        <w:t>The T-Recs Enterprise System is used by this work group for bank reconciliations.  This system receives manual inputs from PPL’s general ledger and electronic files from banks.  This work group uses matching to resolve exceptions, receives alerts for unmatched items, and prints out monthly reconciliation statements that are used to research variances.</w:t>
      </w:r>
    </w:p>
    <w:p w:rsidR="00F91070" w:rsidDel="00D012EB" w:rsidRDefault="00F91070" w:rsidP="00701DCF">
      <w:pPr>
        <w:rPr>
          <w:rFonts w:cs="Arial"/>
          <w:szCs w:val="24"/>
        </w:rPr>
      </w:pPr>
      <w:r w:rsidDel="00D012EB">
        <w:rPr>
          <w:rFonts w:cs="Arial"/>
          <w:szCs w:val="24"/>
        </w:rPr>
        <w:t>The Wallstreet system is used as PPL SC’s treasury workstation. Current cash balances load into the Treasury Risk Management (TRM) module of Wallstreet allowing daily cash positioning to be performed on all operating accounts.  After the cash positioning is complete, all transactional movements, including investment purchases and intercompany loans, are sent to the Cash Management Module (CMM) and released to Treasury’s disbursing engine for payment.</w:t>
      </w:r>
    </w:p>
    <w:p w:rsidR="00F91070" w:rsidDel="00D012EB" w:rsidRDefault="00F91070" w:rsidP="00701DCF">
      <w:pPr>
        <w:rPr>
          <w:rFonts w:cs="Arial"/>
          <w:szCs w:val="24"/>
        </w:rPr>
      </w:pPr>
      <w:r w:rsidDel="00D012EB">
        <w:rPr>
          <w:rFonts w:cs="Arial"/>
          <w:szCs w:val="24"/>
        </w:rPr>
        <w:lastRenderedPageBreak/>
        <w:t xml:space="preserve">PPL EU maintains that it is not a member of a money pool, and currently is not party to any intra-company loans.  </w:t>
      </w:r>
      <w:r>
        <w:rPr>
          <w:rFonts w:cs="Arial"/>
          <w:szCs w:val="24"/>
        </w:rPr>
        <w:t>See Chapter IV Affiliate Relations f</w:t>
      </w:r>
      <w:r w:rsidDel="00D012EB">
        <w:rPr>
          <w:rFonts w:cs="Arial"/>
          <w:szCs w:val="24"/>
        </w:rPr>
        <w:t>or more information on PPL EU’s relationship with its affiliates.</w:t>
      </w:r>
    </w:p>
    <w:p w:rsidR="00F91070" w:rsidDel="00D012EB" w:rsidRDefault="00F91070" w:rsidP="00701DCF">
      <w:pPr>
        <w:rPr>
          <w:rFonts w:cs="Arial"/>
          <w:szCs w:val="24"/>
        </w:rPr>
      </w:pPr>
      <w:r w:rsidDel="00D012EB">
        <w:rPr>
          <w:rFonts w:cs="Arial"/>
          <w:szCs w:val="24"/>
        </w:rPr>
        <w:t>There is a loan agreement in place between CEP Reserves, Inc. as the lender and PPL EUS as the borrower.  The demand note is for $100,000,000 to be used for working capital needs and carries an interest rate equal to the one month London Interbank Offered Rate (LIBOR) + an applicable percentage.  The applicable percentage to be added to LIBOR is based on the borrower’s highest credit rating between S&amp;P and Moody’s on the day of the loan unless the ratings are two or more levels apart.  Then, the interest rate that would be used would be the rate applicable for one level below the higher of the two ratings.   The schedule of credit ratings and applicable interest rates are shown on the following table.</w:t>
      </w:r>
    </w:p>
    <w:p w:rsidR="00F91070" w:rsidDel="00D012EB" w:rsidRDefault="00AD2223" w:rsidP="00AD2223">
      <w:pPr>
        <w:pStyle w:val="Caption"/>
      </w:pPr>
      <w:bookmarkStart w:id="101" w:name="_Toc464552960"/>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2F6183">
        <w:br/>
      </w:r>
      <w:r w:rsidR="00F91070" w:rsidDel="00D012EB">
        <w:t>Credit Ratings and Applicable Interest Rates</w:t>
      </w:r>
      <w:bookmarkEnd w:id="1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7"/>
        <w:gridCol w:w="2388"/>
        <w:gridCol w:w="1530"/>
      </w:tblGrid>
      <w:tr w:rsidR="00F91070" w:rsidRPr="006304A4" w:rsidDel="00D012EB" w:rsidTr="00F91070">
        <w:trPr>
          <w:cantSplit/>
          <w:tblHeader/>
          <w:jc w:val="center"/>
        </w:trPr>
        <w:tc>
          <w:tcPr>
            <w:tcW w:w="0" w:type="auto"/>
            <w:shd w:val="clear" w:color="auto" w:fill="A5CD7E"/>
            <w:vAlign w:val="center"/>
          </w:tcPr>
          <w:p w:rsidR="00F91070" w:rsidRPr="00801D91" w:rsidDel="00D012EB" w:rsidRDefault="00F91070" w:rsidP="006304A4">
            <w:pPr>
              <w:spacing w:before="120"/>
              <w:jc w:val="center"/>
              <w:rPr>
                <w:b/>
              </w:rPr>
            </w:pPr>
            <w:r w:rsidRPr="00801D91" w:rsidDel="00D012EB">
              <w:rPr>
                <w:b/>
              </w:rPr>
              <w:t>Credit Category</w:t>
            </w:r>
          </w:p>
        </w:tc>
        <w:tc>
          <w:tcPr>
            <w:tcW w:w="2388" w:type="dxa"/>
            <w:shd w:val="clear" w:color="auto" w:fill="A5CD7E"/>
            <w:vAlign w:val="center"/>
          </w:tcPr>
          <w:p w:rsidR="00F91070" w:rsidRPr="00801D91" w:rsidDel="00D012EB" w:rsidRDefault="00F91070" w:rsidP="006304A4">
            <w:pPr>
              <w:spacing w:before="120"/>
              <w:jc w:val="center"/>
              <w:rPr>
                <w:b/>
              </w:rPr>
            </w:pPr>
            <w:r w:rsidRPr="00801D91" w:rsidDel="00D012EB">
              <w:rPr>
                <w:b/>
              </w:rPr>
              <w:t>Borrower’s Rating</w:t>
            </w:r>
            <w:r w:rsidRPr="00801D91" w:rsidDel="00D012EB">
              <w:rPr>
                <w:b/>
              </w:rPr>
              <w:br/>
              <w:t>(S&amp;P/Moody’s)</w:t>
            </w:r>
          </w:p>
        </w:tc>
        <w:tc>
          <w:tcPr>
            <w:tcW w:w="1530" w:type="dxa"/>
            <w:shd w:val="clear" w:color="auto" w:fill="A5CD7E"/>
            <w:vAlign w:val="center"/>
          </w:tcPr>
          <w:p w:rsidR="00F91070" w:rsidRPr="00801D91" w:rsidDel="00D012EB" w:rsidRDefault="00F91070" w:rsidP="006304A4">
            <w:pPr>
              <w:spacing w:before="120"/>
              <w:jc w:val="center"/>
              <w:rPr>
                <w:b/>
              </w:rPr>
            </w:pPr>
            <w:r w:rsidRPr="00801D91" w:rsidDel="00D012EB">
              <w:rPr>
                <w:b/>
              </w:rPr>
              <w:t>Applicable</w:t>
            </w:r>
            <w:r w:rsidRPr="00801D91" w:rsidDel="00D012EB">
              <w:rPr>
                <w:b/>
              </w:rPr>
              <w:br/>
              <w:t>Percentage</w:t>
            </w:r>
            <w:r w:rsidRPr="00801D91" w:rsidDel="00D012EB">
              <w:rPr>
                <w:b/>
              </w:rPr>
              <w:br/>
              <w:t>For Loans</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A</w:t>
            </w:r>
          </w:p>
        </w:tc>
        <w:tc>
          <w:tcPr>
            <w:tcW w:w="2388" w:type="dxa"/>
            <w:vAlign w:val="center"/>
          </w:tcPr>
          <w:p w:rsidR="00F91070" w:rsidDel="00D012EB" w:rsidRDefault="00F91070" w:rsidP="00701DCF">
            <w:pPr>
              <w:spacing w:after="0"/>
              <w:jc w:val="center"/>
            </w:pPr>
            <w:r w:rsidRPr="008333A2" w:rsidDel="00D012EB">
              <w:rPr>
                <w:u w:val="single"/>
              </w:rPr>
              <w:t>&gt;</w:t>
            </w:r>
            <w:r w:rsidDel="00D012EB">
              <w:t xml:space="preserve"> </w:t>
            </w:r>
            <w:r w:rsidRPr="008333A2" w:rsidDel="00D012EB">
              <w:t>A</w:t>
            </w:r>
            <w:r w:rsidDel="00D012EB">
              <w:t>+ from S&amp;P</w:t>
            </w:r>
          </w:p>
          <w:p w:rsidR="00F91070" w:rsidRPr="008333A2" w:rsidDel="00D012EB" w:rsidRDefault="00F91070" w:rsidP="00701DCF">
            <w:pPr>
              <w:spacing w:after="0"/>
              <w:jc w:val="center"/>
            </w:pPr>
            <w:r w:rsidRPr="008333A2" w:rsidDel="00D012EB">
              <w:t>A1</w:t>
            </w:r>
            <w:r w:rsidDel="00D012EB">
              <w:t xml:space="preserve"> from Moody’s</w:t>
            </w:r>
          </w:p>
        </w:tc>
        <w:tc>
          <w:tcPr>
            <w:tcW w:w="1530" w:type="dxa"/>
            <w:vAlign w:val="center"/>
          </w:tcPr>
          <w:p w:rsidR="00F91070" w:rsidRPr="008C5B8F" w:rsidDel="00D012EB" w:rsidRDefault="00F91070" w:rsidP="00701DCF">
            <w:pPr>
              <w:spacing w:after="0"/>
              <w:jc w:val="center"/>
            </w:pPr>
            <w:r w:rsidDel="00D012EB">
              <w:t>0.875%</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B</w:t>
            </w:r>
          </w:p>
        </w:tc>
        <w:tc>
          <w:tcPr>
            <w:tcW w:w="2388" w:type="dxa"/>
            <w:vAlign w:val="center"/>
          </w:tcPr>
          <w:p w:rsidR="00F91070" w:rsidDel="00D012EB" w:rsidRDefault="00F91070" w:rsidP="00701DCF">
            <w:pPr>
              <w:spacing w:after="0"/>
              <w:jc w:val="center"/>
            </w:pPr>
            <w:r w:rsidRPr="008333A2" w:rsidDel="00D012EB">
              <w:t>A</w:t>
            </w:r>
            <w:r w:rsidDel="00D012EB">
              <w:t xml:space="preserve"> from S&amp;P</w:t>
            </w:r>
          </w:p>
          <w:p w:rsidR="00F91070" w:rsidRPr="008C5B8F" w:rsidDel="00D012EB" w:rsidRDefault="00F91070" w:rsidP="00701DCF">
            <w:pPr>
              <w:spacing w:after="0"/>
              <w:jc w:val="center"/>
            </w:pPr>
            <w:r w:rsidRPr="008C5B8F" w:rsidDel="00D012EB">
              <w:t>A2 from Moody’s</w:t>
            </w:r>
          </w:p>
        </w:tc>
        <w:tc>
          <w:tcPr>
            <w:tcW w:w="1530" w:type="dxa"/>
            <w:vAlign w:val="center"/>
          </w:tcPr>
          <w:p w:rsidR="00F91070" w:rsidRPr="008C5B8F" w:rsidDel="00D012EB" w:rsidRDefault="00F91070" w:rsidP="00701DCF">
            <w:pPr>
              <w:spacing w:after="0"/>
              <w:jc w:val="center"/>
            </w:pPr>
            <w:r w:rsidDel="00D012EB">
              <w:t>1.000%</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C</w:t>
            </w:r>
          </w:p>
        </w:tc>
        <w:tc>
          <w:tcPr>
            <w:tcW w:w="2388" w:type="dxa"/>
            <w:vAlign w:val="center"/>
          </w:tcPr>
          <w:p w:rsidR="00F91070" w:rsidDel="00D012EB" w:rsidRDefault="00F91070" w:rsidP="00701DCF">
            <w:pPr>
              <w:spacing w:after="0"/>
              <w:jc w:val="center"/>
            </w:pPr>
            <w:r w:rsidRPr="003640E3" w:rsidDel="00D012EB">
              <w:t>A- from S&amp;P</w:t>
            </w:r>
          </w:p>
          <w:p w:rsidR="00F91070" w:rsidRPr="008C5B8F" w:rsidDel="00D012EB" w:rsidRDefault="00F91070" w:rsidP="00701DCF">
            <w:pPr>
              <w:spacing w:after="0"/>
              <w:jc w:val="center"/>
            </w:pPr>
            <w:r w:rsidDel="00D012EB">
              <w:t>A3</w:t>
            </w:r>
            <w:r w:rsidRPr="008C5B8F" w:rsidDel="00D012EB">
              <w:t xml:space="preserve"> from Moody’s</w:t>
            </w:r>
          </w:p>
        </w:tc>
        <w:tc>
          <w:tcPr>
            <w:tcW w:w="1530" w:type="dxa"/>
            <w:vAlign w:val="center"/>
          </w:tcPr>
          <w:p w:rsidR="00F91070" w:rsidRPr="008C5B8F" w:rsidDel="00D012EB" w:rsidRDefault="00F91070" w:rsidP="00701DCF">
            <w:pPr>
              <w:spacing w:after="0"/>
              <w:jc w:val="center"/>
            </w:pPr>
            <w:r w:rsidDel="00D012EB">
              <w:t>1.125%</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D</w:t>
            </w:r>
          </w:p>
        </w:tc>
        <w:tc>
          <w:tcPr>
            <w:tcW w:w="2388" w:type="dxa"/>
            <w:vAlign w:val="center"/>
          </w:tcPr>
          <w:p w:rsidR="00F91070" w:rsidDel="00D012EB" w:rsidRDefault="00F91070" w:rsidP="00701DCF">
            <w:pPr>
              <w:spacing w:after="0"/>
              <w:jc w:val="center"/>
            </w:pPr>
            <w:r w:rsidDel="00D012EB">
              <w:t>BBB+ from S&amp;P</w:t>
            </w:r>
          </w:p>
          <w:p w:rsidR="00F91070" w:rsidRPr="008C5B8F" w:rsidDel="00D012EB" w:rsidRDefault="00F91070" w:rsidP="00701DCF">
            <w:pPr>
              <w:spacing w:after="0"/>
              <w:jc w:val="center"/>
            </w:pPr>
            <w:r w:rsidDel="00D012EB">
              <w:t>Baa</w:t>
            </w:r>
            <w:r w:rsidRPr="008C5B8F" w:rsidDel="00D012EB">
              <w:t>1 from Moody’s</w:t>
            </w:r>
          </w:p>
        </w:tc>
        <w:tc>
          <w:tcPr>
            <w:tcW w:w="1530" w:type="dxa"/>
            <w:vAlign w:val="center"/>
          </w:tcPr>
          <w:p w:rsidR="00F91070" w:rsidRPr="008C5B8F" w:rsidDel="00D012EB" w:rsidRDefault="00F91070" w:rsidP="00701DCF">
            <w:pPr>
              <w:spacing w:after="0"/>
              <w:jc w:val="center"/>
            </w:pPr>
            <w:r w:rsidRPr="003640E3" w:rsidDel="00D012EB">
              <w:t>1.250%</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E</w:t>
            </w:r>
          </w:p>
        </w:tc>
        <w:tc>
          <w:tcPr>
            <w:tcW w:w="2388" w:type="dxa"/>
            <w:vAlign w:val="center"/>
          </w:tcPr>
          <w:p w:rsidR="00F91070" w:rsidDel="00D012EB" w:rsidRDefault="00F91070" w:rsidP="00701DCF">
            <w:pPr>
              <w:spacing w:after="0"/>
              <w:jc w:val="center"/>
            </w:pPr>
            <w:r w:rsidRPr="008C5B8F" w:rsidDel="00D012EB">
              <w:t>BBB</w:t>
            </w:r>
            <w:r w:rsidDel="00D012EB">
              <w:t xml:space="preserve"> from S&amp;P</w:t>
            </w:r>
          </w:p>
          <w:p w:rsidR="00F91070" w:rsidRPr="008C5B8F" w:rsidDel="00D012EB" w:rsidRDefault="00F91070" w:rsidP="00701DCF">
            <w:pPr>
              <w:spacing w:after="0"/>
              <w:jc w:val="center"/>
            </w:pPr>
            <w:r w:rsidRPr="003640E3" w:rsidDel="00D012EB">
              <w:t>Baa2</w:t>
            </w:r>
            <w:r w:rsidRPr="008C5B8F" w:rsidDel="00D012EB">
              <w:t xml:space="preserve"> from Moody’s</w:t>
            </w:r>
          </w:p>
        </w:tc>
        <w:tc>
          <w:tcPr>
            <w:tcW w:w="1530" w:type="dxa"/>
            <w:vAlign w:val="center"/>
          </w:tcPr>
          <w:p w:rsidR="00F91070" w:rsidRPr="008C5B8F" w:rsidDel="00D012EB" w:rsidRDefault="00F91070" w:rsidP="00701DCF">
            <w:pPr>
              <w:spacing w:after="0"/>
              <w:jc w:val="center"/>
            </w:pPr>
            <w:r w:rsidDel="00D012EB">
              <w:t>1.500%</w:t>
            </w:r>
          </w:p>
        </w:tc>
      </w:tr>
      <w:tr w:rsidR="00F91070" w:rsidDel="00D012EB" w:rsidTr="00701DCF">
        <w:trPr>
          <w:jc w:val="center"/>
        </w:trPr>
        <w:tc>
          <w:tcPr>
            <w:tcW w:w="0" w:type="auto"/>
            <w:vAlign w:val="center"/>
          </w:tcPr>
          <w:p w:rsidR="00F91070" w:rsidRPr="008C5B8F" w:rsidDel="00D012EB" w:rsidRDefault="00F91070" w:rsidP="00701DCF">
            <w:pPr>
              <w:spacing w:after="0"/>
              <w:jc w:val="left"/>
            </w:pPr>
            <w:r w:rsidRPr="008C5B8F" w:rsidDel="00D012EB">
              <w:t>Category F</w:t>
            </w:r>
          </w:p>
        </w:tc>
        <w:tc>
          <w:tcPr>
            <w:tcW w:w="2388" w:type="dxa"/>
            <w:vAlign w:val="center"/>
          </w:tcPr>
          <w:p w:rsidR="00F91070" w:rsidDel="00D012EB" w:rsidRDefault="00F91070" w:rsidP="00701DCF">
            <w:pPr>
              <w:spacing w:after="0"/>
              <w:jc w:val="center"/>
            </w:pPr>
            <w:r w:rsidDel="00D012EB">
              <w:rPr>
                <w:u w:val="single"/>
              </w:rPr>
              <w:t>&lt;</w:t>
            </w:r>
            <w:r w:rsidDel="00D012EB">
              <w:t xml:space="preserve"> BBB- from S&amp;P</w:t>
            </w:r>
          </w:p>
          <w:p w:rsidR="00F91070" w:rsidRPr="008C5B8F" w:rsidDel="00D012EB" w:rsidRDefault="00F91070" w:rsidP="00701DCF">
            <w:pPr>
              <w:spacing w:after="0"/>
              <w:jc w:val="center"/>
            </w:pPr>
            <w:r w:rsidDel="00D012EB">
              <w:t>Baa3</w:t>
            </w:r>
            <w:r w:rsidRPr="008C5B8F" w:rsidDel="00D012EB">
              <w:t xml:space="preserve"> from Moody’s</w:t>
            </w:r>
          </w:p>
        </w:tc>
        <w:tc>
          <w:tcPr>
            <w:tcW w:w="1530" w:type="dxa"/>
            <w:vAlign w:val="center"/>
          </w:tcPr>
          <w:p w:rsidR="00F91070" w:rsidRPr="008C5B8F" w:rsidDel="00D012EB" w:rsidRDefault="00F91070" w:rsidP="00701DCF">
            <w:pPr>
              <w:spacing w:after="0"/>
              <w:jc w:val="center"/>
            </w:pPr>
            <w:r w:rsidDel="00D012EB">
              <w:t>1.625%</w:t>
            </w:r>
          </w:p>
        </w:tc>
      </w:tr>
      <w:tr w:rsidR="00F91070" w:rsidDel="00D012EB" w:rsidTr="00701DCF">
        <w:trPr>
          <w:jc w:val="center"/>
        </w:trPr>
        <w:tc>
          <w:tcPr>
            <w:tcW w:w="5935" w:type="dxa"/>
            <w:gridSpan w:val="3"/>
            <w:vAlign w:val="center"/>
          </w:tcPr>
          <w:p w:rsidR="00F91070" w:rsidDel="00D012EB" w:rsidRDefault="00F91070" w:rsidP="00701DCF">
            <w:pPr>
              <w:spacing w:after="0"/>
              <w:jc w:val="left"/>
            </w:pPr>
            <w:r>
              <w:t>Source:  DN 08-112</w:t>
            </w:r>
          </w:p>
        </w:tc>
      </w:tr>
    </w:tbl>
    <w:p w:rsidR="00F91070" w:rsidDel="00D012EB" w:rsidRDefault="00F91070" w:rsidP="00701DCF">
      <w:pPr>
        <w:pStyle w:val="Normal-aftertable"/>
      </w:pPr>
      <w:r w:rsidDel="00D012EB">
        <w:t>At the time of this report, PPL EU has a credit rating of A- from S&amp;P and a rating of A3 from Moody’s, which places the company in Credit Category C.  Therefore, if a loan was made, it would carry an interest rate of LIBOR plus the interest rate applicable to Category C, or 1.125%.</w:t>
      </w:r>
    </w:p>
    <w:p w:rsidR="00F91070" w:rsidDel="00D012EB" w:rsidRDefault="00F91070" w:rsidP="00701DCF">
      <w:pPr>
        <w:rPr>
          <w:rFonts w:cs="Arial"/>
          <w:szCs w:val="24"/>
        </w:rPr>
      </w:pPr>
      <w:r w:rsidDel="00D012EB">
        <w:rPr>
          <w:rFonts w:cs="Arial"/>
          <w:szCs w:val="24"/>
        </w:rPr>
        <w:t xml:space="preserve">Company liquidity is supported by a $300 million syndicated credit facility, which is used primarily to support PPL EU’s $300 million commercial paper program and to issue letters of credit.  The commercial paper program has a P-2 rating from Moody’s and an A-2 rating from S&amp;P.  This program has an average interest rate cost of 43 basis points for 1-week money and 38 basis points for overnight money. A review of outstanding transactions for a recent date showed that PPL EU had issued commercial paper with three different dealers for a total of $168 million at an average interest rate of 0.4338.  The loan amount commitment from each of the lenders for PPL EU’s syndicated credit </w:t>
      </w:r>
      <w:proofErr w:type="gramStart"/>
      <w:r w:rsidDel="00D012EB">
        <w:rPr>
          <w:rFonts w:cs="Arial"/>
          <w:szCs w:val="24"/>
        </w:rPr>
        <w:t>facility,</w:t>
      </w:r>
      <w:proofErr w:type="gramEnd"/>
      <w:r w:rsidDel="00D012EB">
        <w:rPr>
          <w:rFonts w:cs="Arial"/>
          <w:szCs w:val="24"/>
        </w:rPr>
        <w:t xml:space="preserve"> is shown on the following exhibit.</w:t>
      </w:r>
    </w:p>
    <w:p w:rsidR="00F91070" w:rsidDel="00D012EB" w:rsidRDefault="00AD2223" w:rsidP="00AD2223">
      <w:pPr>
        <w:pStyle w:val="Caption"/>
      </w:pPr>
      <w:bookmarkStart w:id="102" w:name="_Toc464552961"/>
      <w:r>
        <w:lastRenderedPageBreak/>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2F6183">
        <w:br/>
      </w:r>
      <w:r w:rsidR="00F91070" w:rsidDel="00D012EB">
        <w:t>$300,000,000 Revolving Credit Agreement Commitments</w:t>
      </w:r>
      <w:bookmarkEnd w:id="1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0"/>
        <w:gridCol w:w="2515"/>
      </w:tblGrid>
      <w:tr w:rsidR="00F91070" w:rsidRPr="006304A4" w:rsidDel="00D012EB" w:rsidTr="00F91070">
        <w:trPr>
          <w:cantSplit/>
          <w:tblHeader/>
          <w:jc w:val="center"/>
        </w:trPr>
        <w:tc>
          <w:tcPr>
            <w:tcW w:w="4500" w:type="dxa"/>
            <w:shd w:val="clear" w:color="auto" w:fill="A5CD7E"/>
            <w:vAlign w:val="bottom"/>
          </w:tcPr>
          <w:p w:rsidR="00F91070" w:rsidRPr="00E73265" w:rsidDel="00D012EB" w:rsidRDefault="00F91070" w:rsidP="006304A4">
            <w:pPr>
              <w:spacing w:before="120"/>
              <w:jc w:val="center"/>
              <w:rPr>
                <w:b/>
              </w:rPr>
            </w:pPr>
            <w:r w:rsidRPr="00E73265" w:rsidDel="00D012EB">
              <w:rPr>
                <w:b/>
              </w:rPr>
              <w:t>Lender</w:t>
            </w:r>
          </w:p>
        </w:tc>
        <w:tc>
          <w:tcPr>
            <w:tcW w:w="2515" w:type="dxa"/>
            <w:shd w:val="clear" w:color="auto" w:fill="A5CD7E"/>
            <w:vAlign w:val="bottom"/>
          </w:tcPr>
          <w:p w:rsidR="00F91070" w:rsidRPr="00E73265" w:rsidDel="00D012EB" w:rsidRDefault="00F91070" w:rsidP="006304A4">
            <w:pPr>
              <w:spacing w:before="120"/>
              <w:jc w:val="center"/>
              <w:rPr>
                <w:b/>
              </w:rPr>
            </w:pPr>
            <w:r w:rsidRPr="00E73265" w:rsidDel="00D012EB">
              <w:rPr>
                <w:b/>
              </w:rPr>
              <w:t>Commitment</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Wells Fargo Bank, National Association</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Bank of America, N.A.</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The Royal Bank of Scotland plc</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Citibank, N.A.</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JPMorgan Chase Bank, N.A.</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Morgan Stanley Bank, N.A.</w:t>
            </w:r>
          </w:p>
        </w:tc>
        <w:tc>
          <w:tcPr>
            <w:tcW w:w="2515" w:type="dxa"/>
            <w:vAlign w:val="bottom"/>
          </w:tcPr>
          <w:p w:rsidR="00F91070" w:rsidDel="00D012EB" w:rsidRDefault="00F91070" w:rsidP="00701DCF">
            <w:pPr>
              <w:spacing w:after="0"/>
              <w:jc w:val="center"/>
            </w:pPr>
            <w:r w:rsidDel="00D012EB">
              <w:t>$18,500,000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Barclays Bank PLC</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BNP Paribas</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Canadian Imperial Bank of Commerce</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Credit Suisse AG, Cayman Islands Branch</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Goldman Sachs Bank USA</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Mizuho Bank, Ltd.</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Royal Bank of Canada</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Sun Trust Bank</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The Bank of Nova Scotia</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The Bank of Tokyo-Mitsubishi UFJ, Ltd.</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UBS AG, Stamford Branch</w:t>
            </w:r>
          </w:p>
        </w:tc>
        <w:tc>
          <w:tcPr>
            <w:tcW w:w="2515" w:type="dxa"/>
            <w:vAlign w:val="bottom"/>
          </w:tcPr>
          <w:p w:rsidR="00F91070" w:rsidDel="00D012EB" w:rsidRDefault="00F91070" w:rsidP="00701DCF">
            <w:pPr>
              <w:spacing w:after="0"/>
              <w:jc w:val="center"/>
            </w:pPr>
            <w:r w:rsidDel="00D012EB">
              <w:t>$15,000,000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PNC Bank, National Association</w:t>
            </w:r>
          </w:p>
        </w:tc>
        <w:tc>
          <w:tcPr>
            <w:tcW w:w="2515" w:type="dxa"/>
            <w:vAlign w:val="bottom"/>
          </w:tcPr>
          <w:p w:rsidR="00F91070" w:rsidDel="00D012EB" w:rsidRDefault="00F91070" w:rsidP="00701DCF">
            <w:pPr>
              <w:spacing w:after="0"/>
              <w:jc w:val="center"/>
            </w:pPr>
            <w:r w:rsidDel="00D012EB">
              <w:t>$  8,000,000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The Bank of New York Mellon</w:t>
            </w:r>
          </w:p>
        </w:tc>
        <w:tc>
          <w:tcPr>
            <w:tcW w:w="2515" w:type="dxa"/>
            <w:vAlign w:val="bottom"/>
          </w:tcPr>
          <w:p w:rsidR="00F91070" w:rsidDel="00D012EB" w:rsidRDefault="00F91070" w:rsidP="00701DCF">
            <w:pPr>
              <w:spacing w:after="0"/>
              <w:jc w:val="center"/>
            </w:pPr>
            <w:r w:rsidDel="00D012EB">
              <w:t>$  8,000,000</w:t>
            </w:r>
          </w:p>
        </w:tc>
      </w:tr>
      <w:tr w:rsidR="00F91070" w:rsidDel="00D012EB" w:rsidTr="00234825">
        <w:trPr>
          <w:jc w:val="center"/>
        </w:trPr>
        <w:tc>
          <w:tcPr>
            <w:tcW w:w="4500" w:type="dxa"/>
            <w:vAlign w:val="center"/>
          </w:tcPr>
          <w:p w:rsidR="00F91070" w:rsidDel="00D012EB" w:rsidRDefault="00F91070" w:rsidP="00234825">
            <w:pPr>
              <w:spacing w:after="0"/>
              <w:jc w:val="left"/>
            </w:pPr>
            <w:r w:rsidDel="00D012EB">
              <w:t>U.S. Bank National Association</w:t>
            </w:r>
          </w:p>
        </w:tc>
        <w:tc>
          <w:tcPr>
            <w:tcW w:w="2515" w:type="dxa"/>
            <w:vAlign w:val="bottom"/>
          </w:tcPr>
          <w:p w:rsidR="00F91070" w:rsidDel="00D012EB" w:rsidRDefault="00F91070" w:rsidP="00701DCF">
            <w:pPr>
              <w:spacing w:after="0"/>
              <w:jc w:val="center"/>
            </w:pPr>
            <w:r w:rsidDel="00D012EB">
              <w:t>$  8,000,000</w:t>
            </w:r>
          </w:p>
        </w:tc>
      </w:tr>
      <w:tr w:rsidR="00F91070" w:rsidDel="00D012EB" w:rsidTr="00701DCF">
        <w:trPr>
          <w:jc w:val="center"/>
        </w:trPr>
        <w:tc>
          <w:tcPr>
            <w:tcW w:w="4500" w:type="dxa"/>
            <w:vAlign w:val="bottom"/>
          </w:tcPr>
          <w:p w:rsidR="00F91070" w:rsidRPr="00E73265" w:rsidDel="00D012EB" w:rsidRDefault="00F91070" w:rsidP="00701DCF">
            <w:pPr>
              <w:spacing w:after="0"/>
              <w:jc w:val="right"/>
              <w:rPr>
                <w:b/>
              </w:rPr>
            </w:pPr>
            <w:r w:rsidDel="00D012EB">
              <w:rPr>
                <w:b/>
              </w:rPr>
              <w:t>Total</w:t>
            </w:r>
          </w:p>
        </w:tc>
        <w:tc>
          <w:tcPr>
            <w:tcW w:w="2515" w:type="dxa"/>
            <w:vAlign w:val="bottom"/>
          </w:tcPr>
          <w:p w:rsidR="00F91070" w:rsidRPr="00A17935" w:rsidDel="00D012EB" w:rsidRDefault="00F91070" w:rsidP="00701DCF">
            <w:pPr>
              <w:spacing w:after="0"/>
              <w:jc w:val="center"/>
              <w:rPr>
                <w:b/>
              </w:rPr>
            </w:pPr>
            <w:r w:rsidRPr="00A17935" w:rsidDel="00D012EB">
              <w:rPr>
                <w:b/>
              </w:rPr>
              <w:t>$300,000,000</w:t>
            </w:r>
          </w:p>
        </w:tc>
      </w:tr>
      <w:tr w:rsidR="00F91070" w:rsidDel="00D012EB" w:rsidTr="00701DCF">
        <w:trPr>
          <w:jc w:val="center"/>
        </w:trPr>
        <w:tc>
          <w:tcPr>
            <w:tcW w:w="7015" w:type="dxa"/>
            <w:gridSpan w:val="2"/>
            <w:vAlign w:val="bottom"/>
          </w:tcPr>
          <w:p w:rsidR="00F91070" w:rsidDel="00D012EB" w:rsidRDefault="00F91070" w:rsidP="00701DCF">
            <w:pPr>
              <w:spacing w:after="0"/>
              <w:jc w:val="left"/>
            </w:pPr>
            <w:r w:rsidDel="00D012EB">
              <w:t>Source:  DN 08-119</w:t>
            </w:r>
          </w:p>
        </w:tc>
      </w:tr>
    </w:tbl>
    <w:p w:rsidR="00F91070" w:rsidDel="00D012EB" w:rsidRDefault="00F91070" w:rsidP="00701DCF">
      <w:pPr>
        <w:pStyle w:val="Normal-aftertable"/>
      </w:pPr>
      <w:r w:rsidDel="00D012EB">
        <w:t xml:space="preserve">The committed lending amount ranges from $8 million to $18.5 million, with the average </w:t>
      </w:r>
      <w:r w:rsidRPr="007B4868" w:rsidDel="00D012EB">
        <w:t>commitment</w:t>
      </w:r>
      <w:r w:rsidDel="00D012EB">
        <w:t xml:space="preserve"> per lender being $15 million.  The lender group represents large, internationally-recognized banking institutions, one half of which is located in the United States, and the other half headquartered in seven other countries.</w:t>
      </w:r>
    </w:p>
    <w:p w:rsidR="00F91070" w:rsidRDefault="00F91070" w:rsidP="00701DCF">
      <w:pPr>
        <w:rPr>
          <w:rFonts w:cs="Arial"/>
          <w:szCs w:val="24"/>
        </w:rPr>
      </w:pPr>
      <w:r w:rsidRPr="00AE3FB1">
        <w:rPr>
          <w:rFonts w:cs="Arial"/>
          <w:b/>
          <w:szCs w:val="24"/>
        </w:rPr>
        <w:t>Risk Management.</w:t>
      </w:r>
      <w:r w:rsidRPr="00E62112">
        <w:rPr>
          <w:rFonts w:cs="Arial"/>
          <w:szCs w:val="24"/>
        </w:rPr>
        <w:t xml:space="preserve">  </w:t>
      </w:r>
      <w:r>
        <w:rPr>
          <w:rFonts w:cs="Arial"/>
          <w:szCs w:val="24"/>
        </w:rPr>
        <w:t>PPL EU’s risk management practices, as well as those of its affiliates, are governed by the PPL Corporation Financial Risk Management Policy (Risk Policy).  This policy applies to the management of risk exposures related to commodity prices and volumes, interest rates, foreign currency exchange rates, and counterparty credit in the business activities of PPL Corporation and its subsidiaries, including PPL EU.  The risk management programs covered by the Risk Policy include:</w:t>
      </w:r>
    </w:p>
    <w:p w:rsidR="00F91070" w:rsidRDefault="00F91070" w:rsidP="00701DCF">
      <w:pPr>
        <w:pStyle w:val="Bullet"/>
      </w:pPr>
      <w:r>
        <w:t>Risk Management Program for Credit Risk</w:t>
      </w:r>
    </w:p>
    <w:p w:rsidR="00F91070" w:rsidRDefault="00F91070" w:rsidP="00701DCF">
      <w:pPr>
        <w:pStyle w:val="Bullet"/>
      </w:pPr>
      <w:r>
        <w:t>Risk Management Program for Debt Financing</w:t>
      </w:r>
    </w:p>
    <w:p w:rsidR="00F91070" w:rsidRDefault="00F91070" w:rsidP="00701DCF">
      <w:pPr>
        <w:pStyle w:val="Bullet"/>
      </w:pPr>
      <w:r>
        <w:t>Risk Management Program for Foreign Currency Exposures</w:t>
      </w:r>
    </w:p>
    <w:p w:rsidR="00F91070" w:rsidRDefault="00F91070" w:rsidP="00701DCF">
      <w:pPr>
        <w:pStyle w:val="Bullet"/>
      </w:pPr>
      <w:r>
        <w:t>Risk Management Program for PPL Electric Utilities Corporation Default Service Products</w:t>
      </w:r>
    </w:p>
    <w:p w:rsidR="00F91070" w:rsidRDefault="00F91070" w:rsidP="00701DCF">
      <w:pPr>
        <w:pStyle w:val="Bullet"/>
      </w:pPr>
      <w:r>
        <w:lastRenderedPageBreak/>
        <w:t>Risk Management Program for LG&amp;E and KU Energy – Commodity Risk Management Program</w:t>
      </w:r>
    </w:p>
    <w:p w:rsidR="00F91070" w:rsidRDefault="00F91070" w:rsidP="00701DCF">
      <w:pPr>
        <w:pStyle w:val="Bullet"/>
      </w:pPr>
      <w:r>
        <w:t>Risk Management Program for LG&amp;E and KU Energy – Power Supply Credit Program</w:t>
      </w:r>
    </w:p>
    <w:p w:rsidR="00F91070" w:rsidRPr="00A90866" w:rsidRDefault="00F91070" w:rsidP="00234825">
      <w:pPr>
        <w:pStyle w:val="Bullet"/>
        <w:spacing w:after="120"/>
      </w:pPr>
      <w:r>
        <w:t>Risk Management Program for Insurance</w:t>
      </w:r>
      <w:r w:rsidRPr="00A90866">
        <w:t xml:space="preserve">  </w:t>
      </w:r>
    </w:p>
    <w:p w:rsidR="00F91070" w:rsidRDefault="00F91070" w:rsidP="00701DCF">
      <w:pPr>
        <w:rPr>
          <w:rFonts w:cs="Arial"/>
          <w:szCs w:val="24"/>
        </w:rPr>
      </w:pPr>
      <w:r w:rsidRPr="00B505DC">
        <w:rPr>
          <w:rFonts w:cs="Arial"/>
          <w:szCs w:val="24"/>
        </w:rPr>
        <w:t xml:space="preserve">The Risk Management Committee </w:t>
      </w:r>
      <w:r>
        <w:rPr>
          <w:rFonts w:cs="Arial"/>
          <w:szCs w:val="24"/>
        </w:rPr>
        <w:t>(RMC) is tasked with providing oversight of risk management activities for all exposure areas as defined in the Financial Risk Management Policy.  The RMC reports to the Finance Committee of the Board of Directors through the CEO and is comprised of:</w:t>
      </w:r>
    </w:p>
    <w:p w:rsidR="00F91070" w:rsidRDefault="00F91070" w:rsidP="00701DCF">
      <w:pPr>
        <w:pStyle w:val="Bullet"/>
      </w:pPr>
      <w:r>
        <w:t>Senior Vice President and Chief Financial Officer</w:t>
      </w:r>
    </w:p>
    <w:p w:rsidR="00F91070" w:rsidRDefault="00F91070" w:rsidP="00701DCF">
      <w:pPr>
        <w:pStyle w:val="Bullet"/>
      </w:pPr>
      <w:r>
        <w:t>Executive Vice President, General Counsel and Secretary</w:t>
      </w:r>
    </w:p>
    <w:p w:rsidR="00F91070" w:rsidRDefault="00F91070" w:rsidP="00701DCF">
      <w:pPr>
        <w:pStyle w:val="Bullet"/>
      </w:pPr>
      <w:r>
        <w:t>Vice President, Treasurer and Chief Risk Officer</w:t>
      </w:r>
    </w:p>
    <w:p w:rsidR="00F91070" w:rsidRDefault="00F91070" w:rsidP="00701DCF">
      <w:pPr>
        <w:pStyle w:val="Bullet"/>
      </w:pPr>
      <w:r>
        <w:t>Vice President and Controller</w:t>
      </w:r>
    </w:p>
    <w:p w:rsidR="00F91070" w:rsidRDefault="00F91070" w:rsidP="00234825">
      <w:pPr>
        <w:pStyle w:val="Bullet"/>
        <w:spacing w:after="120"/>
      </w:pPr>
      <w:r>
        <w:t>Finance and Regulatory Affairs Vice President of PPL EUS</w:t>
      </w:r>
    </w:p>
    <w:p w:rsidR="00F91070" w:rsidRPr="00A17935" w:rsidRDefault="00F91070" w:rsidP="00701DCF">
      <w:r w:rsidRPr="00A17935">
        <w:t xml:space="preserve">The RMC monitors financial risks utilizing hedging to protect against interest rate and foreign exchange risks.  Meetings are held at least quarterly to review financial risks and credit risks, the results of which are not normally reported to the BOD.  At these meetings a Credit Report and Treasury Report, including items such as foreign exchange risk and interest rate risk, </w:t>
      </w:r>
      <w:r>
        <w:t>are</w:t>
      </w:r>
      <w:r w:rsidRPr="00A17935">
        <w:t xml:space="preserve"> reviewed.</w:t>
      </w:r>
    </w:p>
    <w:p w:rsidR="00F91070" w:rsidRPr="00A17935" w:rsidRDefault="00F91070" w:rsidP="00701DCF">
      <w:r w:rsidRPr="00A17935">
        <w:t>The RMC’s responsibilities include:</w:t>
      </w:r>
    </w:p>
    <w:p w:rsidR="00F91070" w:rsidRPr="00C36A4E" w:rsidRDefault="00F91070" w:rsidP="00701DCF">
      <w:pPr>
        <w:pStyle w:val="Bullet"/>
      </w:pPr>
      <w:r w:rsidRPr="00412B35">
        <w:t>Understanding the nature and magnitude of the risks in each exposure area</w:t>
      </w:r>
    </w:p>
    <w:p w:rsidR="00F91070" w:rsidRPr="00FB0007" w:rsidRDefault="00F91070" w:rsidP="00701DCF">
      <w:pPr>
        <w:pStyle w:val="Bullet"/>
      </w:pPr>
      <w:r w:rsidRPr="00DF2FC1">
        <w:t xml:space="preserve">Approving programs (and amendments or revisions thereto) for each of the </w:t>
      </w:r>
      <w:r w:rsidRPr="00FB0007">
        <w:t>exposure areas</w:t>
      </w:r>
    </w:p>
    <w:p w:rsidR="00F91070" w:rsidRPr="00BB780D" w:rsidRDefault="00F91070" w:rsidP="00701DCF">
      <w:pPr>
        <w:pStyle w:val="Bullet"/>
      </w:pPr>
      <w:r w:rsidRPr="00BB780D">
        <w:t>Approving all risk management products</w:t>
      </w:r>
    </w:p>
    <w:p w:rsidR="00F91070" w:rsidRPr="00412B35" w:rsidRDefault="00F91070" w:rsidP="00701DCF">
      <w:pPr>
        <w:pStyle w:val="Bullet"/>
      </w:pPr>
      <w:r w:rsidRPr="00412B35">
        <w:t>Approving the delegation of authority structure</w:t>
      </w:r>
    </w:p>
    <w:p w:rsidR="00F91070" w:rsidRPr="00412B35" w:rsidRDefault="00F91070" w:rsidP="00701DCF">
      <w:pPr>
        <w:pStyle w:val="Bullet"/>
      </w:pPr>
      <w:r w:rsidRPr="00412B35">
        <w:t>Approving all structured transactions that extend outside the current business plan</w:t>
      </w:r>
    </w:p>
    <w:p w:rsidR="00F91070" w:rsidRPr="00412B35" w:rsidRDefault="00F91070">
      <w:pPr>
        <w:pStyle w:val="Bullet"/>
      </w:pPr>
      <w:r w:rsidRPr="00412B35">
        <w:t>Approving the comprehensive risk limit structures for each of the exposure areas</w:t>
      </w:r>
    </w:p>
    <w:p w:rsidR="00F91070" w:rsidRPr="00412B35" w:rsidRDefault="00F91070">
      <w:pPr>
        <w:pStyle w:val="Bullet"/>
      </w:pPr>
      <w:r w:rsidRPr="00412B35">
        <w:t>Monitoring risk position, profit and loss, limit exceptions, and other unusual activity</w:t>
      </w:r>
    </w:p>
    <w:p w:rsidR="00F91070" w:rsidRPr="00412B35" w:rsidRDefault="00F91070">
      <w:pPr>
        <w:pStyle w:val="Bullet"/>
      </w:pPr>
      <w:r w:rsidRPr="00412B35">
        <w:t>Ensuring that adequate staffing and resources are devoted to risk management activities and that compensation policies for operations personnel do not conflict with risk tolerances</w:t>
      </w:r>
    </w:p>
    <w:p w:rsidR="00F91070" w:rsidRPr="00412B35" w:rsidRDefault="00F91070">
      <w:pPr>
        <w:pStyle w:val="Bullet"/>
      </w:pPr>
      <w:r w:rsidRPr="00412B35">
        <w:t>Reviewing corporate audit reports regarding compliance with the policy, programs, and procedures</w:t>
      </w:r>
    </w:p>
    <w:p w:rsidR="00F91070" w:rsidRPr="00412B35" w:rsidRDefault="00F91070">
      <w:pPr>
        <w:pStyle w:val="Bullet"/>
      </w:pPr>
      <w:r w:rsidRPr="00412B35">
        <w:t>Developing and recommending to the Finance Committee for its approval amendments to the Financial Risk Management Policy</w:t>
      </w:r>
    </w:p>
    <w:p w:rsidR="00F91070" w:rsidRPr="00DD0252" w:rsidRDefault="00F91070" w:rsidP="008A087E">
      <w:pPr>
        <w:pStyle w:val="Bullet"/>
      </w:pPr>
      <w:r w:rsidRPr="00412B35">
        <w:t>Interfacing with the Finance Committee of the Board of Directors on risk management activities, policies, procedures, and any exceptions or violations to the Financial Risk Management</w:t>
      </w:r>
      <w:r w:rsidRPr="00DD0252">
        <w:t xml:space="preserve"> Policy.</w:t>
      </w:r>
    </w:p>
    <w:p w:rsidR="00F91070" w:rsidRDefault="00F91070" w:rsidP="00701DCF">
      <w:pPr>
        <w:pStyle w:val="Normal-aftertable"/>
      </w:pPr>
      <w:r w:rsidRPr="00B505DC">
        <w:lastRenderedPageBreak/>
        <w:t xml:space="preserve">Enterprise Risk Management (ERM) is also the responsibility of </w:t>
      </w:r>
      <w:r>
        <w:t>the Risk Management</w:t>
      </w:r>
      <w:r w:rsidRPr="00B505DC">
        <w:t xml:space="preserve"> work group, looking at major risks to the corporation, such as cyber security, environmental</w:t>
      </w:r>
      <w:r>
        <w:t xml:space="preserve"> issues</w:t>
      </w:r>
      <w:r w:rsidRPr="00B505DC">
        <w:t xml:space="preserve">, PUC relations, </w:t>
      </w:r>
      <w:r>
        <w:t xml:space="preserve">the </w:t>
      </w:r>
      <w:r w:rsidRPr="00B505DC">
        <w:t xml:space="preserve">economy, etc.  Risks are displayed in a Risk </w:t>
      </w:r>
      <w:r>
        <w:t xml:space="preserve">Heat </w:t>
      </w:r>
      <w:r w:rsidRPr="00B505DC">
        <w:t>Map format and presented to the Audit Committee of the BOD</w:t>
      </w:r>
      <w:r>
        <w:t xml:space="preserve"> on a quarterly basis</w:t>
      </w:r>
      <w:r w:rsidRPr="00B505DC">
        <w:t xml:space="preserve">.  </w:t>
      </w:r>
      <w:r>
        <w:t>The presentation r</w:t>
      </w:r>
      <w:r w:rsidRPr="00B505DC">
        <w:t>eport include</w:t>
      </w:r>
      <w:r>
        <w:t>s</w:t>
      </w:r>
      <w:r w:rsidRPr="00B505DC">
        <w:t xml:space="preserve"> </w:t>
      </w:r>
      <w:r>
        <w:t>earning per share (</w:t>
      </w:r>
      <w:r w:rsidRPr="00B505DC">
        <w:t>EPS</w:t>
      </w:r>
      <w:r>
        <w:t>)</w:t>
      </w:r>
      <w:r w:rsidRPr="00B505DC">
        <w:t xml:space="preserve"> </w:t>
      </w:r>
      <w:r>
        <w:t>risks</w:t>
      </w:r>
      <w:r w:rsidRPr="00B505DC">
        <w:t xml:space="preserve"> and offer</w:t>
      </w:r>
      <w:r>
        <w:t>s</w:t>
      </w:r>
      <w:r w:rsidRPr="00B505DC">
        <w:t xml:space="preserve"> mitigation steps.</w:t>
      </w:r>
      <w:r>
        <w:t xml:space="preserve">  The VP – Internal Audit plans the quarterly meetings with the Audit Committee.  These quarterly meetings usually include a financial report delivered by the Controller, a report from the external auditors, and a review of the Quarterly ERM Report. </w:t>
      </w:r>
    </w:p>
    <w:p w:rsidR="00F91070" w:rsidRDefault="00F91070" w:rsidP="00701DCF">
      <w:pPr>
        <w:rPr>
          <w:rFonts w:cs="Arial"/>
          <w:szCs w:val="24"/>
        </w:rPr>
      </w:pPr>
      <w:r>
        <w:rPr>
          <w:rFonts w:cs="Arial"/>
          <w:szCs w:val="24"/>
        </w:rPr>
        <w:t xml:space="preserve">The Quarterly ERM Report includes commentary on internal events, such as rate cases, and external events, such as new rules and regulations that could impact PPL EU.  Also included is a risk heat map that describes projected major risks for the short term and long term. The risk map graphically displays risks with potential impacts and risk stage (preliminary, developing, advancing, or defined).  The quarterly report includes additional information such as descriptions of emerging risks, corporate risk heat maps for the near-term and long-term, and ongoing risk mitigation efforts.  The risk heat maps graphically portray materiality of impact and likelihood of occurrence of the risks that have been identified.  </w:t>
      </w:r>
    </w:p>
    <w:p w:rsidR="00F91070" w:rsidRDefault="00F91070" w:rsidP="00701DCF">
      <w:pPr>
        <w:rPr>
          <w:rFonts w:cs="Arial"/>
          <w:szCs w:val="24"/>
        </w:rPr>
      </w:pPr>
      <w:r>
        <w:rPr>
          <w:rFonts w:cs="Arial"/>
          <w:szCs w:val="24"/>
        </w:rPr>
        <w:t xml:space="preserve">The Risk Management work group is also responsible for all types of insurance coverage for PPL EU, PPL SC, and the PPL Corporation, as well as some of the insurance for the LKE operations.  In addition, this work group collaborates with the insurance function in </w:t>
      </w:r>
      <w:r w:rsidR="00876A9D">
        <w:rPr>
          <w:rFonts w:cs="Arial"/>
          <w:szCs w:val="24"/>
        </w:rPr>
        <w:t>WPD Midlands</w:t>
      </w:r>
      <w:r>
        <w:rPr>
          <w:rFonts w:cs="Arial"/>
          <w:szCs w:val="24"/>
        </w:rPr>
        <w:t xml:space="preserve"> although </w:t>
      </w:r>
      <w:r w:rsidR="00876A9D">
        <w:rPr>
          <w:rFonts w:cs="Arial"/>
          <w:szCs w:val="24"/>
        </w:rPr>
        <w:t>WPD Midlands</w:t>
      </w:r>
      <w:r>
        <w:rPr>
          <w:rFonts w:cs="Arial"/>
          <w:szCs w:val="24"/>
        </w:rPr>
        <w:t xml:space="preserve"> manages its own insurance program.  An insurance brokerage and risk management company is PPL SC’s insurance broker and the initial contact for insurance issues.  Cost is a major factor in determining the insurance coverage and providers.</w:t>
      </w:r>
    </w:p>
    <w:p w:rsidR="00F91070" w:rsidRDefault="00F91070" w:rsidP="00701DCF">
      <w:pPr>
        <w:rPr>
          <w:rFonts w:cs="Arial"/>
          <w:szCs w:val="24"/>
        </w:rPr>
      </w:pPr>
      <w:r>
        <w:rPr>
          <w:rFonts w:cs="Arial"/>
          <w:szCs w:val="24"/>
        </w:rPr>
        <w:t xml:space="preserve">There were three employees in the insurance section on June 1, 2015, but the manager retired and another person was transferred to Talen, leaving only one insurance specialist in PPL SC Risk Management.  This specialist handles insurance policies, checks contractor insurance coverage, does surety bonds, provides proof of insurance when required, and all other insurance related tasks.  PPL Power Insurance is a first tier PPL Corporation subsidiary.  It is a “captive” insurance company headquartered in Bermuda.  </w:t>
      </w:r>
      <w:r w:rsidR="00CF67D7">
        <w:t>An insurance brokerage and risk management company</w:t>
      </w:r>
      <w:r>
        <w:rPr>
          <w:rFonts w:cs="Arial"/>
          <w:szCs w:val="24"/>
        </w:rPr>
        <w:t xml:space="preserve"> manages PPL Power Insurance for PPL.  PPL Power Insurance was formed in 2003 and, from 2006 through </w:t>
      </w:r>
      <w:proofErr w:type="gramStart"/>
      <w:r>
        <w:rPr>
          <w:rFonts w:cs="Arial"/>
          <w:szCs w:val="24"/>
        </w:rPr>
        <w:t>2012,</w:t>
      </w:r>
      <w:proofErr w:type="gramEnd"/>
      <w:r>
        <w:rPr>
          <w:rFonts w:cs="Arial"/>
          <w:szCs w:val="24"/>
        </w:rPr>
        <w:t xml:space="preserve"> it provided storm insurance for PPL EU.  Now no standard commercial insurance market offers storm insurance. </w:t>
      </w:r>
    </w:p>
    <w:p w:rsidR="00F91070" w:rsidRDefault="00F91070" w:rsidP="00701DCF">
      <w:pPr>
        <w:rPr>
          <w:rFonts w:cs="Arial"/>
          <w:szCs w:val="24"/>
        </w:rPr>
      </w:pPr>
      <w:r>
        <w:rPr>
          <w:rFonts w:cs="Arial"/>
          <w:szCs w:val="24"/>
        </w:rPr>
        <w:t xml:space="preserve">From 2012 through 2014, PPL Power Insurance provided a layer of PPL’s general liability insurance.  The general liability insurance program covered only the PPL Pennsylvania properties. </w:t>
      </w:r>
      <w:r>
        <w:rPr>
          <w:rStyle w:val="CommentReference"/>
        </w:rPr>
        <w:t xml:space="preserve"> </w:t>
      </w:r>
      <w:r>
        <w:rPr>
          <w:rFonts w:cs="Arial"/>
          <w:szCs w:val="24"/>
        </w:rPr>
        <w:t>PPL Power Insurance general liability insurance coverage ($1 million to $4 million) was dropped in 2015 and PPL is currently self-insured to $4 million (a $4 million deductible).</w:t>
      </w:r>
    </w:p>
    <w:p w:rsidR="00F91070" w:rsidRDefault="00F91070" w:rsidP="00701DCF">
      <w:pPr>
        <w:rPr>
          <w:rFonts w:cs="Arial"/>
          <w:szCs w:val="24"/>
        </w:rPr>
      </w:pPr>
      <w:r>
        <w:rPr>
          <w:rFonts w:cs="Arial"/>
          <w:szCs w:val="24"/>
        </w:rPr>
        <w:t xml:space="preserve">PPL Power Insurance has provided workers compensation insurance to PPL EU since it was formed in 2003.  The workers’ compensation policy covers PPL’s Pennsylvania employees including, PPL EU, PPL SC, PPL EUS, </w:t>
      </w:r>
      <w:r w:rsidR="00763DEA">
        <w:rPr>
          <w:rFonts w:cs="Arial"/>
          <w:szCs w:val="24"/>
        </w:rPr>
        <w:t>PPLSolutions</w:t>
      </w:r>
      <w:r>
        <w:rPr>
          <w:rFonts w:cs="Arial"/>
          <w:szCs w:val="24"/>
        </w:rPr>
        <w:t xml:space="preserve">, PPL Strategic Development, and the US (Allentown) employees of PPL Global.  During the audit term, </w:t>
      </w:r>
      <w:r>
        <w:rPr>
          <w:rFonts w:cs="Arial"/>
          <w:szCs w:val="24"/>
        </w:rPr>
        <w:lastRenderedPageBreak/>
        <w:t xml:space="preserve">prior to 2015, the Power workers’ compensation insurance policy also covered employees of the Pennsylvania generating plants that on June 1, 2015 were spun to form the Talen Energy Company.  PPL Power Insurance covers individual workers’ compensation claims up to $5 million per accident.  This is first dollar coverage with no deductible.  PPL has </w:t>
      </w:r>
      <w:r w:rsidR="00CF67D7">
        <w:t xml:space="preserve">statutory insurance </w:t>
      </w:r>
      <w:r>
        <w:rPr>
          <w:rFonts w:cs="Arial"/>
          <w:szCs w:val="24"/>
        </w:rPr>
        <w:t>coverage of the individual claims over $5 million.  PPL EU has only had two recent claims over $5 million.  The workers’ compensation premium is allocated among PPL Corporation entities covered according to total payroll.  It is part of the benefits overhead loader on payroll costs.</w:t>
      </w:r>
    </w:p>
    <w:p w:rsidR="00F91070" w:rsidRDefault="00F91070" w:rsidP="00701DCF">
      <w:proofErr w:type="gramStart"/>
      <w:r>
        <w:rPr>
          <w:b/>
        </w:rPr>
        <w:t>PPL Infrastructure Services.</w:t>
      </w:r>
      <w:proofErr w:type="gramEnd"/>
      <w:r>
        <w:t xml:space="preserve">  Two senior project managers that report directly to the Treasurer are responsible for the installation of cell carriers’ cellular sites on transmission towers.  The carriers are billed for this by PPL Infrastructure Services which has the agreement with PPL EU.  </w:t>
      </w:r>
    </w:p>
    <w:p w:rsidR="00F91070" w:rsidRPr="00B505DC" w:rsidRDefault="00763DEA" w:rsidP="00701DCF">
      <w:proofErr w:type="gramStart"/>
      <w:r>
        <w:rPr>
          <w:b/>
        </w:rPr>
        <w:t>PPLSolutions</w:t>
      </w:r>
      <w:r w:rsidR="00F91070">
        <w:rPr>
          <w:b/>
        </w:rPr>
        <w:t>.</w:t>
      </w:r>
      <w:proofErr w:type="gramEnd"/>
      <w:r w:rsidR="00F91070">
        <w:t xml:space="preserve">  The President of </w:t>
      </w:r>
      <w:r>
        <w:t>PPLSolutions</w:t>
      </w:r>
      <w:r w:rsidR="00F91070">
        <w:t>, which provides customer services to PPL EU and other utilities, also reports directly to the Treasurer.</w:t>
      </w:r>
    </w:p>
    <w:p w:rsidR="00F91070" w:rsidRDefault="00F91070" w:rsidP="00701DCF">
      <w:proofErr w:type="gramStart"/>
      <w:r w:rsidRPr="00EA4E11">
        <w:rPr>
          <w:rFonts w:cs="Arial"/>
          <w:b/>
          <w:szCs w:val="24"/>
        </w:rPr>
        <w:t>Dividend policy.</w:t>
      </w:r>
      <w:proofErr w:type="gramEnd"/>
      <w:r>
        <w:rPr>
          <w:rFonts w:cs="Arial"/>
          <w:szCs w:val="24"/>
        </w:rPr>
        <w:t xml:space="preserve">  PPL relies on dividends from its subsidiaries to fund PPL’s dividends to its common shareholders.  PPL does not have a formal dividend policy for its subsidiaries and affiliates, including PPL EU.  Informally, there is a dividend target of 60%–65% of PPL EU’s net earnings. PPL EU has not met the target since funding has been needed for its capital program.  PPL EU has been a net recipient of funds from its parent, not a provider of funds to its parent. Dividends paid by PPL EU to PPL Corporation and capital contributions from PPL Corporation to PPL EU for the past five years are shown on the following table.</w:t>
      </w:r>
    </w:p>
    <w:p w:rsidR="00F91070" w:rsidRDefault="00AD2223" w:rsidP="00AD2223">
      <w:pPr>
        <w:pStyle w:val="Caption"/>
      </w:pPr>
      <w:bookmarkStart w:id="103" w:name="_Toc464552962"/>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6</w:t>
      </w:r>
      <w:r w:rsidR="00CB2B2A">
        <w:rPr>
          <w:noProof/>
        </w:rPr>
        <w:fldChar w:fldCharType="end"/>
      </w:r>
      <w:r w:rsidR="002F6183">
        <w:br/>
      </w:r>
      <w:r w:rsidR="00F91070">
        <w:t xml:space="preserve">PPL EU Dividends </w:t>
      </w:r>
      <w:r w:rsidR="00F91070" w:rsidRPr="007B4868">
        <w:t>and</w:t>
      </w:r>
      <w:r w:rsidR="00F91070">
        <w:t xml:space="preserve"> PPL Capital Contributions</w:t>
      </w:r>
      <w:r w:rsidR="00F91070">
        <w:br/>
      </w:r>
      <w:proofErr w:type="gramStart"/>
      <w:r w:rsidR="00FB46BF">
        <w:t>F</w:t>
      </w:r>
      <w:r w:rsidR="00F91070">
        <w:t>or</w:t>
      </w:r>
      <w:proofErr w:type="gramEnd"/>
      <w:r w:rsidR="00F91070">
        <w:t xml:space="preserve"> the </w:t>
      </w:r>
      <w:r w:rsidR="00FB46BF">
        <w:t>P</w:t>
      </w:r>
      <w:r w:rsidR="00F91070">
        <w:t xml:space="preserve">ast </w:t>
      </w:r>
      <w:r w:rsidR="00FB46BF">
        <w:t>F</w:t>
      </w:r>
      <w:r w:rsidR="00F91070">
        <w:t xml:space="preserve">ive </w:t>
      </w:r>
      <w:r w:rsidR="00FB46BF">
        <w:t>Y</w:t>
      </w:r>
      <w:r w:rsidR="00F91070">
        <w:t>ears (2010–2014)</w:t>
      </w:r>
      <w:bookmarkEnd w:id="1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72"/>
        <w:gridCol w:w="750"/>
        <w:gridCol w:w="750"/>
        <w:gridCol w:w="777"/>
        <w:gridCol w:w="777"/>
        <w:gridCol w:w="910"/>
      </w:tblGrid>
      <w:tr w:rsidR="00F91070" w:rsidRPr="006304A4" w:rsidTr="00F91070">
        <w:trPr>
          <w:cantSplit/>
          <w:tblHeader/>
          <w:jc w:val="center"/>
        </w:trPr>
        <w:tc>
          <w:tcPr>
            <w:tcW w:w="0" w:type="auto"/>
            <w:vMerge w:val="restart"/>
            <w:shd w:val="clear" w:color="auto" w:fill="A5CD7E"/>
            <w:vAlign w:val="center"/>
          </w:tcPr>
          <w:p w:rsidR="00F91070" w:rsidRPr="008A46CA" w:rsidRDefault="00F91070" w:rsidP="006304A4">
            <w:pPr>
              <w:spacing w:before="120"/>
              <w:jc w:val="center"/>
              <w:rPr>
                <w:b/>
              </w:rPr>
            </w:pPr>
            <w:r w:rsidRPr="008A46CA">
              <w:rPr>
                <w:b/>
              </w:rPr>
              <w:t>Description</w:t>
            </w:r>
          </w:p>
        </w:tc>
        <w:tc>
          <w:tcPr>
            <w:tcW w:w="0" w:type="auto"/>
            <w:gridSpan w:val="5"/>
            <w:shd w:val="clear" w:color="auto" w:fill="A5CD7E"/>
            <w:vAlign w:val="bottom"/>
          </w:tcPr>
          <w:p w:rsidR="00F91070" w:rsidRPr="008A46CA" w:rsidRDefault="00F91070" w:rsidP="00B47C78">
            <w:pPr>
              <w:spacing w:before="120"/>
              <w:jc w:val="center"/>
              <w:rPr>
                <w:b/>
              </w:rPr>
            </w:pPr>
            <w:r w:rsidRPr="008A46CA">
              <w:rPr>
                <w:b/>
              </w:rPr>
              <w:t xml:space="preserve">As of December 31 </w:t>
            </w:r>
          </w:p>
        </w:tc>
      </w:tr>
      <w:tr w:rsidR="00F91070" w:rsidRPr="008A46CA" w:rsidTr="00701DCF">
        <w:trPr>
          <w:tblHeader/>
          <w:jc w:val="center"/>
        </w:trPr>
        <w:tc>
          <w:tcPr>
            <w:tcW w:w="0" w:type="auto"/>
            <w:vMerge/>
            <w:shd w:val="clear" w:color="auto" w:fill="A5CD7E"/>
            <w:vAlign w:val="bottom"/>
          </w:tcPr>
          <w:p w:rsidR="00F91070" w:rsidRPr="008A46CA" w:rsidRDefault="00F91070" w:rsidP="00701DCF">
            <w:pPr>
              <w:spacing w:after="0"/>
              <w:jc w:val="center"/>
              <w:rPr>
                <w:b/>
              </w:rPr>
            </w:pPr>
          </w:p>
        </w:tc>
        <w:tc>
          <w:tcPr>
            <w:tcW w:w="0" w:type="auto"/>
            <w:shd w:val="clear" w:color="auto" w:fill="A5CD7E"/>
            <w:vAlign w:val="bottom"/>
          </w:tcPr>
          <w:p w:rsidR="00F91070" w:rsidRPr="008A46CA" w:rsidRDefault="00F91070" w:rsidP="006304A4">
            <w:pPr>
              <w:spacing w:before="120"/>
              <w:jc w:val="center"/>
              <w:rPr>
                <w:b/>
              </w:rPr>
            </w:pPr>
            <w:r w:rsidRPr="008A46CA">
              <w:rPr>
                <w:b/>
              </w:rPr>
              <w:t>2010</w:t>
            </w:r>
          </w:p>
        </w:tc>
        <w:tc>
          <w:tcPr>
            <w:tcW w:w="0" w:type="auto"/>
            <w:shd w:val="clear" w:color="auto" w:fill="A5CD7E"/>
            <w:vAlign w:val="bottom"/>
          </w:tcPr>
          <w:p w:rsidR="00F91070" w:rsidRPr="008A46CA" w:rsidRDefault="00F91070" w:rsidP="006304A4">
            <w:pPr>
              <w:spacing w:before="120"/>
              <w:jc w:val="center"/>
              <w:rPr>
                <w:b/>
              </w:rPr>
            </w:pPr>
            <w:r w:rsidRPr="008A46CA">
              <w:rPr>
                <w:b/>
              </w:rPr>
              <w:t>2011</w:t>
            </w:r>
          </w:p>
        </w:tc>
        <w:tc>
          <w:tcPr>
            <w:tcW w:w="0" w:type="auto"/>
            <w:shd w:val="clear" w:color="auto" w:fill="A5CD7E"/>
            <w:vAlign w:val="bottom"/>
          </w:tcPr>
          <w:p w:rsidR="00F91070" w:rsidRPr="008A46CA" w:rsidRDefault="00F91070" w:rsidP="006304A4">
            <w:pPr>
              <w:spacing w:before="120"/>
              <w:jc w:val="center"/>
              <w:rPr>
                <w:b/>
              </w:rPr>
            </w:pPr>
            <w:r w:rsidRPr="008A46CA">
              <w:rPr>
                <w:b/>
              </w:rPr>
              <w:t>2012</w:t>
            </w:r>
          </w:p>
        </w:tc>
        <w:tc>
          <w:tcPr>
            <w:tcW w:w="0" w:type="auto"/>
            <w:shd w:val="clear" w:color="auto" w:fill="A5CD7E"/>
            <w:vAlign w:val="bottom"/>
          </w:tcPr>
          <w:p w:rsidR="00F91070" w:rsidRPr="008A46CA" w:rsidRDefault="00F91070" w:rsidP="006304A4">
            <w:pPr>
              <w:spacing w:before="120"/>
              <w:jc w:val="center"/>
              <w:rPr>
                <w:b/>
              </w:rPr>
            </w:pPr>
            <w:r w:rsidRPr="008A46CA">
              <w:rPr>
                <w:b/>
              </w:rPr>
              <w:t>2013</w:t>
            </w:r>
          </w:p>
        </w:tc>
        <w:tc>
          <w:tcPr>
            <w:tcW w:w="0" w:type="auto"/>
            <w:shd w:val="clear" w:color="auto" w:fill="A5CD7E"/>
            <w:vAlign w:val="bottom"/>
          </w:tcPr>
          <w:p w:rsidR="00F91070" w:rsidRPr="008A46CA" w:rsidRDefault="00F91070" w:rsidP="006304A4">
            <w:pPr>
              <w:spacing w:before="120"/>
              <w:jc w:val="center"/>
              <w:rPr>
                <w:b/>
              </w:rPr>
            </w:pPr>
            <w:r w:rsidRPr="008A46CA">
              <w:rPr>
                <w:b/>
              </w:rPr>
              <w:t>2014</w:t>
            </w:r>
          </w:p>
        </w:tc>
      </w:tr>
      <w:tr w:rsidR="00F91070" w:rsidTr="00701DCF">
        <w:trPr>
          <w:jc w:val="center"/>
        </w:trPr>
        <w:tc>
          <w:tcPr>
            <w:tcW w:w="0" w:type="auto"/>
            <w:vAlign w:val="bottom"/>
          </w:tcPr>
          <w:p w:rsidR="00F91070" w:rsidRDefault="00F91070" w:rsidP="00701DCF">
            <w:pPr>
              <w:spacing w:after="0"/>
              <w:jc w:val="center"/>
            </w:pPr>
            <w:r>
              <w:t>Net Income</w:t>
            </w:r>
            <w:r w:rsidR="00B47C78">
              <w:t xml:space="preserve"> (millions)</w:t>
            </w:r>
          </w:p>
        </w:tc>
        <w:tc>
          <w:tcPr>
            <w:tcW w:w="0" w:type="auto"/>
            <w:vAlign w:val="bottom"/>
          </w:tcPr>
          <w:p w:rsidR="00F91070" w:rsidRDefault="00514F12" w:rsidP="00B47C78">
            <w:pPr>
              <w:spacing w:after="0"/>
              <w:jc w:val="right"/>
            </w:pPr>
            <w:r>
              <w:t>$</w:t>
            </w:r>
            <w:r w:rsidR="00F91070">
              <w:t>135</w:t>
            </w:r>
          </w:p>
        </w:tc>
        <w:tc>
          <w:tcPr>
            <w:tcW w:w="0" w:type="auto"/>
            <w:vAlign w:val="bottom"/>
          </w:tcPr>
          <w:p w:rsidR="00F91070" w:rsidRDefault="00514F12" w:rsidP="00B47C78">
            <w:pPr>
              <w:spacing w:after="0"/>
              <w:jc w:val="right"/>
            </w:pPr>
            <w:r>
              <w:t>$</w:t>
            </w:r>
            <w:r w:rsidR="00F91070">
              <w:t>189</w:t>
            </w:r>
          </w:p>
        </w:tc>
        <w:tc>
          <w:tcPr>
            <w:tcW w:w="0" w:type="auto"/>
            <w:vAlign w:val="bottom"/>
          </w:tcPr>
          <w:p w:rsidR="00F91070" w:rsidRDefault="00514F12" w:rsidP="00B47C78">
            <w:pPr>
              <w:spacing w:after="0"/>
              <w:jc w:val="right"/>
            </w:pPr>
            <w:r>
              <w:t>$</w:t>
            </w:r>
            <w:r w:rsidR="00F91070">
              <w:t>136</w:t>
            </w:r>
          </w:p>
        </w:tc>
        <w:tc>
          <w:tcPr>
            <w:tcW w:w="0" w:type="auto"/>
            <w:vAlign w:val="bottom"/>
          </w:tcPr>
          <w:p w:rsidR="00F91070" w:rsidRDefault="00514F12" w:rsidP="00B47C78">
            <w:pPr>
              <w:spacing w:after="0"/>
              <w:jc w:val="right"/>
            </w:pPr>
            <w:r>
              <w:t>$</w:t>
            </w:r>
            <w:r w:rsidR="00F91070">
              <w:t>209</w:t>
            </w:r>
          </w:p>
        </w:tc>
        <w:tc>
          <w:tcPr>
            <w:tcW w:w="0" w:type="auto"/>
            <w:vAlign w:val="bottom"/>
          </w:tcPr>
          <w:p w:rsidR="00F91070" w:rsidRDefault="00514F12" w:rsidP="00B47C78">
            <w:pPr>
              <w:spacing w:after="0"/>
              <w:jc w:val="right"/>
            </w:pPr>
            <w:r>
              <w:t>$</w:t>
            </w:r>
            <w:r w:rsidR="00F91070">
              <w:t>263</w:t>
            </w:r>
          </w:p>
        </w:tc>
      </w:tr>
      <w:tr w:rsidR="00F91070" w:rsidTr="00701DCF">
        <w:trPr>
          <w:jc w:val="center"/>
        </w:trPr>
        <w:tc>
          <w:tcPr>
            <w:tcW w:w="0" w:type="auto"/>
            <w:vAlign w:val="bottom"/>
          </w:tcPr>
          <w:p w:rsidR="00F91070" w:rsidRDefault="00F91070" w:rsidP="00701DCF">
            <w:pPr>
              <w:spacing w:after="0"/>
              <w:jc w:val="center"/>
            </w:pPr>
            <w:r>
              <w:t>Dividends Paid by PPL EU to PPL</w:t>
            </w:r>
            <w:r w:rsidR="00B47C78">
              <w:t xml:space="preserve"> (millions)</w:t>
            </w:r>
          </w:p>
        </w:tc>
        <w:tc>
          <w:tcPr>
            <w:tcW w:w="0" w:type="auto"/>
            <w:vAlign w:val="bottom"/>
          </w:tcPr>
          <w:p w:rsidR="00F91070" w:rsidRDefault="00B47C78" w:rsidP="00B47C78">
            <w:pPr>
              <w:spacing w:after="0"/>
              <w:jc w:val="right"/>
            </w:pPr>
            <w:r>
              <w:t>$</w:t>
            </w:r>
            <w:r w:rsidR="00F91070">
              <w:t>71</w:t>
            </w:r>
          </w:p>
        </w:tc>
        <w:tc>
          <w:tcPr>
            <w:tcW w:w="0" w:type="auto"/>
            <w:vAlign w:val="bottom"/>
          </w:tcPr>
          <w:p w:rsidR="00F91070" w:rsidRDefault="00B47C78" w:rsidP="00B47C78">
            <w:pPr>
              <w:spacing w:after="0"/>
              <w:jc w:val="right"/>
            </w:pPr>
            <w:r>
              <w:t>$</w:t>
            </w:r>
            <w:r w:rsidR="00F91070">
              <w:t>92</w:t>
            </w:r>
          </w:p>
        </w:tc>
        <w:tc>
          <w:tcPr>
            <w:tcW w:w="0" w:type="auto"/>
            <w:vAlign w:val="bottom"/>
          </w:tcPr>
          <w:p w:rsidR="00F91070" w:rsidRDefault="00B47C78" w:rsidP="00B47C78">
            <w:pPr>
              <w:spacing w:after="0"/>
              <w:jc w:val="right"/>
            </w:pPr>
            <w:r>
              <w:t>$</w:t>
            </w:r>
            <w:r w:rsidR="00F91070">
              <w:t>95</w:t>
            </w:r>
          </w:p>
        </w:tc>
        <w:tc>
          <w:tcPr>
            <w:tcW w:w="0" w:type="auto"/>
            <w:vAlign w:val="bottom"/>
          </w:tcPr>
          <w:p w:rsidR="00F91070" w:rsidRDefault="00B47C78" w:rsidP="00B47C78">
            <w:pPr>
              <w:spacing w:after="0"/>
              <w:jc w:val="right"/>
            </w:pPr>
            <w:r>
              <w:t>$</w:t>
            </w:r>
            <w:r w:rsidR="00F91070">
              <w:t>127</w:t>
            </w:r>
          </w:p>
        </w:tc>
        <w:tc>
          <w:tcPr>
            <w:tcW w:w="0" w:type="auto"/>
            <w:vAlign w:val="bottom"/>
          </w:tcPr>
          <w:p w:rsidR="00F91070" w:rsidRDefault="00B47C78" w:rsidP="00B47C78">
            <w:pPr>
              <w:spacing w:after="0"/>
              <w:jc w:val="right"/>
            </w:pPr>
            <w:r>
              <w:t>$</w:t>
            </w:r>
            <w:r w:rsidR="00F91070">
              <w:t>158</w:t>
            </w:r>
          </w:p>
        </w:tc>
      </w:tr>
      <w:tr w:rsidR="00F91070" w:rsidTr="00701DCF">
        <w:trPr>
          <w:jc w:val="center"/>
        </w:trPr>
        <w:tc>
          <w:tcPr>
            <w:tcW w:w="0" w:type="auto"/>
            <w:vAlign w:val="bottom"/>
          </w:tcPr>
          <w:p w:rsidR="00F91070" w:rsidRDefault="00F91070" w:rsidP="00701DCF">
            <w:pPr>
              <w:spacing w:after="0"/>
              <w:jc w:val="center"/>
            </w:pPr>
            <w:r>
              <w:t>Capital Contributions from PPL</w:t>
            </w:r>
            <w:r w:rsidR="00B47C78">
              <w:t xml:space="preserve"> (millions)</w:t>
            </w:r>
          </w:p>
        </w:tc>
        <w:tc>
          <w:tcPr>
            <w:tcW w:w="0" w:type="auto"/>
            <w:vAlign w:val="bottom"/>
          </w:tcPr>
          <w:p w:rsidR="00F91070" w:rsidRDefault="00B47C78" w:rsidP="00B47C78">
            <w:pPr>
              <w:spacing w:after="0"/>
              <w:jc w:val="right"/>
            </w:pPr>
            <w:r>
              <w:t>$</w:t>
            </w:r>
            <w:r w:rsidR="00F91070">
              <w:t>55</w:t>
            </w:r>
          </w:p>
        </w:tc>
        <w:tc>
          <w:tcPr>
            <w:tcW w:w="0" w:type="auto"/>
            <w:vAlign w:val="bottom"/>
          </w:tcPr>
          <w:p w:rsidR="00F91070" w:rsidRDefault="00B47C78" w:rsidP="00B47C78">
            <w:pPr>
              <w:spacing w:after="0"/>
              <w:jc w:val="right"/>
            </w:pPr>
            <w:r>
              <w:t>$</w:t>
            </w:r>
            <w:r w:rsidR="00F91070">
              <w:t>100</w:t>
            </w:r>
          </w:p>
        </w:tc>
        <w:tc>
          <w:tcPr>
            <w:tcW w:w="0" w:type="auto"/>
            <w:vAlign w:val="bottom"/>
          </w:tcPr>
          <w:p w:rsidR="00F91070" w:rsidRDefault="00B47C78" w:rsidP="00B47C78">
            <w:pPr>
              <w:spacing w:after="0"/>
              <w:jc w:val="right"/>
            </w:pPr>
            <w:r>
              <w:t>$</w:t>
            </w:r>
            <w:r w:rsidR="00F91070">
              <w:t>150</w:t>
            </w:r>
          </w:p>
        </w:tc>
        <w:tc>
          <w:tcPr>
            <w:tcW w:w="0" w:type="auto"/>
            <w:vAlign w:val="bottom"/>
          </w:tcPr>
          <w:p w:rsidR="00F91070" w:rsidRDefault="00B47C78" w:rsidP="00B47C78">
            <w:pPr>
              <w:spacing w:after="0"/>
              <w:jc w:val="right"/>
            </w:pPr>
            <w:r>
              <w:t>$</w:t>
            </w:r>
            <w:r w:rsidR="00F91070">
              <w:t>205</w:t>
            </w:r>
          </w:p>
        </w:tc>
        <w:tc>
          <w:tcPr>
            <w:tcW w:w="0" w:type="auto"/>
            <w:vAlign w:val="bottom"/>
          </w:tcPr>
          <w:p w:rsidR="00F91070" w:rsidRDefault="00B47C78" w:rsidP="00B47C78">
            <w:pPr>
              <w:spacing w:after="0"/>
              <w:jc w:val="right"/>
            </w:pPr>
            <w:r>
              <w:t>$</w:t>
            </w:r>
            <w:r w:rsidR="00F91070">
              <w:t>263</w:t>
            </w:r>
          </w:p>
        </w:tc>
      </w:tr>
      <w:tr w:rsidR="00F91070" w:rsidTr="00701DCF">
        <w:trPr>
          <w:jc w:val="center"/>
        </w:trPr>
        <w:tc>
          <w:tcPr>
            <w:tcW w:w="0" w:type="auto"/>
            <w:vAlign w:val="bottom"/>
          </w:tcPr>
          <w:p w:rsidR="00F91070" w:rsidRDefault="00F91070" w:rsidP="00701DCF">
            <w:pPr>
              <w:spacing w:after="0"/>
              <w:jc w:val="center"/>
            </w:pPr>
            <w:r>
              <w:t>Net Payment to PPL</w:t>
            </w:r>
            <w:r w:rsidR="00B47C78">
              <w:t xml:space="preserve"> (millions)</w:t>
            </w:r>
          </w:p>
        </w:tc>
        <w:tc>
          <w:tcPr>
            <w:tcW w:w="0" w:type="auto"/>
            <w:vAlign w:val="bottom"/>
          </w:tcPr>
          <w:p w:rsidR="00F91070" w:rsidRDefault="00B47C78" w:rsidP="00B47C78">
            <w:pPr>
              <w:spacing w:after="0"/>
              <w:jc w:val="right"/>
            </w:pPr>
            <w:r>
              <w:t>$</w:t>
            </w:r>
            <w:r w:rsidR="00F91070">
              <w:t>16</w:t>
            </w:r>
          </w:p>
        </w:tc>
        <w:tc>
          <w:tcPr>
            <w:tcW w:w="0" w:type="auto"/>
            <w:vAlign w:val="bottom"/>
          </w:tcPr>
          <w:p w:rsidR="00F91070" w:rsidRDefault="00B47C78" w:rsidP="00B47C78">
            <w:pPr>
              <w:spacing w:after="0"/>
              <w:jc w:val="right"/>
            </w:pPr>
            <w:r>
              <w:t>$</w:t>
            </w:r>
            <w:r w:rsidR="00F91070">
              <w:t>(8)</w:t>
            </w:r>
          </w:p>
        </w:tc>
        <w:tc>
          <w:tcPr>
            <w:tcW w:w="0" w:type="auto"/>
            <w:vAlign w:val="bottom"/>
          </w:tcPr>
          <w:p w:rsidR="00F91070" w:rsidRDefault="00B47C78" w:rsidP="00B47C78">
            <w:pPr>
              <w:spacing w:after="0"/>
              <w:jc w:val="right"/>
            </w:pPr>
            <w:r>
              <w:t>$</w:t>
            </w:r>
            <w:r w:rsidR="00F91070">
              <w:t>(55)</w:t>
            </w:r>
          </w:p>
        </w:tc>
        <w:tc>
          <w:tcPr>
            <w:tcW w:w="0" w:type="auto"/>
            <w:vAlign w:val="bottom"/>
          </w:tcPr>
          <w:p w:rsidR="00F91070" w:rsidRDefault="00B47C78" w:rsidP="00B47C78">
            <w:pPr>
              <w:spacing w:after="0"/>
              <w:jc w:val="right"/>
            </w:pPr>
            <w:r>
              <w:t>$</w:t>
            </w:r>
            <w:r w:rsidR="00F91070">
              <w:t>(78)</w:t>
            </w:r>
          </w:p>
        </w:tc>
        <w:tc>
          <w:tcPr>
            <w:tcW w:w="0" w:type="auto"/>
            <w:vAlign w:val="bottom"/>
          </w:tcPr>
          <w:p w:rsidR="00F91070" w:rsidRDefault="00B47C78" w:rsidP="00B47C78">
            <w:pPr>
              <w:spacing w:after="0"/>
              <w:jc w:val="right"/>
            </w:pPr>
            <w:r>
              <w:t>$</w:t>
            </w:r>
            <w:r w:rsidR="00F91070">
              <w:t>(105)</w:t>
            </w:r>
          </w:p>
        </w:tc>
      </w:tr>
      <w:tr w:rsidR="00F91070" w:rsidTr="00701DCF">
        <w:trPr>
          <w:jc w:val="center"/>
        </w:trPr>
        <w:tc>
          <w:tcPr>
            <w:tcW w:w="0" w:type="auto"/>
            <w:vAlign w:val="bottom"/>
          </w:tcPr>
          <w:p w:rsidR="00F91070" w:rsidRDefault="00F91070" w:rsidP="00B47C78">
            <w:pPr>
              <w:spacing w:after="0"/>
              <w:jc w:val="center"/>
            </w:pPr>
            <w:r>
              <w:t>Dividends Paid as % of Net Income</w:t>
            </w:r>
            <w:r w:rsidR="00B47C78">
              <w:t xml:space="preserve"> </w:t>
            </w:r>
          </w:p>
        </w:tc>
        <w:tc>
          <w:tcPr>
            <w:tcW w:w="0" w:type="auto"/>
            <w:vAlign w:val="bottom"/>
          </w:tcPr>
          <w:p w:rsidR="00F91070" w:rsidRDefault="00F91070" w:rsidP="00701DCF">
            <w:pPr>
              <w:spacing w:after="0"/>
              <w:jc w:val="center"/>
            </w:pPr>
            <w:r>
              <w:t>53%</w:t>
            </w:r>
          </w:p>
        </w:tc>
        <w:tc>
          <w:tcPr>
            <w:tcW w:w="0" w:type="auto"/>
            <w:vAlign w:val="bottom"/>
          </w:tcPr>
          <w:p w:rsidR="00F91070" w:rsidRDefault="00F91070" w:rsidP="00701DCF">
            <w:pPr>
              <w:spacing w:after="0"/>
              <w:jc w:val="center"/>
            </w:pPr>
            <w:r>
              <w:t>49%</w:t>
            </w:r>
          </w:p>
        </w:tc>
        <w:tc>
          <w:tcPr>
            <w:tcW w:w="0" w:type="auto"/>
            <w:vAlign w:val="bottom"/>
          </w:tcPr>
          <w:p w:rsidR="00F91070" w:rsidRDefault="00F91070" w:rsidP="00701DCF">
            <w:pPr>
              <w:spacing w:after="0"/>
              <w:jc w:val="center"/>
            </w:pPr>
            <w:r>
              <w:t>70%</w:t>
            </w:r>
          </w:p>
        </w:tc>
        <w:tc>
          <w:tcPr>
            <w:tcW w:w="0" w:type="auto"/>
            <w:vAlign w:val="bottom"/>
          </w:tcPr>
          <w:p w:rsidR="00F91070" w:rsidRDefault="00F91070" w:rsidP="00701DCF">
            <w:pPr>
              <w:spacing w:after="0"/>
              <w:jc w:val="center"/>
            </w:pPr>
            <w:r>
              <w:t>61%</w:t>
            </w:r>
          </w:p>
        </w:tc>
        <w:tc>
          <w:tcPr>
            <w:tcW w:w="0" w:type="auto"/>
            <w:vAlign w:val="bottom"/>
          </w:tcPr>
          <w:p w:rsidR="00F91070" w:rsidRDefault="00F91070" w:rsidP="00701DCF">
            <w:pPr>
              <w:spacing w:after="0"/>
              <w:jc w:val="center"/>
            </w:pPr>
            <w:r>
              <w:t>60%</w:t>
            </w:r>
          </w:p>
        </w:tc>
      </w:tr>
      <w:tr w:rsidR="00F91070" w:rsidTr="00701DCF">
        <w:trPr>
          <w:jc w:val="center"/>
        </w:trPr>
        <w:tc>
          <w:tcPr>
            <w:tcW w:w="0" w:type="auto"/>
            <w:gridSpan w:val="6"/>
            <w:vAlign w:val="bottom"/>
          </w:tcPr>
          <w:p w:rsidR="00F91070" w:rsidRDefault="00F91070" w:rsidP="00701DCF">
            <w:pPr>
              <w:spacing w:after="0"/>
              <w:jc w:val="center"/>
            </w:pPr>
            <w:r>
              <w:t>Source:  PPL Corporation 10K Reports (2010, 2011, 2012, 2013, and 2014)</w:t>
            </w:r>
          </w:p>
        </w:tc>
      </w:tr>
    </w:tbl>
    <w:p w:rsidR="00F91070" w:rsidRPr="00C90363" w:rsidRDefault="00F91070" w:rsidP="00701DCF">
      <w:pPr>
        <w:pStyle w:val="Normal-aftertable"/>
      </w:pPr>
      <w:r>
        <w:t>As can be seen in the exhibit above, PPL EU has been a net recipient of funds from its parent, PPL, over the past four years.  Dividends paid by PPL EU to PPL have been less than the capital contributions from PPL to PPL EU from 2010 through 2014.  Dividends as a percentage of Net Income have ranged from a low of 49% in 2011 to a high of 70% in 2012, with an average of 58% over the five-year period.</w:t>
      </w:r>
    </w:p>
    <w:p w:rsidR="00F91070" w:rsidRDefault="00F91070" w:rsidP="00701DCF">
      <w:pPr>
        <w:pStyle w:val="Heading40"/>
      </w:pPr>
      <w:r>
        <w:t xml:space="preserve">Internal Audit </w:t>
      </w:r>
    </w:p>
    <w:p w:rsidR="00F91070" w:rsidRDefault="00F91070" w:rsidP="00701DCF">
      <w:proofErr w:type="gramStart"/>
      <w:r w:rsidRPr="00A17935">
        <w:rPr>
          <w:b/>
        </w:rPr>
        <w:t>Organization</w:t>
      </w:r>
      <w:r w:rsidRPr="008B7D45">
        <w:t>.</w:t>
      </w:r>
      <w:proofErr w:type="gramEnd"/>
      <w:r>
        <w:t xml:space="preserve">  </w:t>
      </w:r>
      <w:r w:rsidRPr="00A17935">
        <w:t xml:space="preserve">The internal audit function for PPL EU is the responsibility of PPL SC’s Corporate Audit </w:t>
      </w:r>
      <w:r>
        <w:t>and</w:t>
      </w:r>
      <w:r w:rsidRPr="00A17935">
        <w:t xml:space="preserve"> Business Ethics work group.  The head of this work group is the </w:t>
      </w:r>
      <w:r>
        <w:lastRenderedPageBreak/>
        <w:t>Vice President,</w:t>
      </w:r>
      <w:r w:rsidRPr="00A17935">
        <w:t xml:space="preserve"> Corporate Audit </w:t>
      </w:r>
      <w:r>
        <w:t>and</w:t>
      </w:r>
      <w:r w:rsidRPr="00A17935">
        <w:t xml:space="preserve"> Business Ethics (</w:t>
      </w:r>
      <w:r>
        <w:t>Vice President</w:t>
      </w:r>
      <w:r w:rsidRPr="00A17935">
        <w:t>), who reports</w:t>
      </w:r>
      <w:r>
        <w:t xml:space="preserve"> directly to the Chairman, President, and CEO, as well as to the PPL Audit Committee.  The President, Chairman, and CEO </w:t>
      </w:r>
      <w:proofErr w:type="gramStart"/>
      <w:r>
        <w:t>has</w:t>
      </w:r>
      <w:proofErr w:type="gramEnd"/>
      <w:r>
        <w:t xml:space="preserve"> delegated certain administrative matters to the head of the Office of General Counsel.</w:t>
      </w:r>
      <w:r w:rsidRPr="00A17935">
        <w:t xml:space="preserve">  </w:t>
      </w:r>
    </w:p>
    <w:p w:rsidR="00F91070" w:rsidRPr="00A17935" w:rsidRDefault="00F91070" w:rsidP="00701DCF">
      <w:r w:rsidRPr="00A17935">
        <w:t xml:space="preserve">The Audit Committee Charter specifies that the independent auditor reports directly to the Audit Committee and </w:t>
      </w:r>
      <w:r>
        <w:t xml:space="preserve">that </w:t>
      </w:r>
      <w:r w:rsidRPr="00A17935">
        <w:t>the Audit Committee is responsible for:</w:t>
      </w:r>
    </w:p>
    <w:p w:rsidR="00F91070" w:rsidRPr="00413707" w:rsidRDefault="00F91070" w:rsidP="00701DCF">
      <w:pPr>
        <w:pStyle w:val="Bullet"/>
      </w:pPr>
      <w:r w:rsidRPr="00413707">
        <w:t>Appointment, compensation, and retention of the independent auditor</w:t>
      </w:r>
    </w:p>
    <w:p w:rsidR="00F91070" w:rsidRPr="00413707" w:rsidRDefault="00F91070" w:rsidP="00701DCF">
      <w:pPr>
        <w:pStyle w:val="Bullet"/>
      </w:pPr>
      <w:r w:rsidRPr="00413707">
        <w:t>Oversight of the work of the independent auditor</w:t>
      </w:r>
    </w:p>
    <w:p w:rsidR="00F91070" w:rsidRPr="00A17935" w:rsidRDefault="00F91070" w:rsidP="00701DCF">
      <w:pPr>
        <w:pStyle w:val="Bullet"/>
      </w:pPr>
      <w:r w:rsidRPr="00413707">
        <w:t>Review of the</w:t>
      </w:r>
      <w:r w:rsidRPr="00A17935">
        <w:t xml:space="preserve"> performance and audit results of the independent auditor</w:t>
      </w:r>
    </w:p>
    <w:p w:rsidR="00F91070" w:rsidRDefault="00F91070" w:rsidP="00701DCF">
      <w:pPr>
        <w:pStyle w:val="Bullet"/>
      </w:pPr>
      <w:r w:rsidRPr="00A17935">
        <w:t xml:space="preserve">Preapproval of all audit and permitted non-audit services to be provided by the </w:t>
      </w:r>
      <w:r w:rsidRPr="00413707">
        <w:t>independent auditor</w:t>
      </w:r>
    </w:p>
    <w:p w:rsidR="00F91070" w:rsidRPr="00413707" w:rsidRDefault="00F91070" w:rsidP="00864BDD">
      <w:pPr>
        <w:pStyle w:val="Bullet"/>
      </w:pPr>
      <w:r w:rsidRPr="00413707">
        <w:t>Preapproval of any significant non-audit relationship with the independent auditor</w:t>
      </w:r>
    </w:p>
    <w:p w:rsidR="00F91070" w:rsidRDefault="00F91070" w:rsidP="00701DCF">
      <w:r w:rsidRPr="00A17935">
        <w:t xml:space="preserve">There are three internal audit teams </w:t>
      </w:r>
      <w:r>
        <w:t>that comprise PPL’s internal audit function</w:t>
      </w:r>
      <w:r w:rsidRPr="00A17935">
        <w:t>:</w:t>
      </w:r>
    </w:p>
    <w:p w:rsidR="00F91070" w:rsidRDefault="00F91070" w:rsidP="00701DCF">
      <w:pPr>
        <w:pStyle w:val="Bullet"/>
      </w:pPr>
      <w:r w:rsidRPr="00E227E7">
        <w:t xml:space="preserve">Allentown, </w:t>
      </w:r>
      <w:r>
        <w:t xml:space="preserve">PA audit team – </w:t>
      </w:r>
      <w:r w:rsidRPr="00E227E7">
        <w:t xml:space="preserve">responsible for auditing </w:t>
      </w:r>
      <w:r>
        <w:t xml:space="preserve">PPL </w:t>
      </w:r>
      <w:r w:rsidRPr="00E227E7">
        <w:t>EU</w:t>
      </w:r>
      <w:r>
        <w:t>, PPL EUS, and PPL SC</w:t>
      </w:r>
    </w:p>
    <w:p w:rsidR="00F91070" w:rsidRDefault="00F91070" w:rsidP="00701DCF">
      <w:pPr>
        <w:pStyle w:val="Bullet"/>
      </w:pPr>
      <w:r>
        <w:t>LG&amp;E and KU Energy (LKE) audit team – responsible for auditing Louisville Gas &amp; Electric Company (LG&amp;E), Kentucky Utilities Company (KU), and LKE</w:t>
      </w:r>
    </w:p>
    <w:p w:rsidR="00F91070" w:rsidRDefault="00F91070" w:rsidP="00864BDD">
      <w:pPr>
        <w:pStyle w:val="Bullet"/>
      </w:pPr>
      <w:r>
        <w:t>Western Power Distribution</w:t>
      </w:r>
      <w:r w:rsidR="00876A9D">
        <w:t xml:space="preserve"> Midlands Companies</w:t>
      </w:r>
      <w:r>
        <w:t xml:space="preserve"> (</w:t>
      </w:r>
      <w:r w:rsidR="00876A9D">
        <w:t>WPD Midlands</w:t>
      </w:r>
      <w:r>
        <w:t xml:space="preserve">) audit team– responsible for auditing </w:t>
      </w:r>
      <w:r w:rsidR="00876A9D">
        <w:t>WPD Midlands</w:t>
      </w:r>
    </w:p>
    <w:p w:rsidR="00F91070" w:rsidRDefault="00F91070" w:rsidP="00701DCF">
      <w:pPr>
        <w:rPr>
          <w:rFonts w:cs="Arial"/>
          <w:szCs w:val="24"/>
        </w:rPr>
      </w:pPr>
      <w:r>
        <w:rPr>
          <w:rFonts w:cs="Arial"/>
          <w:szCs w:val="24"/>
        </w:rPr>
        <w:t xml:space="preserve">The LKE and </w:t>
      </w:r>
      <w:r w:rsidR="00876A9D">
        <w:rPr>
          <w:rFonts w:cs="Arial"/>
          <w:szCs w:val="24"/>
        </w:rPr>
        <w:t>WPD Midlands</w:t>
      </w:r>
      <w:r>
        <w:rPr>
          <w:rFonts w:cs="Arial"/>
          <w:szCs w:val="24"/>
        </w:rPr>
        <w:t xml:space="preserve"> auditors have dual reporting responsibilities: to their own organizations as well as to PPL SC Corporate Audit and Business Ethics.  Although the LKE and </w:t>
      </w:r>
      <w:r w:rsidR="00876A9D">
        <w:rPr>
          <w:rFonts w:cs="Arial"/>
          <w:szCs w:val="24"/>
        </w:rPr>
        <w:t>WPD Midlands</w:t>
      </w:r>
      <w:r>
        <w:rPr>
          <w:rFonts w:cs="Arial"/>
          <w:szCs w:val="24"/>
        </w:rPr>
        <w:t xml:space="preserve"> internal audit groups report up through the Vice President in Allentown, PA, these work groups are responsible for their own work.  The Vice President will report the results of their work to the Audit Committee, but will refer questions back to them.</w:t>
      </w:r>
    </w:p>
    <w:p w:rsidR="00F91070" w:rsidRPr="00E227E7" w:rsidRDefault="00F91070" w:rsidP="00701DCF">
      <w:pPr>
        <w:rPr>
          <w:rFonts w:cs="Arial"/>
          <w:szCs w:val="24"/>
        </w:rPr>
      </w:pPr>
      <w:r>
        <w:t>The Allentown audit team consists of a Vice President, eight auditors, two Sarbanes Oxley (SOX) auditors, one business ethics consultant, and one administrative coordinator.  Two contract auditors were brought in recently to perform SOX testing.  Professional audit-related certifications that have been earned by the audit staff include Certified Public Accountant (CPA), Certified Internal Auditor (CIA), Certified Information Systems Auditor (CISA), and Certified Fraud Examiner (CFE).  The average audit-related experience for this work group is over 10 years.  This work group is not used as an entry-level or management training ground for other PPL departments, but as a permanent career position department.</w:t>
      </w:r>
      <w:r w:rsidRPr="00B578D1">
        <w:rPr>
          <w:rFonts w:cs="Arial"/>
          <w:szCs w:val="24"/>
        </w:rPr>
        <w:t xml:space="preserve"> </w:t>
      </w:r>
      <w:r>
        <w:rPr>
          <w:rFonts w:cs="Arial"/>
          <w:szCs w:val="24"/>
        </w:rPr>
        <w:t>This group coordinates with PPL’s independent auditors to the extent possible regarding the independent auditor placing reliance on the work of internal audits, which generally has been in the area of SOX testing.  Three auditors and one internal audit director from PPL SC internal audit were offered and accepted positions at Talen Energy as a result of the spinoff. When appropriate, internal audit will use contract resources to augment staffing, as well as for specialized audit services such as the IT security area.</w:t>
      </w:r>
    </w:p>
    <w:p w:rsidR="00F91070" w:rsidRPr="00C905C4" w:rsidRDefault="00F91070" w:rsidP="00701DCF">
      <w:pPr>
        <w:rPr>
          <w:rFonts w:cs="Arial"/>
          <w:szCs w:val="24"/>
        </w:rPr>
      </w:pPr>
      <w:r w:rsidRPr="00C905C4">
        <w:rPr>
          <w:rFonts w:cs="Arial"/>
          <w:szCs w:val="24"/>
        </w:rPr>
        <w:t>T</w:t>
      </w:r>
      <w:r>
        <w:rPr>
          <w:rFonts w:cs="Arial"/>
          <w:szCs w:val="24"/>
        </w:rPr>
        <w:t>he PPL SC</w:t>
      </w:r>
      <w:r w:rsidRPr="00C905C4">
        <w:rPr>
          <w:rFonts w:cs="Arial"/>
          <w:szCs w:val="24"/>
        </w:rPr>
        <w:t xml:space="preserve"> </w:t>
      </w:r>
      <w:r>
        <w:rPr>
          <w:rFonts w:cs="Arial"/>
          <w:szCs w:val="24"/>
        </w:rPr>
        <w:t xml:space="preserve">Pennsylvania-based internal audit function had an external quality assessment (required every five years) performed by the Institute of Internal Auditors completed in September 2015.  The final report was issued as of October 2015. PPL </w:t>
      </w:r>
      <w:r>
        <w:rPr>
          <w:rFonts w:cs="Arial"/>
          <w:szCs w:val="24"/>
        </w:rPr>
        <w:lastRenderedPageBreak/>
        <w:t>Corporate Audit Services and Business Ethics received the highest rating of “Generally Conforms”.  The external quality assessment team commented on the significant experience of the internal audit staff and the thoroughness of their follow-up on audit recommendations and action items.</w:t>
      </w:r>
    </w:p>
    <w:p w:rsidR="00F91070" w:rsidRDefault="00F91070" w:rsidP="00701DCF">
      <w:pPr>
        <w:rPr>
          <w:rFonts w:cs="Arial"/>
          <w:szCs w:val="24"/>
        </w:rPr>
      </w:pPr>
      <w:r w:rsidRPr="008B7D45">
        <w:rPr>
          <w:rFonts w:cs="Arial"/>
          <w:b/>
          <w:szCs w:val="24"/>
        </w:rPr>
        <w:t>Audit Selecti</w:t>
      </w:r>
      <w:r>
        <w:rPr>
          <w:rFonts w:cs="Arial"/>
          <w:b/>
          <w:szCs w:val="24"/>
        </w:rPr>
        <w:t>o</w:t>
      </w:r>
      <w:r w:rsidRPr="008B7D45">
        <w:rPr>
          <w:rFonts w:cs="Arial"/>
          <w:b/>
          <w:szCs w:val="24"/>
        </w:rPr>
        <w:t>n and Risk Analysis.</w:t>
      </w:r>
      <w:r>
        <w:rPr>
          <w:rFonts w:cs="Arial"/>
          <w:szCs w:val="24"/>
        </w:rPr>
        <w:t xml:space="preserve">  The selection of areas to be audited is based on perceived risk to the company.  Input to help determine audit areas includes the business plan, corporate strategy, business processes, concern from management personnel, senior management, and the PPL Audit Committee.  The annual audit planning process starts with a request to responsible parties for their input and suggestions.  </w:t>
      </w:r>
    </w:p>
    <w:p w:rsidR="00F91070" w:rsidRPr="005D6F28" w:rsidRDefault="00F91070" w:rsidP="00701DCF">
      <w:pPr>
        <w:kinsoku w:val="0"/>
        <w:overflowPunct w:val="0"/>
        <w:spacing w:before="265" w:line="256" w:lineRule="exact"/>
        <w:ind w:left="72" w:right="72"/>
        <w:textAlignment w:val="baseline"/>
        <w:rPr>
          <w:rFonts w:cs="Arial"/>
          <w:szCs w:val="24"/>
        </w:rPr>
      </w:pPr>
      <w:r w:rsidRPr="005D6F28">
        <w:rPr>
          <w:rFonts w:cs="Arial"/>
          <w:szCs w:val="24"/>
        </w:rPr>
        <w:t>Steps taken to develop the annual audit plan include:</w:t>
      </w:r>
    </w:p>
    <w:p w:rsidR="00F91070" w:rsidRDefault="00F91070" w:rsidP="00701DCF">
      <w:pPr>
        <w:pStyle w:val="Bullet"/>
      </w:pPr>
      <w:r w:rsidRPr="005D6F28">
        <w:t xml:space="preserve">Calculating the number of auditor-hours available for audits </w:t>
      </w:r>
    </w:p>
    <w:p w:rsidR="00F91070" w:rsidRDefault="00F91070" w:rsidP="00701DCF">
      <w:pPr>
        <w:pStyle w:val="Bullet"/>
      </w:pPr>
      <w:r>
        <w:t>Soliciting input from PPL’s ERM function, other risk and compliance functions, responsibility center heads, PPL officers, and the Audit Committee</w:t>
      </w:r>
    </w:p>
    <w:p w:rsidR="00F91070" w:rsidRPr="005D6F28" w:rsidRDefault="00F91070">
      <w:pPr>
        <w:pStyle w:val="Bullet"/>
      </w:pPr>
      <w:r>
        <w:t>Aligning the audit plan with the Company’s strategic initiatives, organizational priorities, and key financial and operational risks</w:t>
      </w:r>
      <w:r w:rsidRPr="005D6F28">
        <w:t xml:space="preserve"> </w:t>
      </w:r>
    </w:p>
    <w:p w:rsidR="00F91070" w:rsidRPr="005D6F28" w:rsidRDefault="00F91070" w:rsidP="00701DCF">
      <w:pPr>
        <w:pStyle w:val="Bullet"/>
      </w:pPr>
      <w:r w:rsidRPr="005D6F28">
        <w:t xml:space="preserve">Developing a proposed listing of audits and associated risks for a </w:t>
      </w:r>
      <w:r>
        <w:t>one</w:t>
      </w:r>
      <w:r w:rsidRPr="005D6F28">
        <w:t xml:space="preserve">-year period of time </w:t>
      </w:r>
    </w:p>
    <w:p w:rsidR="00F91070" w:rsidRPr="005D6F28" w:rsidRDefault="00F91070" w:rsidP="00701DCF">
      <w:pPr>
        <w:pStyle w:val="Bullet"/>
      </w:pPr>
      <w:r w:rsidRPr="005D6F28">
        <w:t>Consider</w:t>
      </w:r>
      <w:r>
        <w:t>ing</w:t>
      </w:r>
      <w:r w:rsidRPr="005D6F28">
        <w:t xml:space="preserve"> potential areas of audit focus between </w:t>
      </w:r>
      <w:r>
        <w:t xml:space="preserve">the Pennsylvania-based audit team and the </w:t>
      </w:r>
      <w:r w:rsidRPr="005D6F28">
        <w:t xml:space="preserve">LKE and </w:t>
      </w:r>
      <w:r w:rsidR="00876A9D">
        <w:t>WPD Midlands</w:t>
      </w:r>
      <w:r w:rsidRPr="005D6F28">
        <w:t xml:space="preserve"> audit teams </w:t>
      </w:r>
    </w:p>
    <w:p w:rsidR="00F91070" w:rsidRDefault="00F91070" w:rsidP="00701DCF">
      <w:pPr>
        <w:pStyle w:val="Bullet"/>
      </w:pPr>
      <w:r>
        <w:t>Coordinating with the external (independent auditor) to ensure proper coordination of audit efforts</w:t>
      </w:r>
    </w:p>
    <w:p w:rsidR="00F91070" w:rsidRDefault="00F91070" w:rsidP="00701DCF">
      <w:pPr>
        <w:pStyle w:val="Bullet"/>
      </w:pPr>
      <w:r>
        <w:t>Utilizing criteria/weightings (impact and likelihood) to “risk rate” potential audit areas</w:t>
      </w:r>
    </w:p>
    <w:p w:rsidR="00F91070" w:rsidRPr="005D6F28" w:rsidRDefault="00F91070" w:rsidP="00701DCF">
      <w:pPr>
        <w:pStyle w:val="Bullet"/>
      </w:pPr>
      <w:r>
        <w:t>R</w:t>
      </w:r>
      <w:r w:rsidRPr="005D6F28">
        <w:t>eview</w:t>
      </w:r>
      <w:r>
        <w:t>ing the</w:t>
      </w:r>
      <w:r w:rsidRPr="005D6F28">
        <w:t xml:space="preserve"> listing of audits and risks in comparison to </w:t>
      </w:r>
      <w:r>
        <w:t>available audit</w:t>
      </w:r>
      <w:r w:rsidRPr="005D6F28">
        <w:t xml:space="preserve"> hours</w:t>
      </w:r>
      <w:r>
        <w:t>, b</w:t>
      </w:r>
      <w:r w:rsidRPr="005D6F28">
        <w:t>ased upon the results of the</w:t>
      </w:r>
      <w:r>
        <w:t xml:space="preserve"> ratings</w:t>
      </w:r>
    </w:p>
    <w:p w:rsidR="00F91070" w:rsidRPr="00D3666F" w:rsidRDefault="00F91070" w:rsidP="00701DCF">
      <w:pPr>
        <w:pStyle w:val="Bullet"/>
        <w:rPr>
          <w:rFonts w:cs="Arial"/>
          <w:szCs w:val="24"/>
        </w:rPr>
      </w:pPr>
      <w:r>
        <w:rPr>
          <w:rFonts w:cs="Arial"/>
          <w:szCs w:val="24"/>
        </w:rPr>
        <w:t>Evaluating the audit plan to ensure the planned percentage of audit hours allocated to each key risk area to ensure audit resources are being optimized</w:t>
      </w:r>
    </w:p>
    <w:p w:rsidR="00F91070" w:rsidRPr="00C46E53" w:rsidRDefault="00F91070" w:rsidP="00701DCF">
      <w:pPr>
        <w:pStyle w:val="Bullet"/>
        <w:rPr>
          <w:rFonts w:cs="Arial"/>
          <w:szCs w:val="24"/>
        </w:rPr>
      </w:pPr>
      <w:r>
        <w:t>Reviewing the proposed audit plan with the external (independent) auditor, PPL SC’s Chief Risk Officer, and senior management personnel</w:t>
      </w:r>
    </w:p>
    <w:p w:rsidR="00F91070" w:rsidRDefault="00F91070" w:rsidP="00511EFB">
      <w:pPr>
        <w:pStyle w:val="Normal-aftertable"/>
      </w:pPr>
      <w:r>
        <w:t xml:space="preserve">The proposed audit plan is presented to the Audit Committee at their January meeting for review and approval.   </w:t>
      </w:r>
    </w:p>
    <w:p w:rsidR="00F91070" w:rsidRPr="00492242" w:rsidRDefault="00F91070" w:rsidP="00701DCF">
      <w:pPr>
        <w:rPr>
          <w:rFonts w:cs="Arial"/>
          <w:szCs w:val="24"/>
        </w:rPr>
      </w:pPr>
      <w:r>
        <w:rPr>
          <w:rFonts w:cs="Arial"/>
          <w:b/>
          <w:szCs w:val="24"/>
        </w:rPr>
        <w:t>Audit Process.</w:t>
      </w:r>
      <w:r>
        <w:rPr>
          <w:rFonts w:cs="Arial"/>
          <w:szCs w:val="24"/>
        </w:rPr>
        <w:t xml:space="preserve">  The number of audits included on the 2016 audit plan for Pennsylvania-based internal audit is approximately 50; the average size of each audit is approximately 150 hours, typically staffed with one auditor.  Generally, there is little contention when reviewing audit reports; the open audit process ensures that contentious areas have been fully discussed prior to completion of the audit.  Internal Audit will track open items and action items that come from the audit reports.  Generally, management’s responses to audit recommendations are included in the final report.  If not included in the final audit report, management’s responses to audit recommendations are required within 30 days.</w:t>
      </w:r>
    </w:p>
    <w:p w:rsidR="00F91070" w:rsidRPr="00BF54B8" w:rsidRDefault="00F91070" w:rsidP="00701DCF">
      <w:pPr>
        <w:rPr>
          <w:rFonts w:cs="Arial"/>
          <w:szCs w:val="24"/>
        </w:rPr>
      </w:pPr>
      <w:r>
        <w:rPr>
          <w:rFonts w:cs="Arial"/>
          <w:szCs w:val="24"/>
        </w:rPr>
        <w:lastRenderedPageBreak/>
        <w:t xml:space="preserve">The responsibility for the </w:t>
      </w:r>
      <w:r w:rsidRPr="00BF54B8">
        <w:rPr>
          <w:rFonts w:cs="Arial"/>
          <w:szCs w:val="24"/>
        </w:rPr>
        <w:t>SOX</w:t>
      </w:r>
      <w:r>
        <w:rPr>
          <w:rFonts w:cs="Arial"/>
          <w:szCs w:val="24"/>
        </w:rPr>
        <w:t xml:space="preserve"> compliance function, which previously rested with PPL SC Corporate Accounting, was transferred to the Internal Audit group on April 1, 2015.  The Controller reports on SOX issues to the PPL Audit Committee.</w:t>
      </w:r>
    </w:p>
    <w:p w:rsidR="00F91070" w:rsidRDefault="00F91070" w:rsidP="00701DCF">
      <w:r w:rsidRPr="004C267E">
        <w:rPr>
          <w:b/>
        </w:rPr>
        <w:t>Audit Committee Interaction</w:t>
      </w:r>
      <w:r w:rsidRPr="007B4868">
        <w:t xml:space="preserve">. </w:t>
      </w:r>
      <w:r>
        <w:t xml:space="preserve"> The Audit Committee holds a minimum of four regular meetings per year and meets at other times as needed or appropriate.  In 2015, the Audit Committee met eight times – four in-person meetings and four conference calls.  The Audit Committee also had an educational session in December. There are six independent Audit Committee members.  The Audit Committee meetings are attended by the Vice President – Internal Audit, CEO, CFO, VP’s, Legal, presenters, and external auditors. During Audit Committee meetings, highlights of the Corporate Audit and Business Ethics Report are discussed, including key areas of audit focus, the results of audits completed during the previous quarter, and an update on performance measures and staffing.</w:t>
      </w:r>
    </w:p>
    <w:p w:rsidR="00F91070" w:rsidRDefault="00F91070" w:rsidP="00701DCF">
      <w:pPr>
        <w:pStyle w:val="Heading30"/>
      </w:pPr>
      <w:r w:rsidRPr="00D11D10">
        <w:t>PPL euS ORGANIZATION AND FUNCTIONS</w:t>
      </w:r>
    </w:p>
    <w:p w:rsidR="00F91070" w:rsidRDefault="00F91070" w:rsidP="00701DCF">
      <w:pPr>
        <w:rPr>
          <w:rFonts w:cs="Arial"/>
          <w:szCs w:val="24"/>
        </w:rPr>
      </w:pPr>
      <w:proofErr w:type="gramStart"/>
      <w:r>
        <w:rPr>
          <w:rFonts w:cs="Arial"/>
          <w:szCs w:val="24"/>
        </w:rPr>
        <w:t>The Regulatory Affairs; Accounting, Planning, Reporting; and Facilities Management organizations report directly to the PPL EU President.</w:t>
      </w:r>
      <w:proofErr w:type="gramEnd"/>
      <w:r>
        <w:rPr>
          <w:rFonts w:cs="Arial"/>
          <w:szCs w:val="24"/>
        </w:rPr>
        <w:t xml:space="preserve">  The organization chart for these three work units is shown in the following exhibit.</w:t>
      </w:r>
    </w:p>
    <w:p w:rsidR="00F91070" w:rsidRDefault="00AD2223" w:rsidP="00AD2223">
      <w:pPr>
        <w:pStyle w:val="Caption"/>
      </w:pPr>
      <w:bookmarkStart w:id="104" w:name="_Toc464552963"/>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7</w:t>
      </w:r>
      <w:r w:rsidR="00CB2B2A">
        <w:rPr>
          <w:noProof/>
        </w:rPr>
        <w:fldChar w:fldCharType="end"/>
      </w:r>
      <w:r w:rsidR="002F6183">
        <w:br/>
      </w:r>
      <w:r w:rsidR="00F91070">
        <w:t>PPL EUS Finance and Regulatory Affairs Organization Chart</w:t>
      </w:r>
      <w:bookmarkEnd w:id="104"/>
    </w:p>
    <w:p w:rsidR="00F91070" w:rsidRDefault="00337304" w:rsidP="00701DCF">
      <w:r>
        <w:rPr>
          <w:noProof/>
        </w:rPr>
        <w:drawing>
          <wp:inline distT="0" distB="0" distL="0" distR="0">
            <wp:extent cx="5943600" cy="33724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PL-EU_01071_Reg&amp;ActgPlng_page2&amp;3_v3.jpg"/>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3372485"/>
                    </a:xfrm>
                    <a:prstGeom prst="rect">
                      <a:avLst/>
                    </a:prstGeom>
                  </pic:spPr>
                </pic:pic>
              </a:graphicData>
            </a:graphic>
          </wp:inline>
        </w:drawing>
      </w:r>
    </w:p>
    <w:p w:rsidR="00F91070" w:rsidRPr="002749E7" w:rsidRDefault="00F91070" w:rsidP="00701DCF">
      <w:r>
        <w:t>Source: DN 01-071</w:t>
      </w:r>
    </w:p>
    <w:p w:rsidR="00F91070" w:rsidRDefault="00F91070" w:rsidP="00701DCF">
      <w:pPr>
        <w:pStyle w:val="Heading40"/>
      </w:pPr>
      <w:r>
        <w:t>Regulatory Affairs</w:t>
      </w:r>
    </w:p>
    <w:p w:rsidR="00F91070" w:rsidRDefault="00F91070" w:rsidP="00701DCF">
      <w:pPr>
        <w:rPr>
          <w:rFonts w:cs="Arial"/>
          <w:szCs w:val="24"/>
        </w:rPr>
      </w:pPr>
      <w:r>
        <w:rPr>
          <w:rFonts w:cs="Arial"/>
          <w:szCs w:val="24"/>
        </w:rPr>
        <w:t xml:space="preserve">This work group is headed by a Manager, Regulatory Operations with four direct reports – a Regulatory Affairs Manager, a Supervisor – Energy Procurement, and two financial analysts.  This work group is responsible for coordination of regulatory strategy, </w:t>
      </w:r>
      <w:r>
        <w:rPr>
          <w:rFonts w:cs="Arial"/>
          <w:szCs w:val="24"/>
        </w:rPr>
        <w:lastRenderedPageBreak/>
        <w:t>regulatory compliance, and regulatory initiatives, and includes</w:t>
      </w:r>
      <w:r w:rsidRPr="009C1709">
        <w:rPr>
          <w:rFonts w:cs="Arial"/>
          <w:szCs w:val="24"/>
        </w:rPr>
        <w:t xml:space="preserve"> </w:t>
      </w:r>
      <w:r>
        <w:rPr>
          <w:rFonts w:cs="Arial"/>
          <w:szCs w:val="24"/>
        </w:rPr>
        <w:t xml:space="preserve">distribution and transmission rate development and providing guidance and answering questions regarding tariff issues for either external or internal customers.  Regulatory issues and developments are monitored, and this work group represents PPL EU at meetings with the PA PUC (normally bi-weekly PUC public meetings in Harrisburg, PA) and reports meeting results to PPL EU management. </w:t>
      </w:r>
    </w:p>
    <w:p w:rsidR="00F91070" w:rsidRPr="00492242" w:rsidRDefault="00F91070" w:rsidP="00701DCF">
      <w:pPr>
        <w:rPr>
          <w:rFonts w:cs="Arial"/>
          <w:szCs w:val="24"/>
        </w:rPr>
      </w:pPr>
      <w:r>
        <w:rPr>
          <w:rFonts w:cs="Arial"/>
          <w:szCs w:val="24"/>
        </w:rPr>
        <w:t>PPL EU has nine rate riders.  Reconciliation filings for select riders are filed with the PUC quarterly in accordance with the Company’s tariff.  These are filed electronically after being reviewed by the Office of the General Counsel in PPL SC.  Updates to the riders are not audited by Internal Auditing.  Price changes typically occur five times per year and rate filings may increase or decrease rates. A schedule of the PPL EU riders is shown in the following exhibit.</w:t>
      </w:r>
    </w:p>
    <w:p w:rsidR="00F91070" w:rsidRDefault="00AD2223" w:rsidP="00AD2223">
      <w:pPr>
        <w:pStyle w:val="Caption"/>
      </w:pPr>
      <w:bookmarkStart w:id="105" w:name="_Toc464552964"/>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8</w:t>
      </w:r>
      <w:r w:rsidR="00CB2B2A">
        <w:rPr>
          <w:noProof/>
        </w:rPr>
        <w:fldChar w:fldCharType="end"/>
      </w:r>
      <w:r w:rsidR="002F6183">
        <w:br/>
      </w:r>
      <w:r w:rsidR="00F91070">
        <w:t>PPL Electric Customer Rate Riders</w:t>
      </w:r>
      <w:bookmarkEnd w:id="1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5"/>
        <w:gridCol w:w="4770"/>
        <w:gridCol w:w="1890"/>
      </w:tblGrid>
      <w:tr w:rsidR="00F91070" w:rsidRPr="006304A4" w:rsidTr="00F91070">
        <w:trPr>
          <w:cantSplit/>
          <w:tblHeader/>
          <w:jc w:val="center"/>
        </w:trPr>
        <w:tc>
          <w:tcPr>
            <w:tcW w:w="985" w:type="dxa"/>
            <w:shd w:val="clear" w:color="auto" w:fill="A5CD7E"/>
            <w:vAlign w:val="center"/>
          </w:tcPr>
          <w:p w:rsidR="00F91070" w:rsidRPr="009E68FD" w:rsidRDefault="00F91070" w:rsidP="006304A4">
            <w:pPr>
              <w:spacing w:before="120"/>
              <w:jc w:val="center"/>
              <w:rPr>
                <w:b/>
              </w:rPr>
            </w:pPr>
            <w:r w:rsidRPr="009E68FD">
              <w:rPr>
                <w:b/>
              </w:rPr>
              <w:t>Rider</w:t>
            </w:r>
          </w:p>
        </w:tc>
        <w:tc>
          <w:tcPr>
            <w:tcW w:w="4770" w:type="dxa"/>
            <w:shd w:val="clear" w:color="auto" w:fill="A5CD7E"/>
            <w:vAlign w:val="center"/>
          </w:tcPr>
          <w:p w:rsidR="00F91070" w:rsidRPr="009E68FD" w:rsidRDefault="00F91070" w:rsidP="006304A4">
            <w:pPr>
              <w:spacing w:before="120"/>
              <w:jc w:val="center"/>
              <w:rPr>
                <w:b/>
              </w:rPr>
            </w:pPr>
            <w:r>
              <w:rPr>
                <w:b/>
              </w:rPr>
              <w:t>Description</w:t>
            </w:r>
          </w:p>
        </w:tc>
        <w:tc>
          <w:tcPr>
            <w:tcW w:w="1890" w:type="dxa"/>
            <w:shd w:val="clear" w:color="auto" w:fill="A5CD7E"/>
            <w:vAlign w:val="center"/>
          </w:tcPr>
          <w:p w:rsidR="00F91070" w:rsidRPr="009E68FD" w:rsidRDefault="00F91070" w:rsidP="006304A4">
            <w:pPr>
              <w:spacing w:before="120"/>
              <w:jc w:val="center"/>
              <w:rPr>
                <w:b/>
              </w:rPr>
            </w:pPr>
            <w:r w:rsidRPr="009E68FD">
              <w:rPr>
                <w:b/>
              </w:rPr>
              <w:t>Calculation</w:t>
            </w:r>
            <w:r>
              <w:rPr>
                <w:b/>
              </w:rPr>
              <w:t xml:space="preserve"> </w:t>
            </w:r>
            <w:r w:rsidRPr="009E68FD">
              <w:rPr>
                <w:b/>
              </w:rPr>
              <w:t>Frequency</w:t>
            </w:r>
          </w:p>
        </w:tc>
      </w:tr>
      <w:tr w:rsidR="00F91070" w:rsidTr="00701DCF">
        <w:trPr>
          <w:jc w:val="center"/>
        </w:trPr>
        <w:tc>
          <w:tcPr>
            <w:tcW w:w="7645" w:type="dxa"/>
            <w:gridSpan w:val="3"/>
            <w:shd w:val="clear" w:color="auto" w:fill="A5CD7E"/>
            <w:vAlign w:val="bottom"/>
          </w:tcPr>
          <w:p w:rsidR="00F91070" w:rsidRPr="00413707" w:rsidRDefault="00F91070" w:rsidP="006304A4">
            <w:pPr>
              <w:spacing w:before="60" w:after="60"/>
              <w:rPr>
                <w:b/>
              </w:rPr>
            </w:pPr>
            <w:r w:rsidRPr="00413707">
              <w:rPr>
                <w:b/>
              </w:rPr>
              <w:t>Generation Riders (for default supply customers only)</w:t>
            </w:r>
          </w:p>
        </w:tc>
      </w:tr>
      <w:tr w:rsidR="00F91070" w:rsidTr="00701DCF">
        <w:trPr>
          <w:jc w:val="center"/>
        </w:trPr>
        <w:tc>
          <w:tcPr>
            <w:tcW w:w="985" w:type="dxa"/>
            <w:vAlign w:val="bottom"/>
          </w:tcPr>
          <w:p w:rsidR="00F91070" w:rsidRDefault="00F91070" w:rsidP="00701DCF">
            <w:pPr>
              <w:spacing w:after="0"/>
              <w:jc w:val="left"/>
            </w:pPr>
            <w:r>
              <w:t>GSC-1</w:t>
            </w:r>
          </w:p>
        </w:tc>
        <w:tc>
          <w:tcPr>
            <w:tcW w:w="4770" w:type="dxa"/>
            <w:vAlign w:val="bottom"/>
          </w:tcPr>
          <w:p w:rsidR="00F91070" w:rsidRDefault="00F91070" w:rsidP="00701DCF">
            <w:pPr>
              <w:spacing w:after="0"/>
              <w:jc w:val="left"/>
            </w:pPr>
            <w:r>
              <w:t>Generation Supply Charge</w:t>
            </w:r>
          </w:p>
        </w:tc>
        <w:tc>
          <w:tcPr>
            <w:tcW w:w="1890" w:type="dxa"/>
          </w:tcPr>
          <w:p w:rsidR="00F91070" w:rsidRDefault="00F91070" w:rsidP="00701DCF">
            <w:pPr>
              <w:spacing w:after="0"/>
              <w:jc w:val="left"/>
            </w:pPr>
            <w:r>
              <w:t>Every 6 months</w:t>
            </w:r>
          </w:p>
        </w:tc>
      </w:tr>
      <w:tr w:rsidR="00F91070" w:rsidTr="00701DCF">
        <w:trPr>
          <w:jc w:val="center"/>
        </w:trPr>
        <w:tc>
          <w:tcPr>
            <w:tcW w:w="985" w:type="dxa"/>
          </w:tcPr>
          <w:p w:rsidR="00F91070" w:rsidRDefault="00F91070" w:rsidP="00701DCF">
            <w:pPr>
              <w:spacing w:after="0"/>
            </w:pPr>
            <w:r>
              <w:t>GSC-2</w:t>
            </w:r>
          </w:p>
        </w:tc>
        <w:tc>
          <w:tcPr>
            <w:tcW w:w="4770" w:type="dxa"/>
            <w:vAlign w:val="bottom"/>
          </w:tcPr>
          <w:p w:rsidR="00F91070" w:rsidRDefault="00F91070" w:rsidP="00701DCF">
            <w:pPr>
              <w:spacing w:after="0"/>
              <w:jc w:val="left"/>
            </w:pPr>
            <w:r>
              <w:t>Generation Supply Charge</w:t>
            </w:r>
          </w:p>
        </w:tc>
        <w:tc>
          <w:tcPr>
            <w:tcW w:w="1890" w:type="dxa"/>
          </w:tcPr>
          <w:p w:rsidR="00F91070" w:rsidRDefault="00F91070" w:rsidP="00701DCF">
            <w:pPr>
              <w:spacing w:after="0"/>
            </w:pPr>
            <w:r>
              <w:t>Annually</w:t>
            </w:r>
          </w:p>
        </w:tc>
      </w:tr>
      <w:tr w:rsidR="00F91070" w:rsidRPr="006304A4" w:rsidTr="00701DCF">
        <w:trPr>
          <w:jc w:val="center"/>
        </w:trPr>
        <w:tc>
          <w:tcPr>
            <w:tcW w:w="7645" w:type="dxa"/>
            <w:gridSpan w:val="3"/>
            <w:shd w:val="clear" w:color="auto" w:fill="A5CD7E"/>
          </w:tcPr>
          <w:p w:rsidR="00F91070" w:rsidRPr="00413707" w:rsidRDefault="00F91070" w:rsidP="006304A4">
            <w:pPr>
              <w:spacing w:before="60" w:after="60"/>
              <w:rPr>
                <w:b/>
              </w:rPr>
            </w:pPr>
            <w:r w:rsidRPr="00413707">
              <w:rPr>
                <w:b/>
              </w:rPr>
              <w:t>Transmission Riders (for default supply customers only)</w:t>
            </w:r>
          </w:p>
        </w:tc>
      </w:tr>
      <w:tr w:rsidR="00F91070" w:rsidTr="00701DCF">
        <w:trPr>
          <w:jc w:val="center"/>
        </w:trPr>
        <w:tc>
          <w:tcPr>
            <w:tcW w:w="985" w:type="dxa"/>
          </w:tcPr>
          <w:p w:rsidR="00F91070" w:rsidRDefault="00F91070" w:rsidP="00701DCF">
            <w:pPr>
              <w:spacing w:after="0"/>
            </w:pPr>
            <w:r>
              <w:t>TSC</w:t>
            </w:r>
          </w:p>
        </w:tc>
        <w:tc>
          <w:tcPr>
            <w:tcW w:w="4770" w:type="dxa"/>
            <w:vAlign w:val="bottom"/>
          </w:tcPr>
          <w:p w:rsidR="00F91070" w:rsidRDefault="00F91070" w:rsidP="00701DCF">
            <w:pPr>
              <w:spacing w:after="0"/>
              <w:jc w:val="left"/>
            </w:pPr>
            <w:r>
              <w:t>Transmission Service Charge</w:t>
            </w:r>
          </w:p>
        </w:tc>
        <w:tc>
          <w:tcPr>
            <w:tcW w:w="1890" w:type="dxa"/>
          </w:tcPr>
          <w:p w:rsidR="00F91070" w:rsidRDefault="00F91070" w:rsidP="00701DCF">
            <w:pPr>
              <w:spacing w:after="0"/>
            </w:pPr>
            <w:r>
              <w:t>Annually</w:t>
            </w:r>
          </w:p>
        </w:tc>
      </w:tr>
      <w:tr w:rsidR="00F91070" w:rsidRPr="006304A4" w:rsidTr="00701DCF">
        <w:trPr>
          <w:jc w:val="center"/>
        </w:trPr>
        <w:tc>
          <w:tcPr>
            <w:tcW w:w="7645" w:type="dxa"/>
            <w:gridSpan w:val="3"/>
            <w:shd w:val="clear" w:color="auto" w:fill="A5CD7E"/>
          </w:tcPr>
          <w:p w:rsidR="00F91070" w:rsidRPr="00413707" w:rsidRDefault="00F91070" w:rsidP="006304A4">
            <w:pPr>
              <w:spacing w:before="60" w:after="60"/>
              <w:rPr>
                <w:b/>
              </w:rPr>
            </w:pPr>
            <w:r w:rsidRPr="00413707">
              <w:rPr>
                <w:b/>
              </w:rPr>
              <w:t>Distribution Riders</w:t>
            </w:r>
          </w:p>
        </w:tc>
      </w:tr>
      <w:tr w:rsidR="00F91070" w:rsidTr="00701DCF">
        <w:trPr>
          <w:jc w:val="center"/>
        </w:trPr>
        <w:tc>
          <w:tcPr>
            <w:tcW w:w="985" w:type="dxa"/>
          </w:tcPr>
          <w:p w:rsidR="00F91070" w:rsidRDefault="00F91070" w:rsidP="00701DCF">
            <w:pPr>
              <w:spacing w:after="0"/>
            </w:pPr>
            <w:r>
              <w:t>SMR-2</w:t>
            </w:r>
          </w:p>
        </w:tc>
        <w:tc>
          <w:tcPr>
            <w:tcW w:w="4770" w:type="dxa"/>
            <w:vAlign w:val="bottom"/>
          </w:tcPr>
          <w:p w:rsidR="00F91070" w:rsidRDefault="00F91070" w:rsidP="00701DCF">
            <w:pPr>
              <w:spacing w:after="0"/>
              <w:jc w:val="left"/>
            </w:pPr>
            <w:r>
              <w:t>Smart Meter Rider-2</w:t>
            </w:r>
          </w:p>
        </w:tc>
        <w:tc>
          <w:tcPr>
            <w:tcW w:w="1890" w:type="dxa"/>
          </w:tcPr>
          <w:p w:rsidR="00F91070" w:rsidRDefault="00F91070" w:rsidP="00701DCF">
            <w:pPr>
              <w:spacing w:after="0"/>
            </w:pPr>
            <w:r>
              <w:t>Quarterly</w:t>
            </w:r>
          </w:p>
        </w:tc>
      </w:tr>
      <w:tr w:rsidR="00F91070" w:rsidTr="00701DCF">
        <w:trPr>
          <w:jc w:val="center"/>
        </w:trPr>
        <w:tc>
          <w:tcPr>
            <w:tcW w:w="985" w:type="dxa"/>
          </w:tcPr>
          <w:p w:rsidR="00F91070" w:rsidRDefault="00F91070" w:rsidP="00701DCF">
            <w:pPr>
              <w:spacing w:after="0"/>
            </w:pPr>
            <w:r>
              <w:t>USR</w:t>
            </w:r>
          </w:p>
        </w:tc>
        <w:tc>
          <w:tcPr>
            <w:tcW w:w="4770" w:type="dxa"/>
            <w:vAlign w:val="bottom"/>
          </w:tcPr>
          <w:p w:rsidR="00F91070" w:rsidRDefault="00F91070" w:rsidP="00701DCF">
            <w:pPr>
              <w:spacing w:after="0"/>
              <w:jc w:val="left"/>
            </w:pPr>
            <w:r>
              <w:t>Universal Service Rider</w:t>
            </w:r>
          </w:p>
        </w:tc>
        <w:tc>
          <w:tcPr>
            <w:tcW w:w="1890" w:type="dxa"/>
          </w:tcPr>
          <w:p w:rsidR="00F91070" w:rsidRDefault="00F91070" w:rsidP="00701DCF">
            <w:pPr>
              <w:spacing w:after="0"/>
            </w:pPr>
            <w:r>
              <w:t>Annually</w:t>
            </w:r>
          </w:p>
        </w:tc>
      </w:tr>
      <w:tr w:rsidR="00F91070" w:rsidTr="00701DCF">
        <w:trPr>
          <w:jc w:val="center"/>
        </w:trPr>
        <w:tc>
          <w:tcPr>
            <w:tcW w:w="985" w:type="dxa"/>
          </w:tcPr>
          <w:p w:rsidR="00F91070" w:rsidRDefault="00F91070" w:rsidP="00701DCF">
            <w:pPr>
              <w:spacing w:after="0"/>
            </w:pPr>
            <w:r>
              <w:t>ACR-2</w:t>
            </w:r>
          </w:p>
        </w:tc>
        <w:tc>
          <w:tcPr>
            <w:tcW w:w="4770" w:type="dxa"/>
            <w:vAlign w:val="bottom"/>
          </w:tcPr>
          <w:p w:rsidR="00F91070" w:rsidRDefault="00F91070" w:rsidP="00701DCF">
            <w:pPr>
              <w:spacing w:after="0"/>
              <w:jc w:val="left"/>
            </w:pPr>
            <w:r>
              <w:t>Act 129 Phase II</w:t>
            </w:r>
          </w:p>
        </w:tc>
        <w:tc>
          <w:tcPr>
            <w:tcW w:w="1890" w:type="dxa"/>
          </w:tcPr>
          <w:p w:rsidR="00F91070" w:rsidRDefault="00F91070" w:rsidP="00701DCF">
            <w:pPr>
              <w:spacing w:after="0"/>
            </w:pPr>
            <w:r>
              <w:t xml:space="preserve">Annually                    </w:t>
            </w:r>
          </w:p>
        </w:tc>
      </w:tr>
      <w:tr w:rsidR="00F91070" w:rsidTr="00701DCF">
        <w:trPr>
          <w:jc w:val="center"/>
        </w:trPr>
        <w:tc>
          <w:tcPr>
            <w:tcW w:w="985" w:type="dxa"/>
          </w:tcPr>
          <w:p w:rsidR="00F91070" w:rsidRDefault="00F91070" w:rsidP="00701DCF">
            <w:pPr>
              <w:spacing w:after="0"/>
            </w:pPr>
            <w:r>
              <w:t>DSIC</w:t>
            </w:r>
          </w:p>
        </w:tc>
        <w:tc>
          <w:tcPr>
            <w:tcW w:w="4770" w:type="dxa"/>
            <w:vAlign w:val="bottom"/>
          </w:tcPr>
          <w:p w:rsidR="00F91070" w:rsidRDefault="00F91070" w:rsidP="00701DCF">
            <w:pPr>
              <w:spacing w:after="0"/>
              <w:jc w:val="left"/>
            </w:pPr>
            <w:r>
              <w:t>Distribution System Improvement Charge</w:t>
            </w:r>
          </w:p>
        </w:tc>
        <w:tc>
          <w:tcPr>
            <w:tcW w:w="1890" w:type="dxa"/>
          </w:tcPr>
          <w:p w:rsidR="00F91070" w:rsidRDefault="00F91070" w:rsidP="00701DCF">
            <w:pPr>
              <w:spacing w:after="0"/>
            </w:pPr>
            <w:r>
              <w:t>Quarterly</w:t>
            </w:r>
          </w:p>
        </w:tc>
      </w:tr>
      <w:tr w:rsidR="00F91070" w:rsidTr="00701DCF">
        <w:trPr>
          <w:jc w:val="center"/>
        </w:trPr>
        <w:tc>
          <w:tcPr>
            <w:tcW w:w="985" w:type="dxa"/>
          </w:tcPr>
          <w:p w:rsidR="00F91070" w:rsidRDefault="00F91070" w:rsidP="00701DCF">
            <w:pPr>
              <w:spacing w:after="0"/>
            </w:pPr>
            <w:r>
              <w:t>CER</w:t>
            </w:r>
          </w:p>
        </w:tc>
        <w:tc>
          <w:tcPr>
            <w:tcW w:w="4770" w:type="dxa"/>
            <w:vAlign w:val="bottom"/>
          </w:tcPr>
          <w:p w:rsidR="00F91070" w:rsidRDefault="00F91070" w:rsidP="00701DCF">
            <w:pPr>
              <w:spacing w:after="0"/>
              <w:jc w:val="left"/>
            </w:pPr>
            <w:r>
              <w:t>Competitive Enhancement Rider</w:t>
            </w:r>
          </w:p>
        </w:tc>
        <w:tc>
          <w:tcPr>
            <w:tcW w:w="1890" w:type="dxa"/>
          </w:tcPr>
          <w:p w:rsidR="00F91070" w:rsidRDefault="00F91070" w:rsidP="00701DCF">
            <w:pPr>
              <w:spacing w:after="0"/>
            </w:pPr>
            <w:r>
              <w:t>Annually</w:t>
            </w:r>
          </w:p>
        </w:tc>
      </w:tr>
      <w:tr w:rsidR="00F91070" w:rsidTr="00701DCF">
        <w:trPr>
          <w:jc w:val="center"/>
        </w:trPr>
        <w:tc>
          <w:tcPr>
            <w:tcW w:w="985" w:type="dxa"/>
          </w:tcPr>
          <w:p w:rsidR="00F91070" w:rsidRDefault="00F91070" w:rsidP="00701DCF">
            <w:pPr>
              <w:spacing w:after="0"/>
            </w:pPr>
            <w:r>
              <w:t>SDER</w:t>
            </w:r>
          </w:p>
        </w:tc>
        <w:tc>
          <w:tcPr>
            <w:tcW w:w="4770" w:type="dxa"/>
            <w:vAlign w:val="bottom"/>
          </w:tcPr>
          <w:p w:rsidR="00F91070" w:rsidRDefault="00F91070" w:rsidP="00701DCF">
            <w:pPr>
              <w:spacing w:after="0"/>
              <w:jc w:val="left"/>
            </w:pPr>
            <w:r>
              <w:t>Storm Damage Expense Rider</w:t>
            </w:r>
          </w:p>
        </w:tc>
        <w:tc>
          <w:tcPr>
            <w:tcW w:w="1890" w:type="dxa"/>
          </w:tcPr>
          <w:p w:rsidR="00F91070" w:rsidRDefault="00F91070" w:rsidP="00701DCF">
            <w:pPr>
              <w:spacing w:after="0"/>
            </w:pPr>
            <w:r>
              <w:t>Annually</w:t>
            </w:r>
          </w:p>
        </w:tc>
      </w:tr>
      <w:tr w:rsidR="00F91070" w:rsidTr="00701DCF">
        <w:trPr>
          <w:jc w:val="center"/>
        </w:trPr>
        <w:tc>
          <w:tcPr>
            <w:tcW w:w="7645" w:type="dxa"/>
            <w:gridSpan w:val="3"/>
          </w:tcPr>
          <w:p w:rsidR="00F91070" w:rsidRDefault="00F91070" w:rsidP="00701DCF">
            <w:pPr>
              <w:spacing w:after="0"/>
            </w:pPr>
            <w:r>
              <w:t>Source:  DN 08-083</w:t>
            </w:r>
          </w:p>
        </w:tc>
      </w:tr>
    </w:tbl>
    <w:p w:rsidR="00F91070" w:rsidRDefault="00F91070" w:rsidP="00701DCF">
      <w:pPr>
        <w:pStyle w:val="Heading40"/>
      </w:pPr>
      <w:r>
        <w:t>Energy Procurement and Energy Scheduling and Settlement</w:t>
      </w:r>
    </w:p>
    <w:p w:rsidR="00F91070" w:rsidRPr="00492242" w:rsidRDefault="00F91070" w:rsidP="00701DCF">
      <w:pPr>
        <w:rPr>
          <w:rFonts w:cs="Arial"/>
          <w:szCs w:val="24"/>
        </w:rPr>
      </w:pPr>
      <w:r>
        <w:rPr>
          <w:rFonts w:cs="Arial"/>
          <w:szCs w:val="24"/>
        </w:rPr>
        <w:t xml:space="preserve">This work group is headed by a supervisor who reports directly to the Manager-Regulatory Operations and has two direct reports – Energy Scheduling and Settlement specialists.  This work group is responsible for procuring power for PPL’s default service requirement.  This procurement is achieved by holding auctions through which the least expensive, responsive bidders are awarded contracts for power delivery.  Auctions are held throughout the year for portions of the annual power requirement.  Prospective bidders are allowed to bid on tranches of the total power amount being auctioned at any one time.  There can be up to 10 suppliers selected per auction, and most tranches represent no more than 2.5% of the total amount to be supplied at any one time.  There must be at least two bidders to have a successful auction.  The auction process takes six to eight weeks and is managed by an outside contractor.  Selection of the auction manager is conducted through a RFP process.  The use of an auction manager is </w:t>
      </w:r>
      <w:r>
        <w:rPr>
          <w:rFonts w:cs="Arial"/>
          <w:szCs w:val="24"/>
        </w:rPr>
        <w:lastRenderedPageBreak/>
        <w:t>required by the PAPUC.  The successful bidders for each auction must be approved by the PAPUC.  If the PAPUC doesn’t respond with their approval within two days after being notified of the successful bidder, then approval of the bidder is assumed to be tacitly given.  Bidders will have their credit reviewed and assigned a credit limit by Corporate Risk Management.  The Energy Procurement group is also responsible for managing the distributed generation process for customer-owned generation.  The running balance for generation compared to use is maintained and settled at year-end.</w:t>
      </w:r>
    </w:p>
    <w:p w:rsidR="00F91070" w:rsidRPr="00782790" w:rsidRDefault="00F91070" w:rsidP="00AD2223">
      <w:pPr>
        <w:pStyle w:val="Heading40"/>
      </w:pPr>
      <w:r w:rsidRPr="00782790">
        <w:t xml:space="preserve">Accounting </w:t>
      </w:r>
      <w:r>
        <w:t>and</w:t>
      </w:r>
      <w:r w:rsidRPr="00782790">
        <w:t xml:space="preserve"> Financial Reporting</w:t>
      </w:r>
    </w:p>
    <w:p w:rsidR="00F91070" w:rsidRPr="00A17935" w:rsidRDefault="00F91070" w:rsidP="00701DCF">
      <w:r w:rsidRPr="00A17935">
        <w:t xml:space="preserve">This work group is headed by a director with eight direct reports and is responsible for performing PPL EU’s accounting and reporting and most of its budgeting functions.  Accounting functions include preparing </w:t>
      </w:r>
      <w:r>
        <w:t xml:space="preserve">and recording </w:t>
      </w:r>
      <w:r w:rsidRPr="00A17935">
        <w:t>journal entries for PPL</w:t>
      </w:r>
      <w:r>
        <w:t xml:space="preserve"> EU and EUS</w:t>
      </w:r>
      <w:r w:rsidRPr="00A17935">
        <w:t>, creating and controlling expenditure requisitions (ER’s), monthly accounting closes, fixed asset accounting (including project accounting, monthly closes, and unitization), accounting clearings, overhead cost allocations, and miscellaneous billing.  Budgeting functions performed by this group include load forecasting, transmission and distribution revenue forecasting, assisting business units in budget preparation, budget and variance analysis, and strategy evaluation.  Reporting functions include preparing FERC reports, SEC reports (10K, 10Q, 8K), PUC reports (Annual Report), internal management reports, and ad hoc reports.  Additional functions performed by this work group include providing accounting support for PPL</w:t>
      </w:r>
      <w:r>
        <w:t>’s</w:t>
      </w:r>
      <w:r w:rsidRPr="00A17935">
        <w:t xml:space="preserve"> analysts’ calls, assisting on special projects and benchmarking efforts, and serving as liaison to some of the PPL Corporate Support groups.</w:t>
      </w:r>
    </w:p>
    <w:p w:rsidR="00F91070" w:rsidRDefault="00F91070" w:rsidP="00701DCF">
      <w:proofErr w:type="gramStart"/>
      <w:r w:rsidRPr="005D65AF">
        <w:rPr>
          <w:b/>
        </w:rPr>
        <w:t>Month-end Reporting</w:t>
      </w:r>
      <w:r w:rsidRPr="00782790">
        <w:t>.</w:t>
      </w:r>
      <w:proofErr w:type="gramEnd"/>
      <w:r>
        <w:t xml:space="preserve">  </w:t>
      </w:r>
      <w:r w:rsidRPr="00782790">
        <w:t xml:space="preserve">Monthly, after the previous month has been closed, a revenue meeting is held to review </w:t>
      </w:r>
      <w:r>
        <w:t>actual</w:t>
      </w:r>
      <w:r w:rsidRPr="00782790">
        <w:t xml:space="preserve"> revenue, riders, </w:t>
      </w:r>
      <w:r>
        <w:t xml:space="preserve">and </w:t>
      </w:r>
      <w:r w:rsidRPr="00782790">
        <w:t xml:space="preserve">variance from the budget.  A Flash Report is produced that provides </w:t>
      </w:r>
      <w:r>
        <w:t>Income Statement and O&amp;M expense variances from the budget for</w:t>
      </w:r>
      <w:r w:rsidRPr="00782790">
        <w:t xml:space="preserve"> the month, quarter, and year-to-date.  All business lines follow the same </w:t>
      </w:r>
      <w:r>
        <w:t>format</w:t>
      </w:r>
      <w:r w:rsidRPr="00782790">
        <w:t xml:space="preserve">.  This Flash Report </w:t>
      </w:r>
      <w:r>
        <w:t>is</w:t>
      </w:r>
      <w:r w:rsidRPr="00782790">
        <w:t xml:space="preserve"> discussed in the Corporate Closing Meeting (PPL Controller, Corporate Accounting, Corporate Planning, </w:t>
      </w:r>
      <w:r w:rsidR="00876A9D">
        <w:t>WPD Midlands</w:t>
      </w:r>
      <w:r w:rsidRPr="00782790">
        <w:t xml:space="preserve"> Controller or representative, </w:t>
      </w:r>
      <w:r>
        <w:t>LKE</w:t>
      </w:r>
      <w:r w:rsidRPr="00782790">
        <w:t xml:space="preserve"> Controller or representative [by phone], the Director</w:t>
      </w:r>
      <w:r>
        <w:t>,</w:t>
      </w:r>
      <w:r w:rsidRPr="00782790">
        <w:t xml:space="preserve"> Accounting </w:t>
      </w:r>
      <w:r>
        <w:t>and</w:t>
      </w:r>
      <w:r w:rsidRPr="00782790">
        <w:t xml:space="preserve"> Financial Reporting, and the Manager</w:t>
      </w:r>
      <w:r>
        <w:t>,</w:t>
      </w:r>
      <w:r w:rsidRPr="00782790">
        <w:t xml:space="preserve"> Regulatory Accounting).  Other reports produced monthly include:  Dashboard – revenue and expenses discussed at the </w:t>
      </w:r>
      <w:r>
        <w:t xml:space="preserve">PPL </w:t>
      </w:r>
      <w:r w:rsidRPr="00782790">
        <w:t xml:space="preserve">EU </w:t>
      </w:r>
      <w:r>
        <w:t>President’s</w:t>
      </w:r>
      <w:r w:rsidRPr="00782790">
        <w:t xml:space="preserve"> staff meeting; Monthly Earnings Repor</w:t>
      </w:r>
      <w:r>
        <w:t xml:space="preserve">t; and the </w:t>
      </w:r>
      <w:r w:rsidRPr="00782790">
        <w:t xml:space="preserve">Performance </w:t>
      </w:r>
      <w:r>
        <w:t>and</w:t>
      </w:r>
      <w:r w:rsidRPr="00782790">
        <w:t xml:space="preserve"> Key Event</w:t>
      </w:r>
      <w:r>
        <w:t xml:space="preserve"> (P&amp;KE</w:t>
      </w:r>
      <w:r w:rsidRPr="00782790">
        <w:t>) report</w:t>
      </w:r>
      <w:r>
        <w:t>, which</w:t>
      </w:r>
      <w:r w:rsidRPr="00782790">
        <w:t xml:space="preserve"> includes all business lines</w:t>
      </w:r>
      <w:r>
        <w:t xml:space="preserve"> and is sent to the PPL Board of Directors</w:t>
      </w:r>
      <w:r w:rsidRPr="00782790">
        <w:t>.</w:t>
      </w:r>
    </w:p>
    <w:p w:rsidR="00F91070" w:rsidRPr="00492242" w:rsidRDefault="00F91070" w:rsidP="00701DCF">
      <w:pPr>
        <w:rPr>
          <w:rFonts w:cs="Arial"/>
          <w:szCs w:val="24"/>
        </w:rPr>
      </w:pPr>
      <w:r>
        <w:rPr>
          <w:rFonts w:cs="Arial"/>
          <w:szCs w:val="24"/>
        </w:rPr>
        <w:t>The Distribution System Improvement Charge (DSIC) is modeled on an Excel spreadsheet, calculating the DSIC Rider that is on the customers’ bills.  Quarterly true-ups are performed in Regulatory Compliance. This group also provides assistance to Distribution in their monthly and quarterly analysis, in overseeing the Distribution budget preparation, and in developing the Monthly Earnings Report (MER), Flash Report, and various ad hoc reports.</w:t>
      </w:r>
    </w:p>
    <w:p w:rsidR="00F91070" w:rsidRDefault="00F91070" w:rsidP="00701DCF">
      <w:pPr>
        <w:rPr>
          <w:rFonts w:cs="Arial"/>
          <w:szCs w:val="24"/>
        </w:rPr>
      </w:pPr>
      <w:proofErr w:type="gramStart"/>
      <w:r w:rsidRPr="008D7FD1">
        <w:rPr>
          <w:rFonts w:cs="Arial"/>
          <w:b/>
          <w:szCs w:val="24"/>
        </w:rPr>
        <w:t>Fixed Asset Accounting.</w:t>
      </w:r>
      <w:proofErr w:type="gramEnd"/>
      <w:r>
        <w:rPr>
          <w:rFonts w:cs="Arial"/>
          <w:szCs w:val="24"/>
        </w:rPr>
        <w:t xml:space="preserve">  This work group provides guidance and oversight regarding the creation of expenditure requisitions (ERs) from Capital Work Orders in asset suite (WAM), as well as creation of ERs not linked to WAM.  Each ER will be reviewed to determine that it has the correct structure, has the correct business unit and account, </w:t>
      </w:r>
      <w:r>
        <w:rPr>
          <w:rFonts w:cs="Arial"/>
          <w:szCs w:val="24"/>
        </w:rPr>
        <w:lastRenderedPageBreak/>
        <w:t xml:space="preserve">preliminarily which retirement units are being added and retired, and is appropriate to be capitalized.  Once the field indicates that the project or asset is in service, this work group will review the location, the business unit, and check for account errors and pending transactions.  If no errors are identified, the fixed asset system (Power Plan) places the asset in-service, stopping Allowance for Funds Used </w:t>
      </w:r>
      <w:proofErr w:type="gramStart"/>
      <w:r>
        <w:rPr>
          <w:rFonts w:cs="Arial"/>
          <w:szCs w:val="24"/>
        </w:rPr>
        <w:t>During</w:t>
      </w:r>
      <w:proofErr w:type="gramEnd"/>
      <w:r>
        <w:rPr>
          <w:rFonts w:cs="Arial"/>
          <w:szCs w:val="24"/>
        </w:rPr>
        <w:t xml:space="preserve"> Construction (AFUDC), and starting depreciation.  Once the field marks a work order in WAM as closed/complete, the ER will be unitized in Power Plan, generally within 60 days assuming no errors are observed, although this is not a company policy.  ERs not for WAM work orders are unitized manually.  The Auto 603 process in Power Plan processes retirements, and the Auto 605 unitizes assets.  Although there is an error report of assets that could be unitized (106 Report), the assets on this report are not aged.  At setup, an estimated in-service date is established.  Blanket ERs (less than $50,000 in project costs and less than 30 days of work effort) are put in service monthly and unitized quarterly.</w:t>
      </w:r>
    </w:p>
    <w:p w:rsidR="00F91070" w:rsidRPr="00492242" w:rsidRDefault="00F91070" w:rsidP="00701DCF">
      <w:pPr>
        <w:rPr>
          <w:rFonts w:cs="Arial"/>
          <w:szCs w:val="24"/>
        </w:rPr>
      </w:pPr>
      <w:r>
        <w:rPr>
          <w:rFonts w:cs="Arial"/>
          <w:szCs w:val="24"/>
        </w:rPr>
        <w:t xml:space="preserve">Power Plan is able to auto-unitize assets for Transmission and Distribution (T&amp;D) if generated through WAM work orders and compatible units, but not for substations, since no compatible units exist nor is there an interface to Power Plan.  Formerly, a system called “Bulk Power Estimator” provided a listing of materials used in substation construction as part of an ER work package, which aided the manual unitization of substations.  It is no longer used because of “incompatible obsolescence”. </w:t>
      </w:r>
    </w:p>
    <w:p w:rsidR="00F91070" w:rsidRPr="00A17935" w:rsidRDefault="00F91070" w:rsidP="00701DCF">
      <w:proofErr w:type="gramStart"/>
      <w:r w:rsidRPr="00AA33EE">
        <w:rPr>
          <w:b/>
        </w:rPr>
        <w:t>Miscellaneous Billing.</w:t>
      </w:r>
      <w:proofErr w:type="gramEnd"/>
      <w:r w:rsidRPr="00A17935">
        <w:t xml:space="preserve">  Miscellaneous Billing generates bills for property damage or other non-usage customer items.  Budget Consolidation </w:t>
      </w:r>
      <w:r>
        <w:t>and</w:t>
      </w:r>
      <w:r w:rsidRPr="00A17935">
        <w:t xml:space="preserve"> Reporting prepares the bills, but does not mail them.  Bills </w:t>
      </w:r>
      <w:r>
        <w:t>are</w:t>
      </w:r>
      <w:r w:rsidRPr="00A17935">
        <w:t xml:space="preserve"> sent to </w:t>
      </w:r>
      <w:r>
        <w:t xml:space="preserve">the </w:t>
      </w:r>
      <w:r w:rsidRPr="00A17935">
        <w:t>Claims Coordinators in the Office of the General Counsel (OGC) for distribution.  Bills are initiated after review of Billing Job Orders (BJO) for incidences.  Penn Credit is used to collect bills when not paid in a timely manner.</w:t>
      </w:r>
    </w:p>
    <w:p w:rsidR="00F91070" w:rsidRPr="00A17935" w:rsidRDefault="00F91070" w:rsidP="00701DCF">
      <w:proofErr w:type="gramStart"/>
      <w:r w:rsidRPr="00AA33EE">
        <w:rPr>
          <w:b/>
        </w:rPr>
        <w:t>Delegation of Authority (DOA).</w:t>
      </w:r>
      <w:proofErr w:type="gramEnd"/>
      <w:r w:rsidRPr="00A17935">
        <w:t xml:space="preserve">  The administrative supervisor in this work group is responsible for maintaining the list of authorized persons and their authority approval levels in the accounts payable system. </w:t>
      </w:r>
    </w:p>
    <w:p w:rsidR="00F91070" w:rsidRDefault="00F91070" w:rsidP="00701DCF">
      <w:proofErr w:type="gramStart"/>
      <w:r w:rsidRPr="005D65AF">
        <w:rPr>
          <w:b/>
        </w:rPr>
        <w:t>Budget Variance Analysis</w:t>
      </w:r>
      <w:r>
        <w:t>.</w:t>
      </w:r>
      <w:proofErr w:type="gramEnd"/>
      <w:r>
        <w:t xml:space="preserve">  This work group provides </w:t>
      </w:r>
      <w:r w:rsidRPr="008D7FD1">
        <w:t>assist</w:t>
      </w:r>
      <w:r>
        <w:t>ance to</w:t>
      </w:r>
      <w:r w:rsidRPr="008D7FD1">
        <w:t xml:space="preserve"> </w:t>
      </w:r>
      <w:r>
        <w:t xml:space="preserve">PPL EUS </w:t>
      </w:r>
      <w:r w:rsidRPr="008D7FD1">
        <w:t>business unit</w:t>
      </w:r>
      <w:r>
        <w:t>s</w:t>
      </w:r>
      <w:r w:rsidRPr="008D7FD1">
        <w:t xml:space="preserve"> in pr</w:t>
      </w:r>
      <w:r>
        <w:t>eparing their budgets and</w:t>
      </w:r>
      <w:r w:rsidRPr="008D7FD1">
        <w:t xml:space="preserve"> analyzing budget variances on a monthly basis.  These analysts meet with business units after </w:t>
      </w:r>
      <w:r>
        <w:t xml:space="preserve">the sixth </w:t>
      </w:r>
      <w:r w:rsidRPr="008D7FD1">
        <w:t xml:space="preserve">work day after the monthly close to discuss results and reasons for variances.  The </w:t>
      </w:r>
      <w:r>
        <w:t>PPL E</w:t>
      </w:r>
      <w:r w:rsidRPr="008D7FD1">
        <w:t>US work groups that receive this assistance include:  Technical Development</w:t>
      </w:r>
      <w:r>
        <w:t xml:space="preserve"> and Improvement</w:t>
      </w:r>
      <w:r w:rsidRPr="008D7FD1">
        <w:t>, Supply Chain, Finance, Communications, Human Resources, Facilities, Training Center, and the President’s budget.  Representatives in Transmission and Distribution perform similar functions for their respective business units.  Allocations from EU services are applied to Distribution and Transmission</w:t>
      </w:r>
      <w:r>
        <w:t xml:space="preserve"> (and other applicable business units)</w:t>
      </w:r>
      <w:r w:rsidRPr="008D7FD1">
        <w:t xml:space="preserve"> based on various factors.</w:t>
      </w:r>
    </w:p>
    <w:p w:rsidR="00F91070" w:rsidRDefault="00F91070" w:rsidP="00701DCF">
      <w:pPr>
        <w:rPr>
          <w:rFonts w:cs="Arial"/>
          <w:szCs w:val="24"/>
        </w:rPr>
      </w:pPr>
      <w:r>
        <w:rPr>
          <w:rFonts w:cs="Arial"/>
          <w:szCs w:val="24"/>
        </w:rPr>
        <w:t xml:space="preserve">The FERC formula model that generates the revenue amounts for the Transmission and Substation area is on an Excel spreadsheet that has been developed by PPL EU and contains approximately 15–20 tabs of data.  In addition to using the model to generate the budget for the FERC Formula Rate, reforecasts are generated every quarter or any time that PPL EU wants to analyze the effect of any change on revenue.  </w:t>
      </w:r>
    </w:p>
    <w:p w:rsidR="00F91070" w:rsidRDefault="00F91070" w:rsidP="00701DCF">
      <w:pPr>
        <w:rPr>
          <w:rFonts w:cs="Arial"/>
          <w:szCs w:val="24"/>
        </w:rPr>
      </w:pPr>
      <w:r>
        <w:rPr>
          <w:rFonts w:cs="Arial"/>
          <w:szCs w:val="24"/>
        </w:rPr>
        <w:lastRenderedPageBreak/>
        <w:t>After the Monthly Earning Report (MER), the Dashboard, and any analysis involving performance against goals have been developed, monthly variances are sent to the business lines (Transmission, Distribution, Customer Services, and EU Services) for them to provide explanations.  There is no set variance percentage that will trigger or require an explanation, but generally variances in the $1+ million must be explained.  New estimates, or reforecasts, are the responsibility of the business lines and required especially at the end of the quarters.  Corporate Planning will distribute the budget calendar (Business Planning Schedule).  Monthly analysis concerning the monthly capital and O&amp;M results against the budget will begin on the sixth or seventh day after the monthly close.  This work group provides support to the Analyst Call which is held quarterly.</w:t>
      </w:r>
    </w:p>
    <w:p w:rsidR="00F91070" w:rsidRDefault="00F91070" w:rsidP="00701DCF">
      <w:pPr>
        <w:rPr>
          <w:rFonts w:cs="Arial"/>
          <w:szCs w:val="24"/>
        </w:rPr>
      </w:pPr>
      <w:r>
        <w:rPr>
          <w:rFonts w:cs="Arial"/>
          <w:szCs w:val="24"/>
        </w:rPr>
        <w:t>Monthly Reports include:</w:t>
      </w:r>
    </w:p>
    <w:p w:rsidR="00F91070" w:rsidRDefault="00F91070" w:rsidP="00701DCF">
      <w:pPr>
        <w:pStyle w:val="Bullet"/>
      </w:pPr>
      <w:r>
        <w:t>MER – includes EU business, variances concerning revenue, O&amp;M, depreciation, financing cost, and taxes</w:t>
      </w:r>
    </w:p>
    <w:p w:rsidR="00F91070" w:rsidRDefault="00F91070" w:rsidP="00701DCF">
      <w:pPr>
        <w:pStyle w:val="Bullet"/>
      </w:pPr>
      <w:r>
        <w:t>Dashboard – snapshot of results, including graphs and charts</w:t>
      </w:r>
    </w:p>
    <w:p w:rsidR="00F91070" w:rsidRDefault="00F91070" w:rsidP="00701DCF">
      <w:pPr>
        <w:pStyle w:val="Bullet"/>
      </w:pPr>
      <w:r>
        <w:t>Flash – includes higher level data used by senior management</w:t>
      </w:r>
    </w:p>
    <w:p w:rsidR="00F91070" w:rsidRDefault="00F91070" w:rsidP="00701DCF">
      <w:pPr>
        <w:pStyle w:val="Bullet"/>
      </w:pPr>
      <w:r>
        <w:t>P&amp;KE Report – alternative view of explaining the Flash data</w:t>
      </w:r>
    </w:p>
    <w:p w:rsidR="00F91070" w:rsidRDefault="00F91070" w:rsidP="00864BDD">
      <w:pPr>
        <w:pStyle w:val="Bullet"/>
      </w:pPr>
      <w:r>
        <w:t>Playbook – addresses issues by the VPs and Directors</w:t>
      </w:r>
    </w:p>
    <w:p w:rsidR="00F91070" w:rsidRDefault="00F91070" w:rsidP="00701DCF">
      <w:pPr>
        <w:rPr>
          <w:rFonts w:cs="Arial"/>
          <w:szCs w:val="24"/>
        </w:rPr>
      </w:pPr>
      <w:r w:rsidRPr="004F41CC">
        <w:rPr>
          <w:rFonts w:cs="Arial"/>
          <w:b/>
          <w:szCs w:val="24"/>
        </w:rPr>
        <w:t>Systems Utilized.</w:t>
      </w:r>
      <w:r w:rsidRPr="00F275DC">
        <w:rPr>
          <w:rFonts w:cs="Arial"/>
          <w:szCs w:val="24"/>
        </w:rPr>
        <w:t xml:space="preserve">  </w:t>
      </w:r>
      <w:r>
        <w:rPr>
          <w:rFonts w:cs="Arial"/>
          <w:szCs w:val="24"/>
        </w:rPr>
        <w:t xml:space="preserve">Accounting and budgeting systems utilized by the Accounting and Financial Reporting Department include:  PeopleSoft (BMI) for general ledger, Hyperion Financial Model (HFM) for financial reporting, PowerPlan for fixed assets, Utilities International (UI) Planner for budgeting, Cognos Data Management (CDM) for populating data from other systems, CSS for Customer Billing, and Asset Suite for work management.  Generally, these systems are sufficiently user friendly that support from IT is not required.  .  </w:t>
      </w:r>
    </w:p>
    <w:p w:rsidR="00F91070" w:rsidRPr="006D1B9D" w:rsidRDefault="00F91070" w:rsidP="00701DCF">
      <w:pPr>
        <w:rPr>
          <w:rFonts w:cs="Arial"/>
          <w:szCs w:val="24"/>
        </w:rPr>
      </w:pPr>
      <w:proofErr w:type="gramStart"/>
      <w:r w:rsidRPr="00EA143D">
        <w:rPr>
          <w:rFonts w:cs="Arial"/>
          <w:b/>
          <w:szCs w:val="24"/>
        </w:rPr>
        <w:t>FERC Oversight Committee</w:t>
      </w:r>
      <w:r>
        <w:rPr>
          <w:rFonts w:cs="Arial"/>
          <w:szCs w:val="24"/>
        </w:rPr>
        <w:t>.</w:t>
      </w:r>
      <w:proofErr w:type="gramEnd"/>
      <w:r>
        <w:rPr>
          <w:rFonts w:cs="Arial"/>
          <w:szCs w:val="24"/>
        </w:rPr>
        <w:t xml:space="preserve">  This committee reviews a database of FERC issues that have surfaced at other companies; the committee will review these issues to determine if and how they may affect PPL’s FERC regulated utilities.  This committee was formed, and this process was initiated the fourth quarter of 2014in response to one of the FERC Audit Staff’s recommendations to remedy a noncompliance finding.  PPL EU and PPL SC agreed to implement a corrective measure that included establishing enhanced senior management communication and oversight of company implementation of FERC developments related to accounting procedures and transmission formula rate administration.</w:t>
      </w:r>
    </w:p>
    <w:p w:rsidR="00F91070" w:rsidRDefault="00F91070" w:rsidP="00701DCF">
      <w:pPr>
        <w:rPr>
          <w:b/>
          <w:iCs/>
        </w:rPr>
      </w:pPr>
      <w:proofErr w:type="gramStart"/>
      <w:r w:rsidRPr="00272048">
        <w:rPr>
          <w:b/>
        </w:rPr>
        <w:t>Accounting Policies, Procedures, and Standards</w:t>
      </w:r>
      <w:r>
        <w:t>.</w:t>
      </w:r>
      <w:proofErr w:type="gramEnd"/>
      <w:r>
        <w:t xml:space="preserve">  </w:t>
      </w:r>
      <w:r w:rsidRPr="00EA143D">
        <w:t xml:space="preserve">Policies and procedures are on the company </w:t>
      </w:r>
      <w:r>
        <w:t>intranet</w:t>
      </w:r>
      <w:r w:rsidRPr="00EA143D">
        <w:t xml:space="preserve">.  All </w:t>
      </w:r>
      <w:r>
        <w:t>accounting personnel</w:t>
      </w:r>
      <w:r w:rsidRPr="00EA143D">
        <w:t xml:space="preserve"> have access to the</w:t>
      </w:r>
      <w:r>
        <w:t xml:space="preserve"> policies and procedures</w:t>
      </w:r>
      <w:r w:rsidRPr="00EA143D">
        <w:t xml:space="preserve">.  Internal Audit will verify that </w:t>
      </w:r>
      <w:r>
        <w:t>the Accounting and Financial Reporting</w:t>
      </w:r>
      <w:r w:rsidRPr="00EA143D">
        <w:t xml:space="preserve"> group is fo</w:t>
      </w:r>
      <w:r>
        <w:t>llowing the correct procedures.</w:t>
      </w:r>
      <w:r w:rsidRPr="00EA143D">
        <w:t xml:space="preserve"> </w:t>
      </w:r>
      <w:r>
        <w:t>A summary of the available accounting policies and procedures is shown on the following table.</w:t>
      </w:r>
    </w:p>
    <w:p w:rsidR="00F91070" w:rsidRDefault="00AD2223" w:rsidP="00AD2223">
      <w:pPr>
        <w:pStyle w:val="Caption"/>
      </w:pPr>
      <w:bookmarkStart w:id="106" w:name="_Toc464552965"/>
      <w:r>
        <w:lastRenderedPageBreak/>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9</w:t>
      </w:r>
      <w:r w:rsidR="00CB2B2A">
        <w:rPr>
          <w:noProof/>
        </w:rPr>
        <w:fldChar w:fldCharType="end"/>
      </w:r>
      <w:r w:rsidR="002F6183">
        <w:br/>
      </w:r>
      <w:r w:rsidR="00F91070">
        <w:t>Accounting Policies and Procedures</w:t>
      </w:r>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61"/>
        <w:gridCol w:w="3117"/>
        <w:gridCol w:w="2037"/>
      </w:tblGrid>
      <w:tr w:rsidR="00F91070" w:rsidRPr="006304A4" w:rsidTr="00701DCF">
        <w:trPr>
          <w:cantSplit/>
          <w:tblHeader/>
          <w:jc w:val="center"/>
        </w:trPr>
        <w:tc>
          <w:tcPr>
            <w:tcW w:w="1861" w:type="dxa"/>
            <w:shd w:val="clear" w:color="auto" w:fill="A5CD7E"/>
            <w:vAlign w:val="center"/>
          </w:tcPr>
          <w:p w:rsidR="00F91070" w:rsidRPr="005D65AF" w:rsidRDefault="00F91070" w:rsidP="006304A4">
            <w:pPr>
              <w:spacing w:before="120"/>
              <w:jc w:val="center"/>
              <w:rPr>
                <w:b/>
              </w:rPr>
            </w:pPr>
            <w:r w:rsidRPr="005D65AF">
              <w:rPr>
                <w:b/>
              </w:rPr>
              <w:t>Number</w:t>
            </w:r>
            <w:r w:rsidR="006304A4">
              <w:rPr>
                <w:b/>
              </w:rPr>
              <w:t xml:space="preserve"> </w:t>
            </w:r>
            <w:r w:rsidRPr="005D65AF">
              <w:rPr>
                <w:b/>
              </w:rPr>
              <w:t>Sequence</w:t>
            </w:r>
          </w:p>
        </w:tc>
        <w:tc>
          <w:tcPr>
            <w:tcW w:w="3117" w:type="dxa"/>
            <w:shd w:val="clear" w:color="auto" w:fill="A5CD7E"/>
            <w:vAlign w:val="center"/>
          </w:tcPr>
          <w:p w:rsidR="00F91070" w:rsidRPr="005D65AF" w:rsidRDefault="00F91070" w:rsidP="006304A4">
            <w:pPr>
              <w:spacing w:before="120"/>
              <w:jc w:val="center"/>
              <w:rPr>
                <w:b/>
              </w:rPr>
            </w:pPr>
            <w:r w:rsidRPr="005D65AF">
              <w:rPr>
                <w:b/>
              </w:rPr>
              <w:t>Category</w:t>
            </w:r>
          </w:p>
        </w:tc>
        <w:tc>
          <w:tcPr>
            <w:tcW w:w="2037" w:type="dxa"/>
            <w:shd w:val="clear" w:color="auto" w:fill="A5CD7E"/>
            <w:vAlign w:val="center"/>
          </w:tcPr>
          <w:p w:rsidR="00F91070" w:rsidRPr="005D65AF" w:rsidRDefault="00F91070" w:rsidP="006304A4">
            <w:pPr>
              <w:spacing w:before="120"/>
              <w:jc w:val="center"/>
              <w:rPr>
                <w:b/>
              </w:rPr>
            </w:pPr>
            <w:r w:rsidRPr="005D65AF">
              <w:rPr>
                <w:b/>
              </w:rPr>
              <w:t>No. of Policies</w:t>
            </w:r>
            <w:r>
              <w:rPr>
                <w:b/>
              </w:rPr>
              <w:t xml:space="preserve"> and</w:t>
            </w:r>
            <w:r w:rsidRPr="005D65AF">
              <w:rPr>
                <w:b/>
              </w:rPr>
              <w:t xml:space="preserve"> Procedures</w:t>
            </w:r>
          </w:p>
        </w:tc>
      </w:tr>
      <w:tr w:rsidR="00F91070" w:rsidTr="00701DCF">
        <w:trPr>
          <w:cantSplit/>
          <w:jc w:val="center"/>
        </w:trPr>
        <w:tc>
          <w:tcPr>
            <w:tcW w:w="1861" w:type="dxa"/>
            <w:vAlign w:val="center"/>
          </w:tcPr>
          <w:p w:rsidR="00F91070" w:rsidRDefault="00F91070" w:rsidP="00701DCF">
            <w:pPr>
              <w:spacing w:after="0"/>
              <w:jc w:val="center"/>
            </w:pPr>
            <w:r>
              <w:t>1XX</w:t>
            </w:r>
          </w:p>
        </w:tc>
        <w:tc>
          <w:tcPr>
            <w:tcW w:w="3117" w:type="dxa"/>
            <w:vAlign w:val="center"/>
          </w:tcPr>
          <w:p w:rsidR="00F91070" w:rsidRDefault="00F91070" w:rsidP="00701DCF">
            <w:pPr>
              <w:spacing w:after="0"/>
              <w:jc w:val="center"/>
            </w:pPr>
            <w:r>
              <w:t>General</w:t>
            </w:r>
          </w:p>
        </w:tc>
        <w:tc>
          <w:tcPr>
            <w:tcW w:w="2037" w:type="dxa"/>
            <w:vAlign w:val="center"/>
          </w:tcPr>
          <w:p w:rsidR="00F91070" w:rsidRDefault="00F91070" w:rsidP="00701DCF">
            <w:pPr>
              <w:spacing w:after="0"/>
              <w:jc w:val="center"/>
            </w:pPr>
            <w:r>
              <w:t>1</w:t>
            </w:r>
          </w:p>
        </w:tc>
      </w:tr>
      <w:tr w:rsidR="00F91070" w:rsidTr="00701DCF">
        <w:trPr>
          <w:cantSplit/>
          <w:jc w:val="center"/>
        </w:trPr>
        <w:tc>
          <w:tcPr>
            <w:tcW w:w="1861" w:type="dxa"/>
            <w:vAlign w:val="center"/>
          </w:tcPr>
          <w:p w:rsidR="00F91070" w:rsidRDefault="00F91070" w:rsidP="00701DCF">
            <w:pPr>
              <w:spacing w:after="0"/>
              <w:jc w:val="center"/>
            </w:pPr>
            <w:r>
              <w:t>2XX</w:t>
            </w:r>
          </w:p>
        </w:tc>
        <w:tc>
          <w:tcPr>
            <w:tcW w:w="3117" w:type="dxa"/>
            <w:vAlign w:val="center"/>
          </w:tcPr>
          <w:p w:rsidR="00F91070" w:rsidRDefault="00F91070" w:rsidP="00701DCF">
            <w:pPr>
              <w:spacing w:after="0"/>
              <w:jc w:val="center"/>
            </w:pPr>
            <w:r>
              <w:t>Financial Closing</w:t>
            </w:r>
          </w:p>
        </w:tc>
        <w:tc>
          <w:tcPr>
            <w:tcW w:w="2037" w:type="dxa"/>
            <w:vAlign w:val="center"/>
          </w:tcPr>
          <w:p w:rsidR="00F91070" w:rsidRDefault="00F91070" w:rsidP="00701DCF">
            <w:pPr>
              <w:spacing w:after="0"/>
              <w:jc w:val="center"/>
            </w:pPr>
            <w:r>
              <w:t>5</w:t>
            </w:r>
          </w:p>
        </w:tc>
      </w:tr>
      <w:tr w:rsidR="00F91070" w:rsidTr="00701DCF">
        <w:trPr>
          <w:cantSplit/>
          <w:jc w:val="center"/>
        </w:trPr>
        <w:tc>
          <w:tcPr>
            <w:tcW w:w="1861" w:type="dxa"/>
            <w:vAlign w:val="center"/>
          </w:tcPr>
          <w:p w:rsidR="00F91070" w:rsidRDefault="00F91070" w:rsidP="00701DCF">
            <w:pPr>
              <w:spacing w:after="0"/>
              <w:jc w:val="center"/>
            </w:pPr>
            <w:r>
              <w:t>3XX</w:t>
            </w:r>
          </w:p>
        </w:tc>
        <w:tc>
          <w:tcPr>
            <w:tcW w:w="3117" w:type="dxa"/>
            <w:vAlign w:val="center"/>
          </w:tcPr>
          <w:p w:rsidR="00F91070" w:rsidRDefault="00F91070" w:rsidP="00701DCF">
            <w:pPr>
              <w:spacing w:after="0"/>
              <w:jc w:val="center"/>
            </w:pPr>
            <w:r>
              <w:t>Financial Reporting</w:t>
            </w:r>
          </w:p>
        </w:tc>
        <w:tc>
          <w:tcPr>
            <w:tcW w:w="2037" w:type="dxa"/>
            <w:vAlign w:val="center"/>
          </w:tcPr>
          <w:p w:rsidR="00F91070" w:rsidRDefault="00F91070" w:rsidP="00701DCF">
            <w:pPr>
              <w:spacing w:after="0"/>
              <w:jc w:val="center"/>
            </w:pPr>
            <w:r>
              <w:t>5</w:t>
            </w:r>
          </w:p>
        </w:tc>
      </w:tr>
      <w:tr w:rsidR="00F91070" w:rsidTr="00701DCF">
        <w:trPr>
          <w:cantSplit/>
          <w:jc w:val="center"/>
        </w:trPr>
        <w:tc>
          <w:tcPr>
            <w:tcW w:w="1861" w:type="dxa"/>
            <w:vAlign w:val="center"/>
          </w:tcPr>
          <w:p w:rsidR="00F91070" w:rsidRDefault="00F91070" w:rsidP="00701DCF">
            <w:pPr>
              <w:spacing w:after="0"/>
              <w:jc w:val="center"/>
            </w:pPr>
            <w:r>
              <w:t>4XX</w:t>
            </w:r>
          </w:p>
        </w:tc>
        <w:tc>
          <w:tcPr>
            <w:tcW w:w="3117" w:type="dxa"/>
            <w:vAlign w:val="center"/>
          </w:tcPr>
          <w:p w:rsidR="00F91070" w:rsidRDefault="00F91070" w:rsidP="00701DCF">
            <w:pPr>
              <w:spacing w:after="0"/>
              <w:jc w:val="center"/>
            </w:pPr>
            <w:r>
              <w:t>Critical Accounting Policies</w:t>
            </w:r>
          </w:p>
        </w:tc>
        <w:tc>
          <w:tcPr>
            <w:tcW w:w="2037" w:type="dxa"/>
            <w:vAlign w:val="center"/>
          </w:tcPr>
          <w:p w:rsidR="00F91070" w:rsidRDefault="00F91070" w:rsidP="00701DCF">
            <w:pPr>
              <w:spacing w:after="0"/>
              <w:jc w:val="center"/>
            </w:pPr>
            <w:r>
              <w:t>9</w:t>
            </w:r>
          </w:p>
        </w:tc>
      </w:tr>
      <w:tr w:rsidR="00F91070" w:rsidTr="00701DCF">
        <w:trPr>
          <w:cantSplit/>
          <w:jc w:val="center"/>
        </w:trPr>
        <w:tc>
          <w:tcPr>
            <w:tcW w:w="1861" w:type="dxa"/>
            <w:vAlign w:val="center"/>
          </w:tcPr>
          <w:p w:rsidR="00F91070" w:rsidRDefault="00F91070" w:rsidP="00701DCF">
            <w:pPr>
              <w:spacing w:after="0"/>
              <w:jc w:val="center"/>
            </w:pPr>
            <w:r>
              <w:t>5XX</w:t>
            </w:r>
          </w:p>
        </w:tc>
        <w:tc>
          <w:tcPr>
            <w:tcW w:w="3117" w:type="dxa"/>
            <w:vAlign w:val="center"/>
          </w:tcPr>
          <w:p w:rsidR="00F91070" w:rsidRDefault="00F91070" w:rsidP="00701DCF">
            <w:pPr>
              <w:spacing w:after="0"/>
              <w:jc w:val="center"/>
            </w:pPr>
            <w:r>
              <w:t>Business Setups</w:t>
            </w:r>
          </w:p>
        </w:tc>
        <w:tc>
          <w:tcPr>
            <w:tcW w:w="2037" w:type="dxa"/>
            <w:vAlign w:val="center"/>
          </w:tcPr>
          <w:p w:rsidR="00F91070" w:rsidRDefault="00F91070" w:rsidP="00701DCF">
            <w:pPr>
              <w:spacing w:after="0"/>
              <w:jc w:val="center"/>
            </w:pPr>
            <w:r>
              <w:t>6</w:t>
            </w:r>
          </w:p>
        </w:tc>
      </w:tr>
      <w:tr w:rsidR="00F91070" w:rsidTr="00701DCF">
        <w:trPr>
          <w:cantSplit/>
          <w:jc w:val="center"/>
        </w:trPr>
        <w:tc>
          <w:tcPr>
            <w:tcW w:w="1861" w:type="dxa"/>
            <w:vAlign w:val="center"/>
          </w:tcPr>
          <w:p w:rsidR="00F91070" w:rsidRDefault="00F91070" w:rsidP="00701DCF">
            <w:pPr>
              <w:spacing w:after="0"/>
              <w:jc w:val="center"/>
            </w:pPr>
            <w:r>
              <w:t>6XX</w:t>
            </w:r>
          </w:p>
        </w:tc>
        <w:tc>
          <w:tcPr>
            <w:tcW w:w="3117" w:type="dxa"/>
            <w:vAlign w:val="center"/>
          </w:tcPr>
          <w:p w:rsidR="00F91070" w:rsidRDefault="00F91070" w:rsidP="00701DCF">
            <w:pPr>
              <w:spacing w:after="0"/>
              <w:jc w:val="center"/>
            </w:pPr>
            <w:r>
              <w:t>Asset Management</w:t>
            </w:r>
          </w:p>
        </w:tc>
        <w:tc>
          <w:tcPr>
            <w:tcW w:w="2037" w:type="dxa"/>
            <w:vAlign w:val="center"/>
          </w:tcPr>
          <w:p w:rsidR="00F91070" w:rsidRDefault="00F91070" w:rsidP="00701DCF">
            <w:pPr>
              <w:spacing w:after="0"/>
              <w:jc w:val="center"/>
            </w:pPr>
            <w:r>
              <w:t>18</w:t>
            </w:r>
          </w:p>
        </w:tc>
      </w:tr>
      <w:tr w:rsidR="00F91070" w:rsidTr="00701DCF">
        <w:trPr>
          <w:cantSplit/>
          <w:jc w:val="center"/>
        </w:trPr>
        <w:tc>
          <w:tcPr>
            <w:tcW w:w="1861" w:type="dxa"/>
            <w:vAlign w:val="center"/>
          </w:tcPr>
          <w:p w:rsidR="00F91070" w:rsidRDefault="00F91070" w:rsidP="00701DCF">
            <w:pPr>
              <w:spacing w:after="0"/>
              <w:jc w:val="center"/>
            </w:pPr>
            <w:r>
              <w:t>7XX</w:t>
            </w:r>
          </w:p>
        </w:tc>
        <w:tc>
          <w:tcPr>
            <w:tcW w:w="3117" w:type="dxa"/>
            <w:vAlign w:val="center"/>
          </w:tcPr>
          <w:p w:rsidR="00F91070" w:rsidRDefault="00F91070" w:rsidP="00701DCF">
            <w:pPr>
              <w:spacing w:after="0"/>
              <w:jc w:val="center"/>
            </w:pPr>
            <w:r>
              <w:t>Liabilities and Contingencies</w:t>
            </w:r>
          </w:p>
        </w:tc>
        <w:tc>
          <w:tcPr>
            <w:tcW w:w="2037" w:type="dxa"/>
            <w:vAlign w:val="center"/>
          </w:tcPr>
          <w:p w:rsidR="00F91070" w:rsidRDefault="00F91070" w:rsidP="00701DCF">
            <w:pPr>
              <w:spacing w:after="0"/>
              <w:jc w:val="center"/>
            </w:pPr>
            <w:r>
              <w:t>2</w:t>
            </w:r>
          </w:p>
        </w:tc>
      </w:tr>
      <w:tr w:rsidR="00F91070" w:rsidTr="00701DCF">
        <w:trPr>
          <w:cantSplit/>
          <w:jc w:val="center"/>
        </w:trPr>
        <w:tc>
          <w:tcPr>
            <w:tcW w:w="1861" w:type="dxa"/>
            <w:vAlign w:val="center"/>
          </w:tcPr>
          <w:p w:rsidR="00F91070" w:rsidRDefault="00F91070" w:rsidP="00701DCF">
            <w:pPr>
              <w:spacing w:after="0"/>
              <w:jc w:val="center"/>
            </w:pPr>
            <w:r>
              <w:t>8XX</w:t>
            </w:r>
          </w:p>
        </w:tc>
        <w:tc>
          <w:tcPr>
            <w:tcW w:w="3117" w:type="dxa"/>
            <w:vAlign w:val="center"/>
          </w:tcPr>
          <w:p w:rsidR="00F91070" w:rsidRDefault="00F91070" w:rsidP="00701DCF">
            <w:pPr>
              <w:spacing w:after="0"/>
              <w:jc w:val="center"/>
            </w:pPr>
            <w:r>
              <w:t>Material and Supplies Inventory</w:t>
            </w:r>
          </w:p>
        </w:tc>
        <w:tc>
          <w:tcPr>
            <w:tcW w:w="2037" w:type="dxa"/>
            <w:vAlign w:val="center"/>
          </w:tcPr>
          <w:p w:rsidR="00F91070" w:rsidRDefault="00F91070" w:rsidP="00701DCF">
            <w:pPr>
              <w:spacing w:after="0"/>
              <w:jc w:val="center"/>
            </w:pPr>
            <w:r>
              <w:t>3</w:t>
            </w:r>
          </w:p>
        </w:tc>
      </w:tr>
      <w:tr w:rsidR="00F91070" w:rsidTr="00701DCF">
        <w:trPr>
          <w:cantSplit/>
          <w:jc w:val="center"/>
        </w:trPr>
        <w:tc>
          <w:tcPr>
            <w:tcW w:w="1861" w:type="dxa"/>
            <w:vAlign w:val="center"/>
          </w:tcPr>
          <w:p w:rsidR="00F91070" w:rsidRDefault="00F91070" w:rsidP="00701DCF">
            <w:pPr>
              <w:spacing w:after="0"/>
              <w:jc w:val="center"/>
            </w:pPr>
            <w:r>
              <w:t>9XX</w:t>
            </w:r>
          </w:p>
        </w:tc>
        <w:tc>
          <w:tcPr>
            <w:tcW w:w="3117" w:type="dxa"/>
            <w:vAlign w:val="center"/>
          </w:tcPr>
          <w:p w:rsidR="00F91070" w:rsidRDefault="00F91070" w:rsidP="00701DCF">
            <w:pPr>
              <w:spacing w:after="0"/>
              <w:jc w:val="center"/>
            </w:pPr>
            <w:r>
              <w:t>Other</w:t>
            </w:r>
          </w:p>
        </w:tc>
        <w:tc>
          <w:tcPr>
            <w:tcW w:w="2037" w:type="dxa"/>
            <w:vAlign w:val="center"/>
          </w:tcPr>
          <w:p w:rsidR="00F91070" w:rsidRDefault="00F91070" w:rsidP="00701DCF">
            <w:pPr>
              <w:spacing w:after="0"/>
              <w:jc w:val="center"/>
            </w:pPr>
            <w:r>
              <w:t>5</w:t>
            </w:r>
          </w:p>
        </w:tc>
      </w:tr>
      <w:tr w:rsidR="00F91070" w:rsidTr="00701DCF">
        <w:trPr>
          <w:cantSplit/>
          <w:jc w:val="center"/>
        </w:trPr>
        <w:tc>
          <w:tcPr>
            <w:tcW w:w="1861" w:type="dxa"/>
            <w:vAlign w:val="center"/>
          </w:tcPr>
          <w:p w:rsidR="00F91070" w:rsidRDefault="00F91070" w:rsidP="00701DCF">
            <w:pPr>
              <w:spacing w:after="0"/>
              <w:jc w:val="center"/>
            </w:pPr>
            <w:r>
              <w:t>10XX</w:t>
            </w:r>
          </w:p>
        </w:tc>
        <w:tc>
          <w:tcPr>
            <w:tcW w:w="3117" w:type="dxa"/>
            <w:vAlign w:val="center"/>
          </w:tcPr>
          <w:p w:rsidR="00F91070" w:rsidRDefault="00F91070" w:rsidP="00701DCF">
            <w:pPr>
              <w:spacing w:after="0"/>
              <w:jc w:val="center"/>
            </w:pPr>
            <w:r>
              <w:t>Specialized Accounting</w:t>
            </w:r>
          </w:p>
        </w:tc>
        <w:tc>
          <w:tcPr>
            <w:tcW w:w="2037" w:type="dxa"/>
            <w:vAlign w:val="center"/>
          </w:tcPr>
          <w:p w:rsidR="00F91070" w:rsidRDefault="00F91070" w:rsidP="00701DCF">
            <w:pPr>
              <w:spacing w:after="0"/>
              <w:jc w:val="center"/>
            </w:pPr>
            <w:r>
              <w:t>11</w:t>
            </w:r>
          </w:p>
        </w:tc>
      </w:tr>
      <w:tr w:rsidR="00F91070" w:rsidTr="00701DCF">
        <w:trPr>
          <w:cantSplit/>
          <w:jc w:val="center"/>
        </w:trPr>
        <w:tc>
          <w:tcPr>
            <w:tcW w:w="1861" w:type="dxa"/>
            <w:vAlign w:val="center"/>
          </w:tcPr>
          <w:p w:rsidR="00F91070" w:rsidRDefault="00F91070" w:rsidP="00701DCF">
            <w:pPr>
              <w:spacing w:after="0"/>
              <w:jc w:val="center"/>
            </w:pPr>
          </w:p>
        </w:tc>
        <w:tc>
          <w:tcPr>
            <w:tcW w:w="3117" w:type="dxa"/>
            <w:vAlign w:val="center"/>
          </w:tcPr>
          <w:p w:rsidR="00F91070" w:rsidRPr="00413707" w:rsidRDefault="00F91070" w:rsidP="00701DCF">
            <w:pPr>
              <w:spacing w:after="0"/>
              <w:jc w:val="center"/>
              <w:rPr>
                <w:b/>
              </w:rPr>
            </w:pPr>
            <w:r>
              <w:rPr>
                <w:b/>
              </w:rPr>
              <w:t>Total</w:t>
            </w:r>
            <w:r w:rsidRPr="00413707">
              <w:rPr>
                <w:b/>
              </w:rPr>
              <w:t xml:space="preserve"> Policies and Procedures</w:t>
            </w:r>
          </w:p>
        </w:tc>
        <w:tc>
          <w:tcPr>
            <w:tcW w:w="2037" w:type="dxa"/>
            <w:vAlign w:val="center"/>
          </w:tcPr>
          <w:p w:rsidR="00F91070" w:rsidRPr="00413707" w:rsidRDefault="00F91070" w:rsidP="00701DCF">
            <w:pPr>
              <w:spacing w:after="0"/>
              <w:jc w:val="center"/>
              <w:rPr>
                <w:b/>
              </w:rPr>
            </w:pPr>
            <w:r w:rsidRPr="00413707">
              <w:rPr>
                <w:b/>
              </w:rPr>
              <w:t>65</w:t>
            </w:r>
          </w:p>
        </w:tc>
      </w:tr>
      <w:tr w:rsidR="00F91070" w:rsidTr="00701DCF">
        <w:trPr>
          <w:cantSplit/>
          <w:jc w:val="center"/>
        </w:trPr>
        <w:tc>
          <w:tcPr>
            <w:tcW w:w="1861" w:type="dxa"/>
            <w:vAlign w:val="center"/>
          </w:tcPr>
          <w:p w:rsidR="00F91070" w:rsidRDefault="00F91070" w:rsidP="00701DCF">
            <w:pPr>
              <w:spacing w:after="0"/>
              <w:jc w:val="center"/>
            </w:pPr>
            <w:r>
              <w:t>11XX</w:t>
            </w:r>
          </w:p>
        </w:tc>
        <w:tc>
          <w:tcPr>
            <w:tcW w:w="3117" w:type="dxa"/>
            <w:vAlign w:val="center"/>
          </w:tcPr>
          <w:p w:rsidR="00F91070" w:rsidRDefault="00F91070" w:rsidP="00701DCF">
            <w:pPr>
              <w:spacing w:after="0"/>
              <w:jc w:val="center"/>
            </w:pPr>
            <w:r>
              <w:t>Accounting Research Documentation</w:t>
            </w:r>
          </w:p>
        </w:tc>
        <w:tc>
          <w:tcPr>
            <w:tcW w:w="2037" w:type="dxa"/>
            <w:vAlign w:val="center"/>
          </w:tcPr>
          <w:p w:rsidR="00F91070" w:rsidRDefault="00F91070" w:rsidP="00701DCF">
            <w:pPr>
              <w:spacing w:after="0"/>
              <w:jc w:val="center"/>
            </w:pPr>
            <w:r>
              <w:t>19 White Papers</w:t>
            </w:r>
          </w:p>
        </w:tc>
      </w:tr>
      <w:tr w:rsidR="00F91070" w:rsidTr="007C0692">
        <w:trPr>
          <w:cantSplit/>
          <w:jc w:val="center"/>
        </w:trPr>
        <w:tc>
          <w:tcPr>
            <w:tcW w:w="7015" w:type="dxa"/>
            <w:gridSpan w:val="3"/>
            <w:vAlign w:val="center"/>
          </w:tcPr>
          <w:p w:rsidR="00F91070" w:rsidRDefault="00F91070" w:rsidP="007C0692">
            <w:pPr>
              <w:spacing w:after="0"/>
              <w:jc w:val="left"/>
            </w:pPr>
            <w:r>
              <w:t>Source:  DN 08-073</w:t>
            </w:r>
          </w:p>
        </w:tc>
      </w:tr>
    </w:tbl>
    <w:p w:rsidR="00F91070" w:rsidRPr="00802A69" w:rsidRDefault="00F91070" w:rsidP="00701DCF">
      <w:pPr>
        <w:pStyle w:val="Normal-aftertable"/>
      </w:pPr>
      <w:r>
        <w:t>There are a total of 65 policies and procedures available online.  Additionally, there are 19 white papers available covering categories such as asset management and benefit accounting issues, financial reporting, global accounting issues, and technical accounting issues.  These white papers were all issued within the last two years.</w:t>
      </w:r>
    </w:p>
    <w:p w:rsidR="00F91070" w:rsidRDefault="00F91070" w:rsidP="00701DCF">
      <w:pPr>
        <w:pStyle w:val="Heading40"/>
      </w:pPr>
      <w:r>
        <w:t>Load/Data Analytics and Forecasting</w:t>
      </w:r>
    </w:p>
    <w:p w:rsidR="00F91070" w:rsidRPr="00E31D3C" w:rsidRDefault="00F91070" w:rsidP="00701DCF">
      <w:r w:rsidRPr="000F0899">
        <w:t>The primary functions of this work group</w:t>
      </w:r>
      <w:r>
        <w:t>, headed by a manager supported by five senior analysts or engineers, are to forecast sales and revenue, analyze variances from forecasts, calculate unbilled sales and revenue so that accounting can book these amounts, generate settlement allocations (peak load tags) to be collected from customers, develop load profiles by rate class, and support rate and regulatory filings.  T</w:t>
      </w:r>
      <w:r w:rsidRPr="00E31D3C">
        <w:t xml:space="preserve">he </w:t>
      </w:r>
      <w:r>
        <w:t xml:space="preserve">forecast </w:t>
      </w:r>
      <w:r w:rsidRPr="00E31D3C">
        <w:t xml:space="preserve">results are sent to </w:t>
      </w:r>
      <w:r>
        <w:t>Accounting and Financial Reporting</w:t>
      </w:r>
      <w:r w:rsidRPr="00E31D3C">
        <w:t xml:space="preserve"> for inclusion in the budgets.  </w:t>
      </w:r>
      <w:r>
        <w:t>A</w:t>
      </w:r>
      <w:r w:rsidRPr="00E31D3C">
        <w:t xml:space="preserve">n ITRON software product </w:t>
      </w:r>
      <w:r>
        <w:t xml:space="preserve">is used </w:t>
      </w:r>
      <w:r w:rsidRPr="00E31D3C">
        <w:t xml:space="preserve">to forecast sales, to which current prices are applied to yield forecasted revenue, or distribution revenue.  Monthly forecasts are generated using regression analysis, with input of historical data, estimates from Moody’s, equipment forecasts, and actual data.  Forecasts are </w:t>
      </w:r>
      <w:r>
        <w:t xml:space="preserve">generally </w:t>
      </w:r>
      <w:r w:rsidRPr="00E31D3C">
        <w:t>accurate within a 4</w:t>
      </w:r>
      <w:r>
        <w:t xml:space="preserve"> to 5-</w:t>
      </w:r>
      <w:r w:rsidRPr="00E31D3C">
        <w:t xml:space="preserve">year window.  With weather normalization, recent forecasts have been accurate within </w:t>
      </w:r>
      <w:r>
        <w:rPr>
          <w:rFonts w:cs="Arial"/>
        </w:rPr>
        <w:t>±</w:t>
      </w:r>
      <w:r w:rsidRPr="00E31D3C">
        <w:t>1%.</w:t>
      </w:r>
      <w:r>
        <w:t xml:space="preserve">  </w:t>
      </w:r>
      <w:r w:rsidRPr="00E31D3C">
        <w:t xml:space="preserve"> </w:t>
      </w:r>
      <w:r>
        <w:t xml:space="preserve">The forecast of </w:t>
      </w:r>
      <w:r w:rsidRPr="00E31D3C">
        <w:t xml:space="preserve">unbilled sales and revenue </w:t>
      </w:r>
      <w:r>
        <w:t xml:space="preserve">will also be sent to Accounting and Financial Reporting </w:t>
      </w:r>
      <w:r w:rsidRPr="00E31D3C">
        <w:t>to book</w:t>
      </w:r>
      <w:r>
        <w:t xml:space="preserve"> the entry.  In d</w:t>
      </w:r>
      <w:r w:rsidRPr="00E31D3C">
        <w:t>evelop</w:t>
      </w:r>
      <w:r>
        <w:t>ing the</w:t>
      </w:r>
      <w:r w:rsidRPr="00E31D3C">
        <w:t xml:space="preserve"> load profiles by rate class</w:t>
      </w:r>
      <w:r>
        <w:t xml:space="preserve"> on an annual basis, </w:t>
      </w:r>
      <w:r w:rsidRPr="00E31D3C">
        <w:t>actual data from smart meters and estimates (for missing data)</w:t>
      </w:r>
      <w:r>
        <w:t xml:space="preserve"> will be utilized</w:t>
      </w:r>
      <w:r w:rsidRPr="00E31D3C">
        <w:t>.</w:t>
      </w:r>
      <w:r>
        <w:t xml:space="preserve">  The s</w:t>
      </w:r>
      <w:r w:rsidRPr="00E31D3C">
        <w:t xml:space="preserve">upport </w:t>
      </w:r>
      <w:r>
        <w:t xml:space="preserve">provided for </w:t>
      </w:r>
      <w:r w:rsidRPr="00E31D3C">
        <w:t>rate and regulatory filin</w:t>
      </w:r>
      <w:r>
        <w:t>g concerns</w:t>
      </w:r>
      <w:r w:rsidRPr="00E31D3C">
        <w:t xml:space="preserve"> load data for cost of service studies</w:t>
      </w:r>
      <w:r>
        <w:t xml:space="preserve">.  Due to </w:t>
      </w:r>
      <w:proofErr w:type="gramStart"/>
      <w:r>
        <w:t>a reorganization</w:t>
      </w:r>
      <w:proofErr w:type="gramEnd"/>
      <w:r>
        <w:t>, this department was eliminated in October 2015.</w:t>
      </w:r>
    </w:p>
    <w:p w:rsidR="00F91070" w:rsidRDefault="00F91070" w:rsidP="00701DCF">
      <w:pPr>
        <w:pStyle w:val="Heading40"/>
      </w:pPr>
      <w:r>
        <w:lastRenderedPageBreak/>
        <w:t>Facilities Operations</w:t>
      </w:r>
    </w:p>
    <w:p w:rsidR="00F91070" w:rsidRDefault="00F91070" w:rsidP="00701DCF">
      <w:pPr>
        <w:rPr>
          <w:rFonts w:cs="Arial"/>
          <w:szCs w:val="24"/>
        </w:rPr>
      </w:pPr>
      <w:proofErr w:type="gramStart"/>
      <w:r>
        <w:rPr>
          <w:rFonts w:cs="Arial"/>
          <w:szCs w:val="24"/>
        </w:rPr>
        <w:t>The Director, Facilities Operations reports directly to the President, PPL EU.</w:t>
      </w:r>
      <w:proofErr w:type="gramEnd"/>
      <w:r>
        <w:rPr>
          <w:rFonts w:cs="Arial"/>
          <w:szCs w:val="24"/>
        </w:rPr>
        <w:t xml:space="preserve">  There are eight direct reports: four supervisors responsible for the facilities in different geographic areas of the PPL EU service area and four employees (supervisor, lead analyst, senior specialist, and a manager responsible for other facilities operations areas.  Area supervisors are responsible for the General Office complex in Allentown, facilities in Lancaster and Harrisburg, facilities in Lehigh and Northeast Pennsylvania, and facilities in the central region of Pennsylvania and Susquehanna.  Supervisors are located in their areas; each supervisor manages approximately 15–20 union employees who are facilities management workers or technicians.  PPL EU has approximately 30 facilities (area or group of buildings) with approximately 60 buildings.</w:t>
      </w:r>
    </w:p>
    <w:p w:rsidR="00F91070" w:rsidRDefault="00F91070" w:rsidP="00701DCF">
      <w:pPr>
        <w:rPr>
          <w:rFonts w:cs="Arial"/>
          <w:szCs w:val="24"/>
        </w:rPr>
      </w:pPr>
      <w:r>
        <w:rPr>
          <w:rFonts w:cs="Arial"/>
          <w:szCs w:val="24"/>
        </w:rPr>
        <w:t>Real estate taxes (property, school, etc.) for PPL EU’s facilities are monitored and tracked on a continual basis by this work group.  Additionally, this work group is responsible for new construction and renovations of PPL EU buildings.  These are mostly capital projects, but can include some O&amp;M projects.  Most of the construction work is contracted.  Internal personnel are involved in cubicle and desk placement and movement.</w:t>
      </w:r>
    </w:p>
    <w:p w:rsidR="00F91070" w:rsidRDefault="00F91070" w:rsidP="004F00E5">
      <w:pPr>
        <w:pStyle w:val="Heading2"/>
        <w:numPr>
          <w:ilvl w:val="0"/>
          <w:numId w:val="105"/>
        </w:numPr>
      </w:pPr>
      <w:bookmarkStart w:id="107" w:name="_Toc464552024"/>
      <w:r>
        <w:t>Findings</w:t>
      </w:r>
      <w:bookmarkEnd w:id="107"/>
    </w:p>
    <w:p w:rsidR="00F91070" w:rsidRDefault="00F91070" w:rsidP="004F00E5">
      <w:pPr>
        <w:pStyle w:val="Findings"/>
        <w:numPr>
          <w:ilvl w:val="0"/>
          <w:numId w:val="85"/>
        </w:numPr>
      </w:pPr>
      <w:r>
        <w:t xml:space="preserve">The PPL EU forecasting and budgeting processes are performed efficiently and effectively. </w:t>
      </w:r>
    </w:p>
    <w:p w:rsidR="00F91070" w:rsidRDefault="00F91070" w:rsidP="00701DCF">
      <w:r>
        <w:t>The forecasting and budgeting efforts are managed by PPL EUS with input from PPL SC.  Budgeting is spread among operating units and consolidated at the PPL Services level, rather than at the PPL EUS level.  The forecast is developed at the corporate level with the assistance of adequate automated systems and projects capital spending and operating revenues and expenses for a five-year period.  Budget instructions and assumptions are disseminated from the top, but the budgeting process for operating expenses is a bottoms-up effort that is reviewed, approved, and consolidated as the unit budgets move up the PPL EU, PPL EUS, and PPL SC organizations.  Work unit budgets are developed, justified, and defended by unit personnel in presentations to upper management at PPL EU, and PPL SC.  Variances from monthly and annual budgets are reviewed and explained in periodic management meetings, and new or changed outcomes are forecast as they become available.</w:t>
      </w:r>
    </w:p>
    <w:p w:rsidR="00F91070" w:rsidRDefault="00F91070" w:rsidP="0011052F">
      <w:pPr>
        <w:pStyle w:val="Findings"/>
      </w:pPr>
      <w:r>
        <w:t>Budget variance thresholds have not been established.</w:t>
      </w:r>
    </w:p>
    <w:p w:rsidR="00F91070" w:rsidRDefault="00F91070" w:rsidP="00701DCF">
      <w:r>
        <w:t>Monthly, quarterly, and annual variances between actual results and budgeted amounts are reviewed and reported.  However, there is no set variance percentage or dollar amount that will trigger or require an explanation.  The decision as to what amount of variance to investigate and explain is left to the reviewer’s discretion.  Generally, monthly variance amounts in the range of $1+ million are explained.</w:t>
      </w:r>
    </w:p>
    <w:p w:rsidR="00F91070" w:rsidRDefault="00F91070" w:rsidP="0011052F">
      <w:pPr>
        <w:pStyle w:val="Findings"/>
      </w:pPr>
      <w:r>
        <w:t>Accounting functions and practices are guided and supported by appropriate documentation.</w:t>
      </w:r>
    </w:p>
    <w:p w:rsidR="00F91070" w:rsidRDefault="00F91070" w:rsidP="00777C48">
      <w:r>
        <w:t xml:space="preserve">Accounting policies and procedures are extensive and available on-line for all employees.  Policies and procedures cover subject matter areas necessary to direct accounting personnel in the proper execution of their duties.  Access to these policies </w:t>
      </w:r>
      <w:r>
        <w:lastRenderedPageBreak/>
        <w:t>and procedures is gained through Share Point on the corporate web site.  The PPL SC’s Corporate Audit and Business Ethics work group utilizes the accounting policies and procedures in performing its audits to verify compliance with industry, company, and department requirements.  Additional guidance in accounting subject areas is available through access to white papers that are also stored on the company’s web site.  The white papers are current, having been produced within the past two years.</w:t>
      </w:r>
    </w:p>
    <w:p w:rsidR="00F91070" w:rsidRDefault="00F91070" w:rsidP="004B6B07">
      <w:pPr>
        <w:pStyle w:val="Findings"/>
        <w:keepNext/>
      </w:pPr>
      <w:r>
        <w:t>PPL EU has access to adequate liquidity for its short-term borrowing needs.</w:t>
      </w:r>
    </w:p>
    <w:p w:rsidR="00F91070" w:rsidRDefault="00F91070" w:rsidP="00701DCF">
      <w:r>
        <w:t>Although PPL EU is part of a larger family of utility companies and utility-related companies, there is no money pool arrangement that provides a source for borrowing and investing sort-term funds.  PPL EU utilizes a commercial paper program, backed up by a $300 million syndicated credit facility, for liquidity purposes.  The commercial paper program has a P-2 rating from Moody’s and an A-2 rating from Standard &amp; Poor’s and has operated with an average interest rate cost of 43 basis points for 1-week money and 38 basis points for overnight money. PPL EU appears to have adequate liquidity for its needs and is supported by relatively stable cash flows without the need for a money pool arrangement.</w:t>
      </w:r>
    </w:p>
    <w:p w:rsidR="00F91070" w:rsidRDefault="00F91070" w:rsidP="0011052F">
      <w:pPr>
        <w:pStyle w:val="Findings"/>
      </w:pPr>
      <w:r>
        <w:t>The degree of emphasis on performance management in the Accounting and Finance area is appropriate for an electric utility.</w:t>
      </w:r>
    </w:p>
    <w:p w:rsidR="00F91070" w:rsidRDefault="00F91070" w:rsidP="00701DCF">
      <w:r>
        <w:t>Job or function performance is measured and reported on a monthly, quarterly, and annual basis.  Transactions metrics are kept and reported and measured against standards and goals.  More general performance metrics are kept and reported as part of the overall company performance review process and are included in periodic reports.  These metrics may reflect the financial health of the company or relate to more specific performance indicators as reported in the Monthly Performance Summary.  These metrics can indicate a department’s or work function’s ability to maximize revenue or restrain expenditures, or report on the number and quality of required tasks that were completed.</w:t>
      </w:r>
    </w:p>
    <w:p w:rsidR="00F91070" w:rsidRDefault="00F91070" w:rsidP="0011052F">
      <w:pPr>
        <w:pStyle w:val="Findings"/>
      </w:pPr>
      <w:r>
        <w:t>PPL EU’s credit ratings have been upgraded which has resulted in lower borrowing costs.</w:t>
      </w:r>
    </w:p>
    <w:p w:rsidR="00F91070" w:rsidRDefault="00F91070" w:rsidP="00701DCF">
      <w:pPr>
        <w:rPr>
          <w:rFonts w:cs="Arial"/>
          <w:szCs w:val="24"/>
        </w:rPr>
      </w:pPr>
      <w:r>
        <w:t>PPL EU’s credit ratings have recently been upgraded by Standard &amp; Poor’s to a level of A- and by Moody’s to a rating of A3.  These ratings are equal to, or better than, that of their affiliates, including the parent, PPL Corporation.  Stated reasons for the increased ratings include</w:t>
      </w:r>
      <w:r>
        <w:rPr>
          <w:rFonts w:cs="Arial"/>
          <w:szCs w:val="24"/>
        </w:rPr>
        <w:t xml:space="preserve"> the r</w:t>
      </w:r>
      <w:r w:rsidRPr="00AE2205">
        <w:rPr>
          <w:rFonts w:cs="Arial"/>
          <w:szCs w:val="24"/>
        </w:rPr>
        <w:t>elative stability and predictability of cash flows</w:t>
      </w:r>
      <w:r>
        <w:rPr>
          <w:rFonts w:cs="Arial"/>
          <w:szCs w:val="24"/>
        </w:rPr>
        <w:t>, a constructive and supportive regulatory framework, and satisfactory</w:t>
      </w:r>
      <w:r w:rsidRPr="00AE2205">
        <w:rPr>
          <w:rFonts w:cs="Arial"/>
          <w:szCs w:val="24"/>
        </w:rPr>
        <w:t xml:space="preserve"> metrics.</w:t>
      </w:r>
      <w:r>
        <w:rPr>
          <w:rFonts w:cs="Arial"/>
          <w:szCs w:val="24"/>
        </w:rPr>
        <w:t xml:space="preserve"> The increased credit ratings have allowed PPL EU to receive very favorable interest rates on it most recent bond issues in 2014 and 2015.</w:t>
      </w:r>
    </w:p>
    <w:p w:rsidR="00F91070" w:rsidRDefault="00F91070" w:rsidP="0011052F">
      <w:pPr>
        <w:pStyle w:val="Findings"/>
      </w:pPr>
      <w:r>
        <w:t xml:space="preserve">PPL EU has been a net recipient of corporate funds over the past five years. </w:t>
      </w:r>
    </w:p>
    <w:p w:rsidR="00F91070" w:rsidRDefault="00F91070" w:rsidP="00701DCF">
      <w:r>
        <w:t xml:space="preserve">Since the expansion of PPL EU’s capital program it has received more funds from PPL Corporation than it has provided.  There is an informal goal for PPL EU to provide 60%–65% of its net earnings to its parent in the form of a dividend.  Over the past five years PPL EU has contributed an average of 58% of its earnings to its parent (ranging from </w:t>
      </w:r>
      <w:r>
        <w:lastRenderedPageBreak/>
        <w:t xml:space="preserve">49% to 70%).  However, during this same time period, PPL Corporation has made capital contributions to PPL EU that </w:t>
      </w:r>
      <w:proofErr w:type="gramStart"/>
      <w:r>
        <w:t>have</w:t>
      </w:r>
      <w:proofErr w:type="gramEnd"/>
      <w:r>
        <w:t xml:space="preserve"> exceeded the PPL EU dividends except for 2010.  The level of planned capital expenditures for system improvements has been the driving cause for the level of capital injections from PPL Corporation.  This trend is expected to continue for the foreseeable future.   This payment flow is shown on the following exhibit.</w:t>
      </w:r>
    </w:p>
    <w:p w:rsidR="00F91070" w:rsidRPr="007B4868" w:rsidRDefault="00AD2223" w:rsidP="00AD2223">
      <w:pPr>
        <w:pStyle w:val="Caption"/>
      </w:pPr>
      <w:bookmarkStart w:id="108" w:name="_Toc464552966"/>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10</w:t>
      </w:r>
      <w:r w:rsidR="00CB2B2A">
        <w:rPr>
          <w:noProof/>
        </w:rPr>
        <w:fldChar w:fldCharType="end"/>
      </w:r>
      <w:r w:rsidR="002F6183">
        <w:br/>
      </w:r>
      <w:r w:rsidR="00F91070" w:rsidRPr="007B4868">
        <w:t>PPL EU Net Payment to PPL</w:t>
      </w:r>
      <w:r w:rsidR="00F91070">
        <w:t xml:space="preserve"> Corporation</w:t>
      </w:r>
      <w:bookmarkEnd w:id="1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28"/>
        <w:gridCol w:w="810"/>
        <w:gridCol w:w="810"/>
        <w:gridCol w:w="810"/>
        <w:gridCol w:w="810"/>
        <w:gridCol w:w="990"/>
        <w:gridCol w:w="918"/>
      </w:tblGrid>
      <w:tr w:rsidR="00F91070" w:rsidRPr="006458AD" w:rsidTr="006458AD">
        <w:trPr>
          <w:jc w:val="center"/>
        </w:trPr>
        <w:tc>
          <w:tcPr>
            <w:tcW w:w="4428" w:type="dxa"/>
            <w:vMerge w:val="restart"/>
            <w:shd w:val="clear" w:color="auto" w:fill="A5CD7E"/>
            <w:vAlign w:val="center"/>
          </w:tcPr>
          <w:p w:rsidR="00F91070" w:rsidRPr="006458AD" w:rsidRDefault="00F91070" w:rsidP="006304A4">
            <w:pPr>
              <w:spacing w:before="120"/>
              <w:jc w:val="center"/>
              <w:rPr>
                <w:b/>
                <w:szCs w:val="24"/>
              </w:rPr>
            </w:pPr>
            <w:r w:rsidRPr="006458AD">
              <w:rPr>
                <w:b/>
                <w:szCs w:val="24"/>
              </w:rPr>
              <w:t>Description</w:t>
            </w:r>
          </w:p>
        </w:tc>
        <w:tc>
          <w:tcPr>
            <w:tcW w:w="5148" w:type="dxa"/>
            <w:gridSpan w:val="6"/>
            <w:shd w:val="clear" w:color="auto" w:fill="A5CD7E"/>
            <w:vAlign w:val="center"/>
          </w:tcPr>
          <w:p w:rsidR="00F91070" w:rsidRPr="006458AD" w:rsidRDefault="00F91070" w:rsidP="006458AD">
            <w:pPr>
              <w:spacing w:before="120"/>
              <w:jc w:val="center"/>
              <w:rPr>
                <w:b/>
                <w:szCs w:val="24"/>
              </w:rPr>
            </w:pPr>
            <w:r w:rsidRPr="006458AD">
              <w:rPr>
                <w:b/>
                <w:szCs w:val="24"/>
              </w:rPr>
              <w:t xml:space="preserve">As of December 31 </w:t>
            </w:r>
          </w:p>
        </w:tc>
      </w:tr>
      <w:tr w:rsidR="00F91070" w:rsidRPr="006458AD" w:rsidTr="006458AD">
        <w:trPr>
          <w:jc w:val="center"/>
        </w:trPr>
        <w:tc>
          <w:tcPr>
            <w:tcW w:w="4428" w:type="dxa"/>
            <w:vMerge/>
            <w:shd w:val="clear" w:color="auto" w:fill="FBD4B4" w:themeFill="accent6" w:themeFillTint="66"/>
            <w:vAlign w:val="center"/>
          </w:tcPr>
          <w:p w:rsidR="00F91070" w:rsidRPr="006458AD" w:rsidRDefault="00F91070" w:rsidP="006304A4">
            <w:pPr>
              <w:spacing w:before="120"/>
              <w:jc w:val="center"/>
              <w:rPr>
                <w:b/>
                <w:szCs w:val="24"/>
              </w:rPr>
            </w:pPr>
          </w:p>
        </w:tc>
        <w:tc>
          <w:tcPr>
            <w:tcW w:w="810" w:type="dxa"/>
            <w:shd w:val="clear" w:color="auto" w:fill="A5CD7E"/>
            <w:vAlign w:val="center"/>
          </w:tcPr>
          <w:p w:rsidR="00F91070" w:rsidRPr="006458AD" w:rsidRDefault="00F91070" w:rsidP="006304A4">
            <w:pPr>
              <w:spacing w:before="120"/>
              <w:jc w:val="center"/>
              <w:rPr>
                <w:b/>
                <w:szCs w:val="24"/>
              </w:rPr>
            </w:pPr>
            <w:r w:rsidRPr="006458AD">
              <w:rPr>
                <w:b/>
                <w:szCs w:val="24"/>
              </w:rPr>
              <w:t>2010</w:t>
            </w:r>
          </w:p>
        </w:tc>
        <w:tc>
          <w:tcPr>
            <w:tcW w:w="810" w:type="dxa"/>
            <w:shd w:val="clear" w:color="auto" w:fill="A5CD7E"/>
            <w:vAlign w:val="center"/>
          </w:tcPr>
          <w:p w:rsidR="00F91070" w:rsidRPr="006458AD" w:rsidRDefault="00F91070" w:rsidP="006304A4">
            <w:pPr>
              <w:spacing w:before="120"/>
              <w:jc w:val="center"/>
              <w:rPr>
                <w:b/>
                <w:szCs w:val="24"/>
              </w:rPr>
            </w:pPr>
            <w:r w:rsidRPr="006458AD">
              <w:rPr>
                <w:b/>
                <w:szCs w:val="24"/>
              </w:rPr>
              <w:t>2011</w:t>
            </w:r>
          </w:p>
        </w:tc>
        <w:tc>
          <w:tcPr>
            <w:tcW w:w="810" w:type="dxa"/>
            <w:shd w:val="clear" w:color="auto" w:fill="A5CD7E"/>
            <w:vAlign w:val="center"/>
          </w:tcPr>
          <w:p w:rsidR="00F91070" w:rsidRPr="006458AD" w:rsidRDefault="00F91070" w:rsidP="006304A4">
            <w:pPr>
              <w:spacing w:before="120"/>
              <w:jc w:val="center"/>
              <w:rPr>
                <w:b/>
                <w:szCs w:val="24"/>
              </w:rPr>
            </w:pPr>
            <w:r w:rsidRPr="006458AD">
              <w:rPr>
                <w:b/>
                <w:szCs w:val="24"/>
              </w:rPr>
              <w:t>2012</w:t>
            </w:r>
          </w:p>
        </w:tc>
        <w:tc>
          <w:tcPr>
            <w:tcW w:w="810" w:type="dxa"/>
            <w:shd w:val="clear" w:color="auto" w:fill="A5CD7E"/>
            <w:vAlign w:val="center"/>
          </w:tcPr>
          <w:p w:rsidR="00F91070" w:rsidRPr="006458AD" w:rsidRDefault="00F91070" w:rsidP="006304A4">
            <w:pPr>
              <w:spacing w:before="120"/>
              <w:jc w:val="center"/>
              <w:rPr>
                <w:b/>
                <w:szCs w:val="24"/>
              </w:rPr>
            </w:pPr>
            <w:r w:rsidRPr="006458AD">
              <w:rPr>
                <w:b/>
                <w:szCs w:val="24"/>
              </w:rPr>
              <w:t>2013</w:t>
            </w:r>
          </w:p>
        </w:tc>
        <w:tc>
          <w:tcPr>
            <w:tcW w:w="990" w:type="dxa"/>
            <w:shd w:val="clear" w:color="auto" w:fill="A5CD7E"/>
            <w:vAlign w:val="center"/>
          </w:tcPr>
          <w:p w:rsidR="00F91070" w:rsidRPr="006458AD" w:rsidRDefault="00F91070" w:rsidP="006304A4">
            <w:pPr>
              <w:spacing w:before="120"/>
              <w:jc w:val="center"/>
              <w:rPr>
                <w:b/>
                <w:szCs w:val="24"/>
              </w:rPr>
            </w:pPr>
            <w:r w:rsidRPr="006458AD">
              <w:rPr>
                <w:b/>
                <w:szCs w:val="24"/>
              </w:rPr>
              <w:t>2014</w:t>
            </w:r>
          </w:p>
        </w:tc>
        <w:tc>
          <w:tcPr>
            <w:tcW w:w="918" w:type="dxa"/>
            <w:shd w:val="clear" w:color="auto" w:fill="A5CD7E"/>
            <w:vAlign w:val="center"/>
          </w:tcPr>
          <w:p w:rsidR="00F91070" w:rsidRPr="006458AD" w:rsidRDefault="00F91070" w:rsidP="006304A4">
            <w:pPr>
              <w:spacing w:before="120"/>
              <w:jc w:val="center"/>
              <w:rPr>
                <w:b/>
                <w:szCs w:val="24"/>
              </w:rPr>
            </w:pPr>
            <w:r w:rsidRPr="006458AD">
              <w:rPr>
                <w:b/>
                <w:szCs w:val="24"/>
              </w:rPr>
              <w:t>Total</w:t>
            </w:r>
          </w:p>
        </w:tc>
      </w:tr>
      <w:tr w:rsidR="00F91070" w:rsidRPr="006458AD" w:rsidTr="006458AD">
        <w:trPr>
          <w:jc w:val="center"/>
        </w:trPr>
        <w:tc>
          <w:tcPr>
            <w:tcW w:w="4428" w:type="dxa"/>
          </w:tcPr>
          <w:p w:rsidR="00F91070" w:rsidRPr="006458AD" w:rsidRDefault="00F91070" w:rsidP="006458AD">
            <w:pPr>
              <w:spacing w:after="0"/>
              <w:jc w:val="center"/>
              <w:rPr>
                <w:szCs w:val="24"/>
              </w:rPr>
            </w:pPr>
            <w:r w:rsidRPr="006458AD">
              <w:rPr>
                <w:szCs w:val="24"/>
              </w:rPr>
              <w:t>Dividends Paid by PPL EU to PPL</w:t>
            </w:r>
            <w:r w:rsidR="006458AD" w:rsidRPr="006458AD">
              <w:rPr>
                <w:szCs w:val="24"/>
              </w:rPr>
              <w:t xml:space="preserve"> (millions)</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71</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92</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65</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127</w:t>
            </w:r>
          </w:p>
        </w:tc>
        <w:tc>
          <w:tcPr>
            <w:tcW w:w="99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158</w:t>
            </w:r>
          </w:p>
        </w:tc>
        <w:tc>
          <w:tcPr>
            <w:tcW w:w="918"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543</w:t>
            </w:r>
          </w:p>
        </w:tc>
      </w:tr>
      <w:tr w:rsidR="00F91070" w:rsidRPr="006458AD" w:rsidTr="006458AD">
        <w:trPr>
          <w:jc w:val="center"/>
        </w:trPr>
        <w:tc>
          <w:tcPr>
            <w:tcW w:w="4428" w:type="dxa"/>
          </w:tcPr>
          <w:p w:rsidR="00F91070" w:rsidRPr="006458AD" w:rsidRDefault="00F91070" w:rsidP="006458AD">
            <w:pPr>
              <w:spacing w:after="0"/>
              <w:jc w:val="center"/>
              <w:rPr>
                <w:szCs w:val="24"/>
              </w:rPr>
            </w:pPr>
            <w:r w:rsidRPr="006458AD">
              <w:rPr>
                <w:szCs w:val="24"/>
              </w:rPr>
              <w:t>Capital Contributions from PPL to PPL EU</w:t>
            </w:r>
            <w:r w:rsidR="006458AD" w:rsidRPr="006458AD">
              <w:rPr>
                <w:szCs w:val="24"/>
              </w:rPr>
              <w:t xml:space="preserve"> (millions)</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55</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100</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150</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205</w:t>
            </w:r>
          </w:p>
        </w:tc>
        <w:tc>
          <w:tcPr>
            <w:tcW w:w="99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263</w:t>
            </w:r>
          </w:p>
        </w:tc>
        <w:tc>
          <w:tcPr>
            <w:tcW w:w="918"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773</w:t>
            </w:r>
          </w:p>
        </w:tc>
      </w:tr>
      <w:tr w:rsidR="00F91070" w:rsidRPr="006458AD" w:rsidTr="006458AD">
        <w:trPr>
          <w:jc w:val="center"/>
        </w:trPr>
        <w:tc>
          <w:tcPr>
            <w:tcW w:w="4428" w:type="dxa"/>
          </w:tcPr>
          <w:p w:rsidR="00F91070" w:rsidRPr="006458AD" w:rsidRDefault="00F91070" w:rsidP="006458AD">
            <w:pPr>
              <w:spacing w:after="0"/>
              <w:jc w:val="center"/>
              <w:rPr>
                <w:szCs w:val="24"/>
              </w:rPr>
            </w:pPr>
            <w:r w:rsidRPr="006458AD">
              <w:rPr>
                <w:szCs w:val="24"/>
              </w:rPr>
              <w:t>Net Payment to PPL Corporation</w:t>
            </w:r>
            <w:r w:rsidR="006458AD" w:rsidRPr="006458AD">
              <w:rPr>
                <w:szCs w:val="24"/>
              </w:rPr>
              <w:t xml:space="preserve"> (millions)</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16</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(8)</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(55)</w:t>
            </w:r>
          </w:p>
        </w:tc>
        <w:tc>
          <w:tcPr>
            <w:tcW w:w="81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(78)</w:t>
            </w:r>
          </w:p>
        </w:tc>
        <w:tc>
          <w:tcPr>
            <w:tcW w:w="990"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(105)</w:t>
            </w:r>
          </w:p>
        </w:tc>
        <w:tc>
          <w:tcPr>
            <w:tcW w:w="918" w:type="dxa"/>
            <w:vAlign w:val="bottom"/>
          </w:tcPr>
          <w:p w:rsidR="00F91070" w:rsidRPr="006458AD" w:rsidRDefault="006458AD" w:rsidP="006458AD">
            <w:pPr>
              <w:spacing w:after="0"/>
              <w:jc w:val="right"/>
              <w:rPr>
                <w:szCs w:val="24"/>
              </w:rPr>
            </w:pPr>
            <w:r w:rsidRPr="006458AD">
              <w:rPr>
                <w:szCs w:val="24"/>
              </w:rPr>
              <w:t>$</w:t>
            </w:r>
            <w:r w:rsidR="00F91070" w:rsidRPr="006458AD">
              <w:rPr>
                <w:szCs w:val="24"/>
              </w:rPr>
              <w:t>(230)</w:t>
            </w:r>
          </w:p>
        </w:tc>
      </w:tr>
      <w:tr w:rsidR="00F91070" w:rsidRPr="006458AD" w:rsidTr="006458AD">
        <w:trPr>
          <w:jc w:val="center"/>
        </w:trPr>
        <w:tc>
          <w:tcPr>
            <w:tcW w:w="9576" w:type="dxa"/>
            <w:gridSpan w:val="7"/>
          </w:tcPr>
          <w:p w:rsidR="00F91070" w:rsidRPr="006458AD" w:rsidRDefault="00F91070" w:rsidP="00701DCF">
            <w:pPr>
              <w:spacing w:after="0"/>
              <w:rPr>
                <w:szCs w:val="24"/>
              </w:rPr>
            </w:pPr>
            <w:r w:rsidRPr="006458AD">
              <w:rPr>
                <w:szCs w:val="24"/>
              </w:rPr>
              <w:t>Source:  PPL Corporation 10K Reports (2010, 2011, 2012, 2013, and 2014)</w:t>
            </w:r>
          </w:p>
        </w:tc>
      </w:tr>
    </w:tbl>
    <w:p w:rsidR="00F91070" w:rsidRPr="006E41BF" w:rsidRDefault="00F91070" w:rsidP="00701DCF">
      <w:pPr>
        <w:pStyle w:val="Normal-aftertable"/>
      </w:pPr>
      <w:r>
        <w:t>In total, over this five-year period, PPL EU has received $773 million from its parent while contributing $543 million in dividends, resulting in a net benefit to PPL EU of $230 million.</w:t>
      </w:r>
    </w:p>
    <w:p w:rsidR="00F91070" w:rsidRDefault="00F91070" w:rsidP="0011052F">
      <w:pPr>
        <w:pStyle w:val="Findings"/>
      </w:pPr>
      <w:r>
        <w:t>EU’s utilization of a contractor for 10% of its remittance processing helps ensure backup capability.</w:t>
      </w:r>
    </w:p>
    <w:p w:rsidR="00F91070" w:rsidRDefault="00F91070" w:rsidP="00701DCF">
      <w:r>
        <w:t>PPL SC entered into a services agreement with a remittance processing company in early 2014 to handle 10% of PPL EU’s remittances on a daily basis and to be available to handle disaster recovery services concerning PPL EU’s remittance processing if necessary. This agreement specifies performance standards and minimum performance levels for remittance processing.  It also establishes that, the contractor will maintain operational capacity to process for PPL EU an additional volume of transactions in the event of an “unplanned impairment or interruption of systems, resources or processes that disables” PPL EU’s regular in-house remittance processing activities. The contractor had been performing remittance processing services for PPL EU’s Kentucky affiliate for some time prior to the establishment of this arrangement with PPL SC. This backup arrangement provides insurance that PPL EU’s remittance processing will be continued in the event that its internal mail room operations are interrupted for any reason.</w:t>
      </w:r>
    </w:p>
    <w:p w:rsidR="00F91070" w:rsidRDefault="00F91070" w:rsidP="0011052F">
      <w:pPr>
        <w:pStyle w:val="Findings"/>
      </w:pPr>
      <w:r>
        <w:t>Internal Audit’s utilization of comprehensive audit material improves its effectiveness and efficiency.</w:t>
      </w:r>
    </w:p>
    <w:p w:rsidR="00F91070" w:rsidRDefault="00F91070" w:rsidP="00701DCF">
      <w:r>
        <w:t xml:space="preserve">The Internal Audit Department utilizes audit material that has been developed to guide its audits and </w:t>
      </w:r>
      <w:proofErr w:type="gramStart"/>
      <w:r>
        <w:t>help</w:t>
      </w:r>
      <w:proofErr w:type="gramEnd"/>
      <w:r>
        <w:t xml:space="preserve"> ensure that the audit process and final reports are performed and developed in a uniform, complete, and consistent manner.  Material that is available to </w:t>
      </w:r>
      <w:r>
        <w:lastRenderedPageBreak/>
        <w:t>auditors to aid in selecting areas to audit, conducting the audit, identifying areas of risk, and writing the audit report include the following forms and documents:</w:t>
      </w:r>
    </w:p>
    <w:p w:rsidR="00F91070" w:rsidRDefault="00F91070" w:rsidP="00701DCF">
      <w:pPr>
        <w:pStyle w:val="Bullet"/>
      </w:pPr>
      <w:r>
        <w:t>Audit Risk Assessment</w:t>
      </w:r>
    </w:p>
    <w:p w:rsidR="00F91070" w:rsidRDefault="00F91070" w:rsidP="00701DCF">
      <w:pPr>
        <w:pStyle w:val="Bullet"/>
      </w:pPr>
      <w:r>
        <w:t>Calculation of “Hard” and “Soft” Savings</w:t>
      </w:r>
    </w:p>
    <w:p w:rsidR="00F91070" w:rsidRDefault="00F91070" w:rsidP="00701DCF">
      <w:pPr>
        <w:pStyle w:val="Bullet"/>
      </w:pPr>
      <w:r>
        <w:t>Matrix of Potential Business Risk Exposures</w:t>
      </w:r>
    </w:p>
    <w:p w:rsidR="00F91070" w:rsidRDefault="00F91070" w:rsidP="00701DCF">
      <w:pPr>
        <w:pStyle w:val="Bullet"/>
      </w:pPr>
      <w:r>
        <w:t>Fraud Awareness and Detection Job Aid</w:t>
      </w:r>
    </w:p>
    <w:p w:rsidR="00F91070" w:rsidRDefault="00F91070" w:rsidP="00864BDD">
      <w:pPr>
        <w:pStyle w:val="Bullet"/>
      </w:pPr>
      <w:r>
        <w:t>PPL Audit Services Methodology for Audit Planning</w:t>
      </w:r>
    </w:p>
    <w:p w:rsidR="00F91070" w:rsidRDefault="00F91070" w:rsidP="00864BDD">
      <w:pPr>
        <w:pStyle w:val="Normal-aftertable"/>
      </w:pPr>
      <w:r>
        <w:t>This material, whether developed internally by Corporate Audit Services or adapted from internal audit best practices and industry guidelines, provides the Corporate Audit Services staff with a sound framework that, coupled with audit training and experience, will enable the performance of quality internal audits.</w:t>
      </w:r>
    </w:p>
    <w:p w:rsidR="00F91070" w:rsidRDefault="00F91070" w:rsidP="0011052F">
      <w:pPr>
        <w:pStyle w:val="Findings"/>
      </w:pPr>
      <w:r>
        <w:t>There have been significant delays in closing construction projects.</w:t>
      </w:r>
    </w:p>
    <w:p w:rsidR="00F91070" w:rsidRDefault="00F91070" w:rsidP="00701DCF">
      <w:pPr>
        <w:rPr>
          <w:rFonts w:cs="Arial"/>
          <w:szCs w:val="24"/>
        </w:rPr>
      </w:pPr>
      <w:r>
        <w:t xml:space="preserve">After a capital project has been completed and the ER marked closed/completed by the field, Fixed Asset Accounting </w:t>
      </w:r>
      <w:r w:rsidRPr="00C5036F">
        <w:t xml:space="preserve">will </w:t>
      </w:r>
      <w:r>
        <w:t xml:space="preserve">then </w:t>
      </w:r>
      <w:r w:rsidRPr="00C5036F">
        <w:t xml:space="preserve">analyze the project documentation, </w:t>
      </w:r>
      <w:r>
        <w:t xml:space="preserve">review the structure and location of the asset, check for errors, and transfer the assets from Completed Construction Not Classified (CCNC) to Electric Plant in Service.  In this process, </w:t>
      </w:r>
      <w:r>
        <w:rPr>
          <w:rFonts w:cs="Arial"/>
          <w:szCs w:val="24"/>
        </w:rPr>
        <w:t>the assets will be unitized (identified and placed in their proper account) and moved from CCNC to Electric Plant in Service.  Although not a formal company policy, the unitization process is supposed to occur within 60 days after the project is marked closed and completed, for projects constructed through WAM.  However, delays have occurred in this unitization process resulting in a portion of the new assets remaining in CCNC for a lengthy period.  The following exhibit displays the value of assets and the length of time that they remained in this account after being closed and completed.</w:t>
      </w:r>
    </w:p>
    <w:p w:rsidR="00F91070" w:rsidRPr="00C21E49" w:rsidRDefault="00AD2223" w:rsidP="00AD2223">
      <w:pPr>
        <w:pStyle w:val="Caption"/>
      </w:pPr>
      <w:bookmarkStart w:id="109" w:name="_Toc464552967"/>
      <w:r>
        <w:t xml:space="preserve">Exhibit </w:t>
      </w:r>
      <w:r w:rsidR="00CB2B2A">
        <w:fldChar w:fldCharType="begin"/>
      </w:r>
      <w:r w:rsidR="00EC053E">
        <w:instrText xml:space="preserve"> STYLEREF 1 \s </w:instrText>
      </w:r>
      <w:r w:rsidR="00CB2B2A">
        <w:fldChar w:fldCharType="separate"/>
      </w:r>
      <w:r w:rsidR="00CA3BDB">
        <w:rPr>
          <w:noProof/>
        </w:rPr>
        <w:t>V</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11</w:t>
      </w:r>
      <w:r w:rsidR="00CB2B2A">
        <w:rPr>
          <w:noProof/>
        </w:rPr>
        <w:fldChar w:fldCharType="end"/>
      </w:r>
      <w:r w:rsidR="002F6183">
        <w:br/>
      </w:r>
      <w:r w:rsidR="00F91070" w:rsidRPr="00C21E49">
        <w:t xml:space="preserve">Distribution Aged Completed </w:t>
      </w:r>
      <w:r w:rsidR="00F91070" w:rsidRPr="00C01460">
        <w:t>Construction</w:t>
      </w:r>
      <w:r w:rsidR="00B7713A">
        <w:t xml:space="preserve"> Not Classified Asset Values</w:t>
      </w:r>
      <w:r w:rsidR="002F6183">
        <w:br/>
      </w:r>
      <w:r w:rsidR="00F91070" w:rsidRPr="00C21E49">
        <w:t>as of July 31, 2015</w:t>
      </w:r>
      <w:bookmarkEnd w:id="109"/>
    </w:p>
    <w:tbl>
      <w:tblPr>
        <w:tblW w:w="0" w:type="auto"/>
        <w:jc w:val="center"/>
        <w:tblLayout w:type="fixed"/>
        <w:tblLook w:val="04A0"/>
      </w:tblPr>
      <w:tblGrid>
        <w:gridCol w:w="1708"/>
        <w:gridCol w:w="1437"/>
        <w:gridCol w:w="1443"/>
        <w:gridCol w:w="1350"/>
        <w:gridCol w:w="1260"/>
        <w:gridCol w:w="1080"/>
        <w:gridCol w:w="897"/>
      </w:tblGrid>
      <w:tr w:rsidR="00F91070" w:rsidRPr="006304A4" w:rsidTr="006458AD">
        <w:trPr>
          <w:cantSplit/>
          <w:tblHeader/>
          <w:jc w:val="center"/>
        </w:trPr>
        <w:tc>
          <w:tcPr>
            <w:tcW w:w="1708" w:type="dxa"/>
            <w:vMerge w:val="restart"/>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Asset Account</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Total</w:t>
            </w:r>
          </w:p>
        </w:tc>
        <w:tc>
          <w:tcPr>
            <w:tcW w:w="6030" w:type="dxa"/>
            <w:gridSpan w:val="5"/>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Months</w:t>
            </w:r>
          </w:p>
        </w:tc>
      </w:tr>
      <w:tr w:rsidR="00F91070" w:rsidRPr="005D65AF" w:rsidTr="006458AD">
        <w:trPr>
          <w:jc w:val="center"/>
        </w:trPr>
        <w:tc>
          <w:tcPr>
            <w:tcW w:w="1708" w:type="dxa"/>
            <w:vMerge/>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after="0"/>
              <w:jc w:val="center"/>
              <w:rPr>
                <w:b/>
              </w:rPr>
            </w:pPr>
          </w:p>
        </w:tc>
        <w:tc>
          <w:tcPr>
            <w:tcW w:w="1437" w:type="dxa"/>
            <w:vMerge/>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after="0"/>
              <w:jc w:val="center"/>
              <w:rPr>
                <w:b/>
              </w:rPr>
            </w:pPr>
          </w:p>
        </w:tc>
        <w:tc>
          <w:tcPr>
            <w:tcW w:w="1443" w:type="dxa"/>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&lt; 12</w:t>
            </w:r>
          </w:p>
        </w:tc>
        <w:tc>
          <w:tcPr>
            <w:tcW w:w="1350" w:type="dxa"/>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&gt; 12</w:t>
            </w:r>
          </w:p>
        </w:tc>
        <w:tc>
          <w:tcPr>
            <w:tcW w:w="1260" w:type="dxa"/>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&gt; 24</w:t>
            </w:r>
          </w:p>
        </w:tc>
        <w:tc>
          <w:tcPr>
            <w:tcW w:w="1080" w:type="dxa"/>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&gt; 36</w:t>
            </w:r>
          </w:p>
        </w:tc>
        <w:tc>
          <w:tcPr>
            <w:tcW w:w="897" w:type="dxa"/>
            <w:tcBorders>
              <w:top w:val="single" w:sz="4" w:space="0" w:color="auto"/>
              <w:left w:val="single" w:sz="4" w:space="0" w:color="auto"/>
              <w:bottom w:val="single" w:sz="4" w:space="0" w:color="auto"/>
              <w:right w:val="single" w:sz="4" w:space="0" w:color="auto"/>
            </w:tcBorders>
            <w:shd w:val="clear" w:color="auto" w:fill="A5CD7E"/>
            <w:vAlign w:val="center"/>
          </w:tcPr>
          <w:p w:rsidR="00F91070" w:rsidRPr="005D65AF" w:rsidRDefault="00F91070" w:rsidP="006304A4">
            <w:pPr>
              <w:spacing w:before="120"/>
              <w:jc w:val="center"/>
              <w:rPr>
                <w:b/>
              </w:rPr>
            </w:pPr>
            <w:r w:rsidRPr="005D65AF">
              <w:rPr>
                <w:b/>
              </w:rPr>
              <w:t>&gt; 48</w:t>
            </w:r>
          </w:p>
        </w:tc>
      </w:tr>
      <w:tr w:rsidR="00F91070" w:rsidTr="006458AD">
        <w:trPr>
          <w:jc w:val="center"/>
        </w:trPr>
        <w:tc>
          <w:tcPr>
            <w:tcW w:w="1708" w:type="dxa"/>
            <w:tcBorders>
              <w:top w:val="single" w:sz="4" w:space="0" w:color="auto"/>
              <w:left w:val="single" w:sz="4" w:space="0" w:color="auto"/>
              <w:bottom w:val="single" w:sz="4" w:space="0" w:color="auto"/>
              <w:right w:val="single" w:sz="4" w:space="0" w:color="auto"/>
            </w:tcBorders>
            <w:vAlign w:val="bottom"/>
          </w:tcPr>
          <w:p w:rsidR="00F91070" w:rsidRDefault="00F91070" w:rsidP="00701DCF">
            <w:pPr>
              <w:spacing w:after="0"/>
              <w:jc w:val="center"/>
            </w:pPr>
            <w:r>
              <w:t>CCNC, # 106</w:t>
            </w:r>
            <w:r w:rsidR="006458AD">
              <w:t xml:space="preserve"> (thousands)</w:t>
            </w:r>
          </w:p>
        </w:tc>
        <w:tc>
          <w:tcPr>
            <w:tcW w:w="1437"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294,616.6</w:t>
            </w:r>
          </w:p>
        </w:tc>
        <w:tc>
          <w:tcPr>
            <w:tcW w:w="1443"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247,415.5</w:t>
            </w:r>
          </w:p>
        </w:tc>
        <w:tc>
          <w:tcPr>
            <w:tcW w:w="1350"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4</w:t>
            </w:r>
            <w:r w:rsidR="00F91070">
              <w:rPr>
                <w:szCs w:val="24"/>
              </w:rPr>
              <w:t>7,246.1</w:t>
            </w:r>
          </w:p>
        </w:tc>
        <w:tc>
          <w:tcPr>
            <w:tcW w:w="1260"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2,</w:t>
            </w:r>
            <w:r w:rsidR="00F91070">
              <w:rPr>
                <w:szCs w:val="24"/>
              </w:rPr>
              <w:t>318.2</w:t>
            </w:r>
          </w:p>
        </w:tc>
        <w:tc>
          <w:tcPr>
            <w:tcW w:w="1080"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47.</w:t>
            </w:r>
            <w:r w:rsidR="00F91070">
              <w:rPr>
                <w:szCs w:val="24"/>
              </w:rPr>
              <w:t>5</w:t>
            </w:r>
          </w:p>
        </w:tc>
        <w:tc>
          <w:tcPr>
            <w:tcW w:w="897" w:type="dxa"/>
            <w:tcBorders>
              <w:top w:val="single" w:sz="4" w:space="0" w:color="auto"/>
              <w:left w:val="single" w:sz="4" w:space="0" w:color="auto"/>
              <w:bottom w:val="single" w:sz="4" w:space="0" w:color="auto"/>
              <w:right w:val="single" w:sz="4" w:space="0" w:color="auto"/>
            </w:tcBorders>
            <w:vAlign w:val="bottom"/>
          </w:tcPr>
          <w:p w:rsidR="00F91070" w:rsidRPr="005B0B23" w:rsidRDefault="006458AD" w:rsidP="006458AD">
            <w:pPr>
              <w:spacing w:after="0"/>
              <w:jc w:val="right"/>
              <w:rPr>
                <w:szCs w:val="24"/>
              </w:rPr>
            </w:pPr>
            <w:r>
              <w:t>$</w:t>
            </w:r>
            <w:r w:rsidR="00F91070" w:rsidRPr="005B0B23">
              <w:rPr>
                <w:szCs w:val="24"/>
              </w:rPr>
              <w:t>.4</w:t>
            </w:r>
          </w:p>
        </w:tc>
      </w:tr>
      <w:tr w:rsidR="00F91070" w:rsidTr="00701DCF">
        <w:trPr>
          <w:jc w:val="center"/>
        </w:trPr>
        <w:tc>
          <w:tcPr>
            <w:tcW w:w="9175" w:type="dxa"/>
            <w:gridSpan w:val="7"/>
            <w:tcBorders>
              <w:top w:val="single" w:sz="4" w:space="0" w:color="auto"/>
              <w:left w:val="single" w:sz="4" w:space="0" w:color="auto"/>
              <w:bottom w:val="single" w:sz="4" w:space="0" w:color="auto"/>
              <w:right w:val="single" w:sz="4" w:space="0" w:color="auto"/>
            </w:tcBorders>
          </w:tcPr>
          <w:p w:rsidR="00F91070" w:rsidRDefault="00F91070" w:rsidP="00701DCF">
            <w:pPr>
              <w:spacing w:after="0"/>
            </w:pPr>
            <w:r>
              <w:t>Source:  DN 08-137</w:t>
            </w:r>
          </w:p>
        </w:tc>
      </w:tr>
    </w:tbl>
    <w:p w:rsidR="00F91070" w:rsidRPr="00073D97" w:rsidRDefault="00F91070" w:rsidP="00701DCF">
      <w:pPr>
        <w:pStyle w:val="Normal-aftertable"/>
      </w:pPr>
      <w:r>
        <w:t>As of July 31, 2015, $295 million in asset value remained in the CCNC account.  These were assets from projects that had already been completed and closed.  Of this total, over $47 million had been in this account for more than one year and over $2 million had been in this account for over two years.</w:t>
      </w:r>
    </w:p>
    <w:p w:rsidR="00F91070" w:rsidRDefault="00F91070" w:rsidP="0011052F">
      <w:pPr>
        <w:pStyle w:val="Findings"/>
      </w:pPr>
      <w:r>
        <w:t>Sufficient controls are in place to ensure the accuracy of changes made to customer rates.</w:t>
      </w:r>
    </w:p>
    <w:p w:rsidR="00F91070" w:rsidRPr="00492242" w:rsidRDefault="00F91070" w:rsidP="00701DCF">
      <w:r>
        <w:t xml:space="preserve">Planned changes to customer rates are reviewed and verified prior to their implementation and inclusion on customer bills.  Rate calculations are verified whenever </w:t>
      </w:r>
      <w:r w:rsidRPr="00E50F3F">
        <w:t>rate</w:t>
      </w:r>
      <w:r>
        <w:t>s are to be changed</w:t>
      </w:r>
      <w:r w:rsidRPr="00E50F3F">
        <w:t>,</w:t>
      </w:r>
      <w:r>
        <w:t xml:space="preserve"> which can happen </w:t>
      </w:r>
      <w:r w:rsidRPr="00E50F3F">
        <w:t>four times per year.</w:t>
      </w:r>
      <w:r>
        <w:t xml:space="preserve">  Prior to the planned </w:t>
      </w:r>
      <w:r>
        <w:lastRenderedPageBreak/>
        <w:t>rate change, the new</w:t>
      </w:r>
      <w:r w:rsidRPr="00E50F3F">
        <w:t xml:space="preserve"> </w:t>
      </w:r>
      <w:r>
        <w:t>rates</w:t>
      </w:r>
      <w:r w:rsidRPr="00E50F3F">
        <w:t xml:space="preserve"> </w:t>
      </w:r>
      <w:r>
        <w:t>will be entered on</w:t>
      </w:r>
      <w:r w:rsidRPr="00E50F3F">
        <w:t xml:space="preserve"> a spreadsheet based on exhibits </w:t>
      </w:r>
      <w:r>
        <w:t xml:space="preserve">that are </w:t>
      </w:r>
      <w:r w:rsidRPr="00E50F3F">
        <w:t xml:space="preserve">filed with the </w:t>
      </w:r>
      <w:r>
        <w:t>PA</w:t>
      </w:r>
      <w:r w:rsidRPr="00E50F3F">
        <w:t xml:space="preserve">PUC. These rates are reviewed for accuracy, loaded </w:t>
      </w:r>
      <w:r>
        <w:t>in</w:t>
      </w:r>
      <w:r w:rsidRPr="00E50F3F">
        <w:t xml:space="preserve">to </w:t>
      </w:r>
      <w:r>
        <w:t>the Customer Service System (</w:t>
      </w:r>
      <w:r w:rsidRPr="00E50F3F">
        <w:t>CSS</w:t>
      </w:r>
      <w:r>
        <w:t>)</w:t>
      </w:r>
      <w:r w:rsidRPr="00E50F3F">
        <w:t>, tested</w:t>
      </w:r>
      <w:r>
        <w:t>,</w:t>
      </w:r>
      <w:r w:rsidRPr="00E50F3F">
        <w:t xml:space="preserve"> and verified.</w:t>
      </w:r>
      <w:r>
        <w:t xml:space="preserve">  A</w:t>
      </w:r>
      <w:r w:rsidRPr="00E50F3F">
        <w:t xml:space="preserve"> price change spreadsheet from the Proof of Revenue sheets for the tariff</w:t>
      </w:r>
      <w:r>
        <w:t xml:space="preserve"> is prepared, </w:t>
      </w:r>
      <w:r w:rsidRPr="00E50F3F">
        <w:t>contain</w:t>
      </w:r>
      <w:r>
        <w:t>ing</w:t>
      </w:r>
      <w:r w:rsidRPr="00E50F3F">
        <w:t xml:space="preserve"> prices for each rate category.</w:t>
      </w:r>
      <w:r>
        <w:t xml:space="preserve">  Prices from the price change spreadsheet are entered into the </w:t>
      </w:r>
      <w:r w:rsidRPr="00E50F3F">
        <w:t xml:space="preserve">Tariff Modeler </w:t>
      </w:r>
      <w:r>
        <w:t>system, which generates s</w:t>
      </w:r>
      <w:r w:rsidRPr="00E50F3F">
        <w:t xml:space="preserve">ample bills </w:t>
      </w:r>
      <w:r>
        <w:t>for each rate</w:t>
      </w:r>
      <w:r w:rsidRPr="00E50F3F">
        <w:t>.</w:t>
      </w:r>
      <w:r>
        <w:t xml:space="preserve">  These bills are compared to bill amounts calculated by the </w:t>
      </w:r>
      <w:r w:rsidRPr="00E50F3F">
        <w:t xml:space="preserve">Bill Calculation Utility </w:t>
      </w:r>
      <w:r>
        <w:t xml:space="preserve">system that is </w:t>
      </w:r>
      <w:r w:rsidRPr="00E50F3F">
        <w:t xml:space="preserve">maintained by </w:t>
      </w:r>
      <w:r>
        <w:t>Regulatory Compliance</w:t>
      </w:r>
      <w:r w:rsidRPr="00E50F3F">
        <w:t xml:space="preserve">. </w:t>
      </w:r>
      <w:r>
        <w:t xml:space="preserve"> After the </w:t>
      </w:r>
      <w:r w:rsidRPr="00E50F3F">
        <w:t>first billing cycle following a rate change</w:t>
      </w:r>
      <w:r>
        <w:t>,</w:t>
      </w:r>
      <w:r w:rsidRPr="00E50F3F">
        <w:t xml:space="preserve"> CSS </w:t>
      </w:r>
      <w:r>
        <w:t xml:space="preserve">will </w:t>
      </w:r>
      <w:r w:rsidRPr="00E50F3F">
        <w:t xml:space="preserve">print </w:t>
      </w:r>
      <w:r>
        <w:t xml:space="preserve">bill </w:t>
      </w:r>
      <w:r w:rsidRPr="00E50F3F">
        <w:t>files that are a sample of all production bills</w:t>
      </w:r>
      <w:r>
        <w:t xml:space="preserve"> which </w:t>
      </w:r>
      <w:r w:rsidRPr="00E50F3F">
        <w:t>are</w:t>
      </w:r>
      <w:r>
        <w:t xml:space="preserve"> then </w:t>
      </w:r>
      <w:r w:rsidRPr="00E50F3F">
        <w:t xml:space="preserve">input to </w:t>
      </w:r>
      <w:r>
        <w:t>Regulatory Compliance’s</w:t>
      </w:r>
      <w:r w:rsidRPr="00E50F3F">
        <w:t xml:space="preserve"> Bill Calculation Utility</w:t>
      </w:r>
      <w:r>
        <w:t xml:space="preserve"> system for verification</w:t>
      </w:r>
      <w:r w:rsidRPr="00E50F3F">
        <w:t xml:space="preserve">. </w:t>
      </w:r>
      <w:r>
        <w:t xml:space="preserve"> </w:t>
      </w:r>
      <w:r w:rsidRPr="00E50F3F">
        <w:t xml:space="preserve">Each production CSS file following the rate change is tested in the same way until all rates have been verified. </w:t>
      </w:r>
      <w:r>
        <w:t xml:space="preserve"> </w:t>
      </w:r>
    </w:p>
    <w:p w:rsidR="00F91070" w:rsidRDefault="00F91070" w:rsidP="004F00E5">
      <w:pPr>
        <w:pStyle w:val="Heading2"/>
        <w:numPr>
          <w:ilvl w:val="0"/>
          <w:numId w:val="105"/>
        </w:numPr>
      </w:pPr>
      <w:bookmarkStart w:id="110" w:name="_Toc464552025"/>
      <w:r>
        <w:t>Recommendations</w:t>
      </w:r>
      <w:bookmarkEnd w:id="110"/>
    </w:p>
    <w:p w:rsidR="00F91070" w:rsidRDefault="00F91070" w:rsidP="004F00E5">
      <w:pPr>
        <w:pStyle w:val="Findings"/>
        <w:numPr>
          <w:ilvl w:val="0"/>
          <w:numId w:val="86"/>
        </w:numPr>
      </w:pPr>
      <w:r>
        <w:t>Establish a budget variance threshold policy (See Finding 2).</w:t>
      </w:r>
    </w:p>
    <w:p w:rsidR="00F91070" w:rsidRPr="0011052F" w:rsidRDefault="00F91070" w:rsidP="0011052F">
      <w:r w:rsidRPr="0011052F">
        <w:t>A standard budget variance threshold should be established to guide budget analysts in their review of actual to budget variances.  Thresholds in terms of percentage variance or dollar amount of variance should be established and documented in budget policies and procedures.  Determining and applying documented thresholds to the budget variance analysis will help ensure that the budget review processes are performed in a standard and consistent manner throughout the PPL EU and PPL EUS organizations.</w:t>
      </w:r>
    </w:p>
    <w:p w:rsidR="00F91070" w:rsidRDefault="00F91070" w:rsidP="0011052F">
      <w:pPr>
        <w:pStyle w:val="Findings"/>
      </w:pPr>
      <w:r>
        <w:t xml:space="preserve">Develop a policy and process to review unclassified assets and complete the unitization process to place new assets in proper accounts in a timely manner (See Finding 10). </w:t>
      </w:r>
    </w:p>
    <w:p w:rsidR="00F91070" w:rsidRDefault="00F91070" w:rsidP="00701DCF">
      <w:r>
        <w:t>There have been delays in completing the unitization process and transferring assets from the Completed Construction Not Classified (CCNC), to Plant in Service.  As of July 31, 2015 assets costing almost $295 million remained in this category, after the project generating these assets had been completed and the project closed.  This amounted to over five percent of the PPL EU’s total plant value ($5,433 million).  Most utility companies have policies that require assets to be unitized and moved into Plant in Service within 60 days after the project has been closed (when the project has been completed with all costs included).  PPL EU has an informal policy that requires this to happen within 60 days as well.  With the dollar value of assets of the Account 106 ($294.6 million) and the value that has been in this account for more than 12 months ($47.2 million), it is obvious that this informal policy has not been followed.  This policy should be formalized and followed, moving assets from CCNC to Plant in Service within 60 days.</w:t>
      </w:r>
    </w:p>
    <w:p w:rsidR="009B421B" w:rsidRDefault="009B421B" w:rsidP="00701DCF"/>
    <w:p w:rsidR="009B421B" w:rsidRDefault="009B421B" w:rsidP="00701DCF">
      <w:pPr>
        <w:sectPr w:rsidR="009B421B" w:rsidSect="00701DCF">
          <w:footerReference w:type="default" r:id="rId29"/>
          <w:type w:val="continuous"/>
          <w:pgSz w:w="12240" w:h="15840"/>
          <w:pgMar w:top="1440" w:right="1440" w:bottom="1440" w:left="1440" w:header="720" w:footer="576" w:gutter="0"/>
          <w:cols w:space="720"/>
          <w:docGrid w:linePitch="360"/>
        </w:sectPr>
      </w:pPr>
    </w:p>
    <w:p w:rsidR="00AE554B" w:rsidRDefault="00AE554B" w:rsidP="00E142EC">
      <w:pPr>
        <w:pStyle w:val="Heading1"/>
      </w:pPr>
      <w:bookmarkStart w:id="111" w:name="_Toc442617400"/>
      <w:bookmarkStart w:id="112" w:name="_Toc464552026"/>
      <w:r>
        <w:lastRenderedPageBreak/>
        <w:t>Transmission and Distribution</w:t>
      </w:r>
      <w:bookmarkEnd w:id="111"/>
      <w:bookmarkEnd w:id="112"/>
    </w:p>
    <w:p w:rsidR="00AE554B" w:rsidRDefault="00AE554B" w:rsidP="00701DCF">
      <w:pPr>
        <w:pStyle w:val="Heading30"/>
      </w:pPr>
      <w:bookmarkStart w:id="113" w:name="_Toc442617401"/>
      <w:r>
        <w:t>Overview</w:t>
      </w:r>
      <w:bookmarkEnd w:id="113"/>
    </w:p>
    <w:p w:rsidR="00AE554B" w:rsidRDefault="00AE554B" w:rsidP="00652B0E">
      <w:pPr>
        <w:rPr>
          <w:rFonts w:cs="Arial"/>
          <w:szCs w:val="24"/>
        </w:rPr>
      </w:pPr>
      <w:r>
        <w:t>PPL Electric Utilities (</w:t>
      </w:r>
      <w:r w:rsidRPr="009C3904">
        <w:rPr>
          <w:rFonts w:cs="Arial"/>
          <w:szCs w:val="24"/>
        </w:rPr>
        <w:t>PPL E</w:t>
      </w:r>
      <w:r>
        <w:rPr>
          <w:rFonts w:cs="Arial"/>
          <w:szCs w:val="24"/>
        </w:rPr>
        <w:t>U)</w:t>
      </w:r>
      <w:r w:rsidRPr="009C3904">
        <w:rPr>
          <w:rFonts w:cs="Arial"/>
          <w:szCs w:val="24"/>
        </w:rPr>
        <w:t xml:space="preserve"> serves approximately 1.</w:t>
      </w:r>
      <w:r>
        <w:rPr>
          <w:rFonts w:cs="Arial"/>
          <w:szCs w:val="24"/>
        </w:rPr>
        <w:t>40</w:t>
      </w:r>
      <w:r w:rsidRPr="009C3904">
        <w:rPr>
          <w:rFonts w:cs="Arial"/>
          <w:szCs w:val="24"/>
        </w:rPr>
        <w:t xml:space="preserve"> million </w:t>
      </w:r>
      <w:r>
        <w:rPr>
          <w:rFonts w:cs="Arial"/>
          <w:szCs w:val="24"/>
        </w:rPr>
        <w:t>custom</w:t>
      </w:r>
      <w:r w:rsidRPr="009C3904">
        <w:rPr>
          <w:rFonts w:cs="Arial"/>
          <w:szCs w:val="24"/>
        </w:rPr>
        <w:t xml:space="preserve">ers in 29 counties of Pennsylvania and maintains over </w:t>
      </w:r>
      <w:r>
        <w:rPr>
          <w:rFonts w:cs="Arial"/>
          <w:szCs w:val="24"/>
        </w:rPr>
        <w:t>50,000</w:t>
      </w:r>
      <w:r w:rsidRPr="009C3904">
        <w:rPr>
          <w:rFonts w:cs="Arial"/>
          <w:szCs w:val="24"/>
        </w:rPr>
        <w:t xml:space="preserve"> miles of power lines.  </w:t>
      </w:r>
      <w:r>
        <w:rPr>
          <w:rFonts w:cs="Arial"/>
          <w:szCs w:val="24"/>
        </w:rPr>
        <w:t>Approximately 87% of PPL’s customers are residential.  The PPL EU service area is shown in the following exhibit.</w:t>
      </w:r>
    </w:p>
    <w:p w:rsidR="00AD2223" w:rsidRDefault="00AD2223" w:rsidP="00AD2223">
      <w:pPr>
        <w:pStyle w:val="Caption"/>
        <w:rPr>
          <w:rFonts w:cs="Arial"/>
          <w:szCs w:val="24"/>
        </w:rPr>
      </w:pPr>
      <w:bookmarkStart w:id="114" w:name="_Toc464552968"/>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2F6183">
        <w:br/>
      </w:r>
      <w:r>
        <w:t>PPL Electric Utilities Service Territory</w:t>
      </w:r>
      <w:bookmarkEnd w:id="114"/>
    </w:p>
    <w:p w:rsidR="00AE554B" w:rsidRDefault="00AE554B" w:rsidP="00701DCF">
      <w:pPr>
        <w:pStyle w:val="Tableheading"/>
      </w:pPr>
      <w:r>
        <w:rPr>
          <w:noProof/>
        </w:rPr>
        <w:drawing>
          <wp:inline distT="0" distB="0" distL="0" distR="0">
            <wp:extent cx="4933950" cy="4200525"/>
            <wp:effectExtent l="0" t="0" r="0" b="9525"/>
            <wp:docPr id="14" name="Picture 14" descr="PPL Service Are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L Service Area3"/>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50" cy="4200525"/>
                    </a:xfrm>
                    <a:prstGeom prst="rect">
                      <a:avLst/>
                    </a:prstGeom>
                    <a:noFill/>
                    <a:ln>
                      <a:noFill/>
                    </a:ln>
                  </pic:spPr>
                </pic:pic>
              </a:graphicData>
            </a:graphic>
          </wp:inline>
        </w:drawing>
      </w:r>
    </w:p>
    <w:p w:rsidR="00AE554B" w:rsidRDefault="00AE554B" w:rsidP="00701DCF">
      <w:pPr>
        <w:pStyle w:val="Normal-aftertable"/>
      </w:pPr>
      <w:r w:rsidRPr="009C3904">
        <w:t xml:space="preserve">The overall </w:t>
      </w:r>
      <w:r>
        <w:t xml:space="preserve">PPL EU </w:t>
      </w:r>
      <w:r w:rsidRPr="009C3904">
        <w:t>service area encompasses approximately 10,000 square miles and consists of</w:t>
      </w:r>
      <w:r>
        <w:t xml:space="preserve"> all or</w:t>
      </w:r>
      <w:r w:rsidRPr="009C3904">
        <w:t xml:space="preserve"> parts of the following </w:t>
      </w:r>
      <w:r>
        <w:t xml:space="preserve">29 </w:t>
      </w:r>
      <w:r w:rsidRPr="009C3904">
        <w:t xml:space="preserve">counties in eastern and central Pennsylvania: Berks, Bucks, Carbon, Chester, Clinton, Columbia, Cumberland, Dauphin, Juniata, Lackawanna, Lancaster, Lebanon, Lehigh, Luzerne, Lycoming, Monroe, Montgomery, Montour, Northampton, Northumberland, Perry, Pike, Schuylkill, Snyder, Susquehanna, </w:t>
      </w:r>
      <w:r>
        <w:t>Union, Wayne, Wyoming, and York.  Energy sales are approximately 36,000 gigawatt hours per year.</w:t>
      </w:r>
    </w:p>
    <w:p w:rsidR="00AE554B" w:rsidRDefault="00AE554B" w:rsidP="00652B0E">
      <w:pPr>
        <w:rPr>
          <w:rFonts w:cs="Arial"/>
          <w:szCs w:val="24"/>
        </w:rPr>
      </w:pPr>
      <w:r>
        <w:rPr>
          <w:rFonts w:cs="Arial"/>
          <w:szCs w:val="24"/>
        </w:rPr>
        <w:t>The service area map also depicts the six regions established for PPL EU operations as well as the three super regions.  For certain functions the six regions are consolidated into the three super regions (i.e., Northeast and Lehigh regions; Central and Susquehanna regions; and Harrisburg and Lancaster regions.)</w:t>
      </w:r>
    </w:p>
    <w:p w:rsidR="00AE554B" w:rsidRDefault="00AE554B" w:rsidP="00701DCF">
      <w:pPr>
        <w:rPr>
          <w:rFonts w:cs="Arial"/>
          <w:szCs w:val="24"/>
        </w:rPr>
      </w:pPr>
      <w:r>
        <w:rPr>
          <w:rFonts w:cs="Arial"/>
          <w:szCs w:val="24"/>
        </w:rPr>
        <w:lastRenderedPageBreak/>
        <w:t>The county breakdown within the regions is as follows:</w:t>
      </w:r>
    </w:p>
    <w:p w:rsidR="00AE554B" w:rsidRDefault="00AE554B" w:rsidP="00B86FA4">
      <w:pPr>
        <w:pStyle w:val="ListParagraph"/>
        <w:numPr>
          <w:ilvl w:val="0"/>
          <w:numId w:val="17"/>
        </w:numPr>
        <w:spacing w:after="60"/>
        <w:contextualSpacing w:val="0"/>
      </w:pPr>
      <w:r w:rsidRPr="00231D14">
        <w:t xml:space="preserve">The Northeast Region serves Pike, Susquehanna, Wayne, and </w:t>
      </w:r>
      <w:r w:rsidRPr="006827BC">
        <w:t xml:space="preserve">Wyoming counties and parts of Carbon, </w:t>
      </w:r>
      <w:r w:rsidRPr="00C7550B">
        <w:t>Lackawanna,</w:t>
      </w:r>
      <w:r>
        <w:t xml:space="preserve"> </w:t>
      </w:r>
      <w:r w:rsidRPr="00CE2E1E">
        <w:t>Luzerne</w:t>
      </w:r>
      <w:r w:rsidRPr="00231D14">
        <w:t xml:space="preserve">, and Monroe counties.  </w:t>
      </w:r>
    </w:p>
    <w:p w:rsidR="00AE554B" w:rsidRDefault="00AE554B" w:rsidP="00B86FA4">
      <w:pPr>
        <w:pStyle w:val="ListParagraph"/>
        <w:numPr>
          <w:ilvl w:val="0"/>
          <w:numId w:val="17"/>
        </w:numPr>
        <w:spacing w:after="60"/>
        <w:contextualSpacing w:val="0"/>
      </w:pPr>
      <w:r w:rsidRPr="006827BC">
        <w:t xml:space="preserve">The Lehigh Region </w:t>
      </w:r>
      <w:r w:rsidRPr="00231D14">
        <w:t xml:space="preserve">serves </w:t>
      </w:r>
      <w:r w:rsidRPr="00833B75">
        <w:t xml:space="preserve">Bucks, </w:t>
      </w:r>
      <w:r w:rsidRPr="00231D14">
        <w:t xml:space="preserve">Lehigh, </w:t>
      </w:r>
      <w:r w:rsidRPr="00724209">
        <w:t>Montgomery</w:t>
      </w:r>
      <w:r w:rsidRPr="006827BC">
        <w:t>,</w:t>
      </w:r>
      <w:r w:rsidRPr="00231D14">
        <w:t xml:space="preserve"> and </w:t>
      </w:r>
      <w:r w:rsidRPr="00967748">
        <w:t>Northampton</w:t>
      </w:r>
      <w:r w:rsidRPr="00231D14">
        <w:t xml:space="preserve"> counties and parts of Carbon </w:t>
      </w:r>
      <w:proofErr w:type="gramStart"/>
      <w:r w:rsidRPr="00231D14">
        <w:t>county</w:t>
      </w:r>
      <w:proofErr w:type="gramEnd"/>
      <w:r w:rsidRPr="00231D14">
        <w:t xml:space="preserve">.  </w:t>
      </w:r>
    </w:p>
    <w:p w:rsidR="00AE554B" w:rsidRDefault="00AE554B" w:rsidP="00B86FA4">
      <w:pPr>
        <w:pStyle w:val="ListParagraph"/>
        <w:numPr>
          <w:ilvl w:val="0"/>
          <w:numId w:val="17"/>
        </w:numPr>
        <w:spacing w:after="60"/>
        <w:contextualSpacing w:val="0"/>
      </w:pPr>
      <w:r w:rsidRPr="00231D14">
        <w:t xml:space="preserve">The Central Region includes parts of </w:t>
      </w:r>
      <w:r w:rsidRPr="00BC5181">
        <w:t xml:space="preserve">Carbon, </w:t>
      </w:r>
      <w:r w:rsidRPr="0073141D">
        <w:t xml:space="preserve">Columbia, </w:t>
      </w:r>
      <w:r w:rsidRPr="00956C15">
        <w:t>Dauphin</w:t>
      </w:r>
      <w:r>
        <w:t>,</w:t>
      </w:r>
      <w:r w:rsidRPr="00231D14">
        <w:t xml:space="preserve"> Lackawanna, Luzerne, Monroe, </w:t>
      </w:r>
      <w:r w:rsidRPr="00897D58">
        <w:t xml:space="preserve">Northumberland, </w:t>
      </w:r>
      <w:r w:rsidRPr="00CA31F2">
        <w:t xml:space="preserve">and </w:t>
      </w:r>
      <w:r w:rsidRPr="00231D14">
        <w:t xml:space="preserve">Schuylkill counties.  </w:t>
      </w:r>
    </w:p>
    <w:p w:rsidR="00AE554B" w:rsidRDefault="00AE554B" w:rsidP="00B86FA4">
      <w:pPr>
        <w:pStyle w:val="ListParagraph"/>
        <w:numPr>
          <w:ilvl w:val="0"/>
          <w:numId w:val="17"/>
        </w:numPr>
        <w:spacing w:after="60"/>
        <w:contextualSpacing w:val="0"/>
      </w:pPr>
      <w:r w:rsidRPr="00231D14">
        <w:t xml:space="preserve">The Susquehanna Region includes Lycoming, </w:t>
      </w:r>
      <w:r w:rsidRPr="00502FDC">
        <w:t>Clinton</w:t>
      </w:r>
      <w:r>
        <w:t>,</w:t>
      </w:r>
      <w:r w:rsidRPr="00231D14">
        <w:t xml:space="preserve"> Montour, </w:t>
      </w:r>
      <w:r w:rsidRPr="00233E1E">
        <w:t xml:space="preserve">and </w:t>
      </w:r>
      <w:r w:rsidRPr="00231D14">
        <w:t xml:space="preserve">Union counties and parts of </w:t>
      </w:r>
      <w:r w:rsidRPr="006827BC">
        <w:t>Columbia</w:t>
      </w:r>
      <w:r>
        <w:t>,</w:t>
      </w:r>
      <w:r w:rsidRPr="00231D14">
        <w:t xml:space="preserve"> </w:t>
      </w:r>
      <w:r w:rsidRPr="006077CE">
        <w:t xml:space="preserve">Luzerne, </w:t>
      </w:r>
      <w:r w:rsidRPr="00231D14">
        <w:t xml:space="preserve">Northumberland, </w:t>
      </w:r>
      <w:r w:rsidRPr="00803D6F">
        <w:t xml:space="preserve">and </w:t>
      </w:r>
      <w:r w:rsidRPr="00231D14">
        <w:t xml:space="preserve">Snyder counties.  </w:t>
      </w:r>
    </w:p>
    <w:p w:rsidR="00AE554B" w:rsidRDefault="00AE554B" w:rsidP="00B86FA4">
      <w:pPr>
        <w:pStyle w:val="ListParagraph"/>
        <w:numPr>
          <w:ilvl w:val="0"/>
          <w:numId w:val="17"/>
        </w:numPr>
        <w:spacing w:after="60"/>
        <w:contextualSpacing w:val="0"/>
      </w:pPr>
      <w:r w:rsidRPr="00231D14">
        <w:t>The Harrisburg Region covers Cumberland, Juniata</w:t>
      </w:r>
      <w:r w:rsidRPr="00FD1CDA">
        <w:t>,</w:t>
      </w:r>
      <w:r>
        <w:t xml:space="preserve"> </w:t>
      </w:r>
      <w:r w:rsidRPr="00231D14">
        <w:t xml:space="preserve">Perry, and Snyder counties and parts of </w:t>
      </w:r>
      <w:r w:rsidRPr="00C55A69">
        <w:t>Dauphin</w:t>
      </w:r>
      <w:r w:rsidRPr="00231D14">
        <w:t xml:space="preserve">, Northumberland, Schuylkill, and York counties.  </w:t>
      </w:r>
    </w:p>
    <w:p w:rsidR="00AE554B" w:rsidRDefault="00AE554B" w:rsidP="00B86FA4">
      <w:pPr>
        <w:pStyle w:val="ListParagraph"/>
        <w:numPr>
          <w:ilvl w:val="0"/>
          <w:numId w:val="17"/>
        </w:numPr>
      </w:pPr>
      <w:r w:rsidRPr="00231D14">
        <w:t xml:space="preserve">The Lancaster Region covers Berks, </w:t>
      </w:r>
      <w:r w:rsidRPr="00145DA9">
        <w:t xml:space="preserve">Chester, </w:t>
      </w:r>
      <w:r w:rsidRPr="00A51012">
        <w:t>Lancaster</w:t>
      </w:r>
      <w:r w:rsidRPr="00231D14">
        <w:t xml:space="preserve">, and Lebanon counties and parts of York </w:t>
      </w:r>
      <w:proofErr w:type="gramStart"/>
      <w:r w:rsidRPr="00231D14">
        <w:t>county</w:t>
      </w:r>
      <w:proofErr w:type="gramEnd"/>
      <w:r>
        <w:t>.</w:t>
      </w:r>
    </w:p>
    <w:p w:rsidR="00AE554B" w:rsidRDefault="00AE554B" w:rsidP="00701DCF">
      <w:pPr>
        <w:pStyle w:val="Heading30"/>
      </w:pPr>
      <w:bookmarkStart w:id="115" w:name="_Toc442617404"/>
      <w:r>
        <w:t>Energy sales and demand</w:t>
      </w:r>
    </w:p>
    <w:p w:rsidR="00AE554B" w:rsidRDefault="00AE554B" w:rsidP="00701DCF">
      <w:r>
        <w:t>The following table provides a summary of PPL EU customer energy usage and peak system demand.</w:t>
      </w:r>
    </w:p>
    <w:p w:rsidR="00AE554B" w:rsidRPr="003E1C85" w:rsidRDefault="00AD2223" w:rsidP="00AD2223">
      <w:pPr>
        <w:pStyle w:val="Caption"/>
      </w:pPr>
      <w:bookmarkStart w:id="116" w:name="_Toc464552969"/>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2F6183">
        <w:br/>
      </w:r>
      <w:r w:rsidR="00AE554B" w:rsidRPr="003E1C85">
        <w:t xml:space="preserve">PPL EU </w:t>
      </w:r>
      <w:r w:rsidR="00AE554B">
        <w:t xml:space="preserve">Annual Energy and Demand </w:t>
      </w:r>
      <w:r w:rsidR="00AE554B" w:rsidRPr="003E1C85">
        <w:t>201</w:t>
      </w:r>
      <w:r w:rsidR="00AE554B">
        <w:t>0–</w:t>
      </w:r>
      <w:r w:rsidR="00AE554B" w:rsidRPr="003E1C85">
        <w:t>201</w:t>
      </w:r>
      <w:r w:rsidR="00AE554B">
        <w:t>4</w:t>
      </w:r>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3"/>
        <w:gridCol w:w="1175"/>
        <w:gridCol w:w="1176"/>
        <w:gridCol w:w="1176"/>
        <w:gridCol w:w="1176"/>
        <w:gridCol w:w="1176"/>
      </w:tblGrid>
      <w:tr w:rsidR="00AE554B" w:rsidRPr="006304A4" w:rsidTr="00AE554B">
        <w:trPr>
          <w:cantSplit/>
          <w:tblHeader/>
          <w:jc w:val="center"/>
        </w:trPr>
        <w:tc>
          <w:tcPr>
            <w:tcW w:w="2323" w:type="dxa"/>
            <w:shd w:val="clear" w:color="auto" w:fill="A5CD7E"/>
            <w:vAlign w:val="center"/>
          </w:tcPr>
          <w:p w:rsidR="00AE554B" w:rsidRPr="006304A4" w:rsidRDefault="00AE554B" w:rsidP="006304A4">
            <w:pPr>
              <w:spacing w:before="120"/>
              <w:jc w:val="center"/>
              <w:rPr>
                <w:b/>
              </w:rPr>
            </w:pPr>
            <w:r w:rsidRPr="006304A4">
              <w:rPr>
                <w:b/>
              </w:rPr>
              <w:t>Usage/Demand</w:t>
            </w:r>
          </w:p>
        </w:tc>
        <w:tc>
          <w:tcPr>
            <w:tcW w:w="1175" w:type="dxa"/>
            <w:shd w:val="clear" w:color="auto" w:fill="A5CD7E"/>
            <w:vAlign w:val="center"/>
          </w:tcPr>
          <w:p w:rsidR="00AE554B" w:rsidRPr="006304A4" w:rsidRDefault="00AE554B" w:rsidP="006304A4">
            <w:pPr>
              <w:spacing w:before="120"/>
              <w:jc w:val="center"/>
              <w:rPr>
                <w:b/>
              </w:rPr>
            </w:pPr>
            <w:r w:rsidRPr="006304A4">
              <w:rPr>
                <w:b/>
              </w:rPr>
              <w:t>2010</w:t>
            </w:r>
          </w:p>
        </w:tc>
        <w:tc>
          <w:tcPr>
            <w:tcW w:w="1176" w:type="dxa"/>
            <w:shd w:val="clear" w:color="auto" w:fill="A5CD7E"/>
            <w:vAlign w:val="center"/>
          </w:tcPr>
          <w:p w:rsidR="00AE554B" w:rsidRPr="006304A4" w:rsidRDefault="00AE554B" w:rsidP="006304A4">
            <w:pPr>
              <w:spacing w:before="120"/>
              <w:jc w:val="center"/>
              <w:rPr>
                <w:b/>
              </w:rPr>
            </w:pPr>
            <w:r w:rsidRPr="006304A4">
              <w:rPr>
                <w:b/>
              </w:rPr>
              <w:t>2011</w:t>
            </w:r>
          </w:p>
        </w:tc>
        <w:tc>
          <w:tcPr>
            <w:tcW w:w="1176" w:type="dxa"/>
            <w:shd w:val="clear" w:color="auto" w:fill="A5CD7E"/>
            <w:vAlign w:val="center"/>
          </w:tcPr>
          <w:p w:rsidR="00AE554B" w:rsidRPr="006304A4" w:rsidRDefault="00AE554B" w:rsidP="006304A4">
            <w:pPr>
              <w:spacing w:before="120"/>
              <w:jc w:val="center"/>
              <w:rPr>
                <w:b/>
              </w:rPr>
            </w:pPr>
            <w:r w:rsidRPr="006304A4">
              <w:rPr>
                <w:b/>
              </w:rPr>
              <w:t>2012</w:t>
            </w:r>
          </w:p>
        </w:tc>
        <w:tc>
          <w:tcPr>
            <w:tcW w:w="1176" w:type="dxa"/>
            <w:shd w:val="clear" w:color="auto" w:fill="A5CD7E"/>
            <w:vAlign w:val="center"/>
          </w:tcPr>
          <w:p w:rsidR="00AE554B" w:rsidRPr="006304A4" w:rsidRDefault="00AE554B" w:rsidP="006304A4">
            <w:pPr>
              <w:spacing w:before="120"/>
              <w:jc w:val="center"/>
              <w:rPr>
                <w:b/>
              </w:rPr>
            </w:pPr>
            <w:r w:rsidRPr="006304A4">
              <w:rPr>
                <w:b/>
              </w:rPr>
              <w:t>2013</w:t>
            </w:r>
          </w:p>
        </w:tc>
        <w:tc>
          <w:tcPr>
            <w:tcW w:w="1176" w:type="dxa"/>
            <w:shd w:val="clear" w:color="auto" w:fill="A5CD7E"/>
            <w:vAlign w:val="center"/>
          </w:tcPr>
          <w:p w:rsidR="00AE554B" w:rsidRPr="006304A4" w:rsidRDefault="00AE554B" w:rsidP="006304A4">
            <w:pPr>
              <w:spacing w:before="120"/>
              <w:jc w:val="center"/>
              <w:rPr>
                <w:b/>
              </w:rPr>
            </w:pPr>
            <w:r w:rsidRPr="006304A4">
              <w:rPr>
                <w:b/>
              </w:rPr>
              <w:t>2014</w:t>
            </w:r>
          </w:p>
        </w:tc>
      </w:tr>
      <w:tr w:rsidR="00AE554B" w:rsidRPr="00094B43" w:rsidTr="00701DCF">
        <w:trPr>
          <w:trHeight w:val="305"/>
          <w:jc w:val="center"/>
        </w:trPr>
        <w:tc>
          <w:tcPr>
            <w:tcW w:w="2323" w:type="dxa"/>
            <w:shd w:val="clear" w:color="auto" w:fill="auto"/>
            <w:vAlign w:val="center"/>
          </w:tcPr>
          <w:p w:rsidR="00AE554B" w:rsidRDefault="00AE554B" w:rsidP="00701DCF">
            <w:pPr>
              <w:pStyle w:val="Tabletext"/>
            </w:pPr>
            <w:r>
              <w:t>Total GWH Sales</w:t>
            </w:r>
          </w:p>
        </w:tc>
        <w:tc>
          <w:tcPr>
            <w:tcW w:w="1175" w:type="dxa"/>
          </w:tcPr>
          <w:p w:rsidR="00AE554B" w:rsidRDefault="00AE554B" w:rsidP="00701DCF">
            <w:pPr>
              <w:pStyle w:val="Tabletext"/>
            </w:pPr>
            <w:r>
              <w:t>36,998</w:t>
            </w:r>
          </w:p>
        </w:tc>
        <w:tc>
          <w:tcPr>
            <w:tcW w:w="1176" w:type="dxa"/>
            <w:vAlign w:val="center"/>
          </w:tcPr>
          <w:p w:rsidR="00AE554B" w:rsidRDefault="00AE554B" w:rsidP="00701DCF">
            <w:pPr>
              <w:pStyle w:val="Tabletext"/>
            </w:pPr>
            <w:r>
              <w:t>36,942</w:t>
            </w:r>
          </w:p>
        </w:tc>
        <w:tc>
          <w:tcPr>
            <w:tcW w:w="1176" w:type="dxa"/>
            <w:vAlign w:val="center"/>
          </w:tcPr>
          <w:p w:rsidR="00AE554B" w:rsidRDefault="00AE554B" w:rsidP="00701DCF">
            <w:pPr>
              <w:pStyle w:val="Tabletext"/>
            </w:pPr>
            <w:r>
              <w:t>36,016</w:t>
            </w:r>
          </w:p>
        </w:tc>
        <w:tc>
          <w:tcPr>
            <w:tcW w:w="1176" w:type="dxa"/>
            <w:vAlign w:val="center"/>
          </w:tcPr>
          <w:p w:rsidR="00AE554B" w:rsidRDefault="00AE554B" w:rsidP="00701DCF">
            <w:pPr>
              <w:pStyle w:val="Tabletext"/>
            </w:pPr>
            <w:r>
              <w:t>36,754</w:t>
            </w:r>
          </w:p>
        </w:tc>
        <w:tc>
          <w:tcPr>
            <w:tcW w:w="1176" w:type="dxa"/>
            <w:vAlign w:val="center"/>
          </w:tcPr>
          <w:p w:rsidR="00AE554B" w:rsidRDefault="00AE554B" w:rsidP="00701DCF">
            <w:pPr>
              <w:pStyle w:val="Tabletext"/>
            </w:pPr>
            <w:r>
              <w:t>37,019</w:t>
            </w:r>
          </w:p>
        </w:tc>
      </w:tr>
      <w:tr w:rsidR="00AE554B" w:rsidRPr="00094B43" w:rsidTr="00701DCF">
        <w:trPr>
          <w:trHeight w:val="305"/>
          <w:jc w:val="center"/>
        </w:trPr>
        <w:tc>
          <w:tcPr>
            <w:tcW w:w="2323" w:type="dxa"/>
            <w:shd w:val="clear" w:color="auto" w:fill="auto"/>
            <w:vAlign w:val="center"/>
          </w:tcPr>
          <w:p w:rsidR="00AE554B" w:rsidRDefault="00AE554B" w:rsidP="00701DCF">
            <w:pPr>
              <w:pStyle w:val="Tabletext"/>
            </w:pPr>
            <w:r>
              <w:t>System Peak Demand - MW</w:t>
            </w:r>
          </w:p>
        </w:tc>
        <w:tc>
          <w:tcPr>
            <w:tcW w:w="1175" w:type="dxa"/>
            <w:vAlign w:val="center"/>
          </w:tcPr>
          <w:p w:rsidR="00AE554B" w:rsidRDefault="00AE554B" w:rsidP="00701DCF">
            <w:pPr>
              <w:pStyle w:val="Tabletext"/>
            </w:pPr>
            <w:r>
              <w:t>7,362</w:t>
            </w:r>
          </w:p>
        </w:tc>
        <w:tc>
          <w:tcPr>
            <w:tcW w:w="1176" w:type="dxa"/>
            <w:vAlign w:val="center"/>
          </w:tcPr>
          <w:p w:rsidR="00AE554B" w:rsidRDefault="00AE554B" w:rsidP="00701DCF">
            <w:pPr>
              <w:pStyle w:val="Tabletext"/>
            </w:pPr>
            <w:r>
              <w:t>7,622</w:t>
            </w:r>
          </w:p>
        </w:tc>
        <w:tc>
          <w:tcPr>
            <w:tcW w:w="1176" w:type="dxa"/>
            <w:vAlign w:val="center"/>
          </w:tcPr>
          <w:p w:rsidR="00AE554B" w:rsidRDefault="00AE554B" w:rsidP="00701DCF">
            <w:pPr>
              <w:pStyle w:val="Tabletext"/>
            </w:pPr>
            <w:r>
              <w:t>7,242</w:t>
            </w:r>
          </w:p>
        </w:tc>
        <w:tc>
          <w:tcPr>
            <w:tcW w:w="1176" w:type="dxa"/>
            <w:vAlign w:val="center"/>
          </w:tcPr>
          <w:p w:rsidR="00AE554B" w:rsidRDefault="00AE554B" w:rsidP="00701DCF">
            <w:pPr>
              <w:pStyle w:val="Tabletext"/>
            </w:pPr>
            <w:r>
              <w:t>7,448</w:t>
            </w:r>
          </w:p>
        </w:tc>
        <w:tc>
          <w:tcPr>
            <w:tcW w:w="1176" w:type="dxa"/>
            <w:vAlign w:val="center"/>
          </w:tcPr>
          <w:p w:rsidR="00AE554B" w:rsidRDefault="00AE554B" w:rsidP="00701DCF">
            <w:pPr>
              <w:pStyle w:val="Tabletext"/>
            </w:pPr>
            <w:r>
              <w:t>7,784</w:t>
            </w:r>
          </w:p>
        </w:tc>
      </w:tr>
      <w:tr w:rsidR="00AE554B" w:rsidRPr="00094B43" w:rsidTr="00701DCF">
        <w:trPr>
          <w:trHeight w:val="305"/>
          <w:jc w:val="center"/>
        </w:trPr>
        <w:tc>
          <w:tcPr>
            <w:tcW w:w="2323" w:type="dxa"/>
            <w:shd w:val="clear" w:color="auto" w:fill="auto"/>
            <w:vAlign w:val="center"/>
          </w:tcPr>
          <w:p w:rsidR="00AE554B" w:rsidRDefault="00AE554B" w:rsidP="00701DCF">
            <w:pPr>
              <w:pStyle w:val="Tabletext"/>
            </w:pPr>
            <w:r>
              <w:t>System Peak Day</w:t>
            </w:r>
          </w:p>
        </w:tc>
        <w:tc>
          <w:tcPr>
            <w:tcW w:w="1175" w:type="dxa"/>
          </w:tcPr>
          <w:p w:rsidR="00AE554B" w:rsidRDefault="00AE554B" w:rsidP="00701DCF">
            <w:pPr>
              <w:pStyle w:val="Tabletext"/>
            </w:pPr>
            <w:r>
              <w:t>July 8</w:t>
            </w:r>
          </w:p>
        </w:tc>
        <w:tc>
          <w:tcPr>
            <w:tcW w:w="1176" w:type="dxa"/>
            <w:vAlign w:val="center"/>
          </w:tcPr>
          <w:p w:rsidR="00AE554B" w:rsidRDefault="00AE554B" w:rsidP="00701DCF">
            <w:pPr>
              <w:pStyle w:val="Tabletext"/>
            </w:pPr>
            <w:r>
              <w:t>July 22</w:t>
            </w:r>
          </w:p>
        </w:tc>
        <w:tc>
          <w:tcPr>
            <w:tcW w:w="1176" w:type="dxa"/>
            <w:vAlign w:val="center"/>
          </w:tcPr>
          <w:p w:rsidR="00AE554B" w:rsidRDefault="00AE554B" w:rsidP="00701DCF">
            <w:pPr>
              <w:pStyle w:val="Tabletext"/>
            </w:pPr>
            <w:r>
              <w:t>July 18</w:t>
            </w:r>
          </w:p>
        </w:tc>
        <w:tc>
          <w:tcPr>
            <w:tcW w:w="1176" w:type="dxa"/>
            <w:vAlign w:val="center"/>
          </w:tcPr>
          <w:p w:rsidR="00AE554B" w:rsidRDefault="00AE554B" w:rsidP="00701DCF">
            <w:pPr>
              <w:pStyle w:val="Tabletext"/>
            </w:pPr>
            <w:r>
              <w:t>Jan. 3</w:t>
            </w:r>
          </w:p>
        </w:tc>
        <w:tc>
          <w:tcPr>
            <w:tcW w:w="1176" w:type="dxa"/>
            <w:vAlign w:val="center"/>
          </w:tcPr>
          <w:p w:rsidR="00AE554B" w:rsidRDefault="00AE554B" w:rsidP="00701DCF">
            <w:pPr>
              <w:pStyle w:val="Tabletext"/>
            </w:pPr>
            <w:r>
              <w:t>Jan. 7</w:t>
            </w:r>
          </w:p>
        </w:tc>
      </w:tr>
      <w:tr w:rsidR="00AE554B" w:rsidRPr="00094B43" w:rsidTr="00701DCF">
        <w:trPr>
          <w:jc w:val="center"/>
        </w:trPr>
        <w:tc>
          <w:tcPr>
            <w:tcW w:w="8199" w:type="dxa"/>
            <w:gridSpan w:val="6"/>
          </w:tcPr>
          <w:p w:rsidR="00AE554B" w:rsidRPr="00094B43" w:rsidRDefault="00AE554B" w:rsidP="00701DCF">
            <w:pPr>
              <w:pStyle w:val="Tabletext"/>
              <w:jc w:val="left"/>
              <w:rPr>
                <w:rFonts w:cs="Arial"/>
              </w:rPr>
            </w:pPr>
            <w:r w:rsidRPr="00094B43">
              <w:rPr>
                <w:rFonts w:cs="Arial"/>
              </w:rPr>
              <w:t xml:space="preserve">Source: DN </w:t>
            </w:r>
            <w:r>
              <w:rPr>
                <w:rFonts w:cs="Arial"/>
              </w:rPr>
              <w:t>06-125; PUC Annual Reports</w:t>
            </w:r>
          </w:p>
        </w:tc>
      </w:tr>
    </w:tbl>
    <w:p w:rsidR="00AE554B" w:rsidRDefault="00AE554B" w:rsidP="00701DCF">
      <w:pPr>
        <w:pStyle w:val="Normal-aftertable"/>
      </w:pPr>
      <w:r>
        <w:t>While the total gigawatt-hour (GWH) sales to ultimate customers from 2010 to 2014 are relatively unchanged, the electric system peak hour demand, measured in megawatts, has increased by approximately one percent per year.</w:t>
      </w:r>
    </w:p>
    <w:p w:rsidR="00AE554B" w:rsidRDefault="00AE554B" w:rsidP="00701DCF">
      <w:pPr>
        <w:pStyle w:val="Heading30"/>
      </w:pPr>
      <w:r w:rsidRPr="007D44CC">
        <w:t>O</w:t>
      </w:r>
      <w:r>
        <w:t>rganization Structure</w:t>
      </w:r>
      <w:bookmarkEnd w:id="115"/>
    </w:p>
    <w:p w:rsidR="00AE554B" w:rsidRDefault="00AE554B" w:rsidP="00701DCF">
      <w:r>
        <w:t xml:space="preserve">The following exhibit shows an overview of the PPL EU organization. </w:t>
      </w:r>
    </w:p>
    <w:p w:rsidR="00AE554B" w:rsidRPr="009F3261" w:rsidRDefault="00AD2223" w:rsidP="00AD2223">
      <w:pPr>
        <w:pStyle w:val="Caption"/>
      </w:pPr>
      <w:bookmarkStart w:id="117" w:name="_Toc464552970"/>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2F6183">
        <w:br/>
      </w:r>
      <w:r w:rsidR="00AE554B">
        <w:t>PPL Electric Utilities Organization Structure</w:t>
      </w:r>
      <w:bookmarkEnd w:id="117"/>
    </w:p>
    <w:p w:rsidR="00AE554B" w:rsidRDefault="00D360FF" w:rsidP="00701DCF">
      <w:pPr>
        <w:pStyle w:val="Normal-aftertable"/>
        <w:rPr>
          <w:b/>
        </w:rPr>
      </w:pPr>
      <w:r>
        <w:rPr>
          <w:b/>
          <w:noProof/>
        </w:rPr>
        <w:drawing>
          <wp:inline distT="0" distB="0" distL="0" distR="0">
            <wp:extent cx="5943600" cy="26974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PL-EU_page1_v4.jpg"/>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697480"/>
                    </a:xfrm>
                    <a:prstGeom prst="rect">
                      <a:avLst/>
                    </a:prstGeom>
                  </pic:spPr>
                </pic:pic>
              </a:graphicData>
            </a:graphic>
          </wp:inline>
        </w:drawing>
      </w:r>
    </w:p>
    <w:p w:rsidR="00AE554B" w:rsidRDefault="00AE554B" w:rsidP="00701DCF">
      <w:pPr>
        <w:pStyle w:val="Normal-aftertable"/>
      </w:pPr>
      <w:r>
        <w:t>Source: DN 01-071</w:t>
      </w:r>
    </w:p>
    <w:p w:rsidR="00AE554B" w:rsidRDefault="00AE554B" w:rsidP="00701DCF">
      <w:pPr>
        <w:pStyle w:val="Normal-aftertable"/>
      </w:pPr>
      <w:r w:rsidRPr="00590A87">
        <w:t>This chapter discusses the Transmission and Substations</w:t>
      </w:r>
      <w:r>
        <w:t xml:space="preserve"> and</w:t>
      </w:r>
      <w:r w:rsidRPr="00590A87">
        <w:t xml:space="preserve"> Distribution Operations, organizations.  The Technical Development and Improvement</w:t>
      </w:r>
      <w:r>
        <w:t>,</w:t>
      </w:r>
      <w:r w:rsidRPr="00590A87">
        <w:t xml:space="preserve"> Corporate Communications, Human Resources, Finance and Regulatory Affairs, Chief Information Officer,</w:t>
      </w:r>
      <w:r>
        <w:t xml:space="preserve"> </w:t>
      </w:r>
      <w:r w:rsidRPr="00590A87">
        <w:t>Supply Chain</w:t>
      </w:r>
      <w:r>
        <w:t>,</w:t>
      </w:r>
      <w:r w:rsidRPr="00590A87">
        <w:t xml:space="preserve"> </w:t>
      </w:r>
      <w:r>
        <w:t>Facilities,</w:t>
      </w:r>
      <w:r w:rsidRPr="00590A87">
        <w:t xml:space="preserve"> and Customer Services organizations are covered in other chapters of this report.</w:t>
      </w:r>
    </w:p>
    <w:p w:rsidR="00AE554B" w:rsidRDefault="00AE554B" w:rsidP="00701DCF">
      <w:r>
        <w:t>These functions are addressed under separate sections in this chapter as follow:</w:t>
      </w:r>
    </w:p>
    <w:p w:rsidR="00AE554B" w:rsidRDefault="00AE554B" w:rsidP="00701DCF">
      <w:pPr>
        <w:ind w:firstLine="360"/>
      </w:pPr>
      <w:r>
        <w:t>A. Transmission and Substations</w:t>
      </w:r>
    </w:p>
    <w:p w:rsidR="00AE554B" w:rsidRDefault="00AE554B" w:rsidP="00701DCF">
      <w:pPr>
        <w:ind w:firstLine="360"/>
      </w:pPr>
      <w:r>
        <w:t>B. Distribution Operations</w:t>
      </w:r>
    </w:p>
    <w:p w:rsidR="00AE554B" w:rsidRDefault="00AE554B" w:rsidP="00B86FA4">
      <w:pPr>
        <w:pStyle w:val="Heading2"/>
        <w:numPr>
          <w:ilvl w:val="0"/>
          <w:numId w:val="18"/>
        </w:numPr>
      </w:pPr>
      <w:bookmarkStart w:id="118" w:name="_Toc442617405"/>
      <w:bookmarkStart w:id="119" w:name="_Toc464552027"/>
      <w:r>
        <w:t>Transmission and Substations</w:t>
      </w:r>
      <w:bookmarkEnd w:id="118"/>
      <w:bookmarkEnd w:id="119"/>
    </w:p>
    <w:p w:rsidR="00977CA4" w:rsidRDefault="00977CA4" w:rsidP="008F30B6">
      <w:pPr>
        <w:pStyle w:val="Heading-forToC"/>
      </w:pPr>
      <w:bookmarkStart w:id="120" w:name="_Toc464552028"/>
      <w:r>
        <w:t>Background</w:t>
      </w:r>
      <w:bookmarkEnd w:id="120"/>
    </w:p>
    <w:p w:rsidR="00AE554B" w:rsidRDefault="00AE554B" w:rsidP="00701DCF">
      <w:pPr>
        <w:rPr>
          <w:rFonts w:cs="Arial"/>
          <w:color w:val="000000"/>
          <w:szCs w:val="24"/>
        </w:rPr>
      </w:pPr>
      <w:r w:rsidRPr="00C00477">
        <w:t xml:space="preserve">Transmission and </w:t>
      </w:r>
      <w:r>
        <w:t>S</w:t>
      </w:r>
      <w:r w:rsidRPr="00C00477">
        <w:t>ubstations is responsible for developing and operating a safe, reliable</w:t>
      </w:r>
      <w:r>
        <w:t>,</w:t>
      </w:r>
      <w:r w:rsidRPr="00C00477">
        <w:t xml:space="preserve"> and cos</w:t>
      </w:r>
      <w:r>
        <w:t>t effective transmission system</w:t>
      </w:r>
      <w:r w:rsidRPr="008B3E8B">
        <w:t>.</w:t>
      </w:r>
      <w:r>
        <w:t xml:space="preserve">  </w:t>
      </w:r>
      <w:r w:rsidRPr="00303E07">
        <w:t>The transmission system consists of 6</w:t>
      </w:r>
      <w:r>
        <w:t>7</w:t>
      </w:r>
      <w:r w:rsidRPr="00303E07">
        <w:t xml:space="preserve"> transmission substations with 137 transmission transformers and </w:t>
      </w:r>
      <w:r>
        <w:t>5,171</w:t>
      </w:r>
      <w:r w:rsidRPr="00303E07">
        <w:t xml:space="preserve"> circuit miles of transmission lines operating at 69 to 500 kV</w:t>
      </w:r>
      <w:r>
        <w:t xml:space="preserve"> (kilovolts) including approximately 21 miles of 69 and 138 kV underground lines.  </w:t>
      </w:r>
      <w:r w:rsidRPr="00303E07">
        <w:t>The transmission lines are supported on 50,602 structures, of which approximate</w:t>
      </w:r>
      <w:r>
        <w:t xml:space="preserve">ly 47% are </w:t>
      </w:r>
      <w:r w:rsidRPr="00303E07">
        <w:t xml:space="preserve">wood and </w:t>
      </w:r>
      <w:r>
        <w:t>53%</w:t>
      </w:r>
      <w:r w:rsidRPr="00303E07">
        <w:t xml:space="preserve"> </w:t>
      </w:r>
      <w:r>
        <w:t>are steel</w:t>
      </w:r>
      <w:r w:rsidRPr="00303E07">
        <w:t>.</w:t>
      </w:r>
      <w:r>
        <w:t xml:space="preserve">  The PPL EU transmission system is operated as part of the PJM Interconnection.</w:t>
      </w:r>
    </w:p>
    <w:p w:rsidR="00AE554B" w:rsidRDefault="00977CA4" w:rsidP="00977CA4">
      <w:pPr>
        <w:pStyle w:val="Heading40"/>
      </w:pPr>
      <w:bookmarkStart w:id="121" w:name="_Toc442617406"/>
      <w:r>
        <w:t>O</w:t>
      </w:r>
      <w:r w:rsidR="00AE554B">
        <w:t xml:space="preserve">perations and </w:t>
      </w:r>
      <w:r w:rsidR="005E6B12">
        <w:t>M</w:t>
      </w:r>
      <w:r w:rsidR="00AE554B">
        <w:t xml:space="preserve">aintenance and </w:t>
      </w:r>
      <w:r w:rsidR="005E6B12">
        <w:t>C</w:t>
      </w:r>
      <w:r w:rsidR="00AE554B">
        <w:t xml:space="preserve">apital </w:t>
      </w:r>
      <w:r w:rsidR="005E6B12">
        <w:t>S</w:t>
      </w:r>
      <w:r w:rsidR="00AE554B">
        <w:t>pending</w:t>
      </w:r>
    </w:p>
    <w:p w:rsidR="00AE554B" w:rsidRPr="004C47E8" w:rsidRDefault="00AE554B" w:rsidP="00701DCF">
      <w:r w:rsidRPr="004C47E8">
        <w:t>The following exhibit summarizes the transmission operations and maintenance spending.</w:t>
      </w:r>
    </w:p>
    <w:p w:rsidR="00815240" w:rsidRDefault="00815240">
      <w:pPr>
        <w:spacing w:after="0"/>
        <w:jc w:val="left"/>
        <w:rPr>
          <w:b/>
          <w:bCs/>
          <w:szCs w:val="18"/>
        </w:rPr>
      </w:pPr>
      <w:r>
        <w:br w:type="page"/>
      </w:r>
    </w:p>
    <w:p w:rsidR="00AE554B" w:rsidRPr="004C47E8" w:rsidRDefault="00AD2223" w:rsidP="00AD2223">
      <w:pPr>
        <w:pStyle w:val="Caption"/>
      </w:pPr>
      <w:bookmarkStart w:id="122" w:name="_Toc464552971"/>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2F6183">
        <w:br/>
      </w:r>
      <w:r w:rsidR="00AE554B" w:rsidRPr="00994ECC">
        <w:t>PPL EU Transmission and Substations O&amp;M Spending 2011–2015</w:t>
      </w:r>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93"/>
        <w:gridCol w:w="1080"/>
        <w:gridCol w:w="1080"/>
        <w:gridCol w:w="1080"/>
        <w:gridCol w:w="1080"/>
        <w:gridCol w:w="1192"/>
      </w:tblGrid>
      <w:tr w:rsidR="00AE554B" w:rsidRPr="007370C9" w:rsidTr="006458AD">
        <w:trPr>
          <w:cantSplit/>
          <w:trHeight w:val="539"/>
          <w:tblHeader/>
          <w:jc w:val="center"/>
        </w:trPr>
        <w:tc>
          <w:tcPr>
            <w:tcW w:w="3893" w:type="dxa"/>
            <w:shd w:val="clear" w:color="auto" w:fill="A5CD7E"/>
            <w:vAlign w:val="center"/>
          </w:tcPr>
          <w:p w:rsidR="00AE554B" w:rsidRPr="007370C9" w:rsidRDefault="00AE554B" w:rsidP="007370C9">
            <w:pPr>
              <w:spacing w:before="120"/>
              <w:jc w:val="center"/>
              <w:rPr>
                <w:b/>
              </w:rPr>
            </w:pPr>
            <w:r w:rsidRPr="007370C9">
              <w:rPr>
                <w:b/>
              </w:rPr>
              <w:t>Measure</w:t>
            </w:r>
          </w:p>
        </w:tc>
        <w:tc>
          <w:tcPr>
            <w:tcW w:w="1080" w:type="dxa"/>
            <w:shd w:val="clear" w:color="auto" w:fill="A5CD7E"/>
            <w:vAlign w:val="center"/>
          </w:tcPr>
          <w:p w:rsidR="00AE554B" w:rsidRPr="007370C9" w:rsidRDefault="00AE554B" w:rsidP="007370C9">
            <w:pPr>
              <w:spacing w:before="120"/>
              <w:jc w:val="center"/>
              <w:rPr>
                <w:b/>
              </w:rPr>
            </w:pPr>
            <w:r w:rsidRPr="007370C9">
              <w:rPr>
                <w:b/>
              </w:rPr>
              <w:t>2011</w:t>
            </w:r>
          </w:p>
        </w:tc>
        <w:tc>
          <w:tcPr>
            <w:tcW w:w="1080" w:type="dxa"/>
            <w:shd w:val="clear" w:color="auto" w:fill="A5CD7E"/>
            <w:vAlign w:val="center"/>
          </w:tcPr>
          <w:p w:rsidR="00AE554B" w:rsidRPr="007370C9" w:rsidRDefault="00AE554B" w:rsidP="007370C9">
            <w:pPr>
              <w:spacing w:before="120"/>
              <w:jc w:val="center"/>
              <w:rPr>
                <w:b/>
              </w:rPr>
            </w:pPr>
            <w:r w:rsidRPr="007370C9">
              <w:rPr>
                <w:b/>
              </w:rPr>
              <w:t>2012</w:t>
            </w:r>
          </w:p>
        </w:tc>
        <w:tc>
          <w:tcPr>
            <w:tcW w:w="1080" w:type="dxa"/>
            <w:shd w:val="clear" w:color="auto" w:fill="A5CD7E"/>
            <w:vAlign w:val="center"/>
          </w:tcPr>
          <w:p w:rsidR="00AE554B" w:rsidRPr="007370C9" w:rsidRDefault="00AE554B" w:rsidP="007370C9">
            <w:pPr>
              <w:spacing w:before="120"/>
              <w:jc w:val="center"/>
              <w:rPr>
                <w:b/>
              </w:rPr>
            </w:pPr>
            <w:r w:rsidRPr="007370C9">
              <w:rPr>
                <w:b/>
              </w:rPr>
              <w:t>2013</w:t>
            </w:r>
          </w:p>
        </w:tc>
        <w:tc>
          <w:tcPr>
            <w:tcW w:w="1080" w:type="dxa"/>
            <w:shd w:val="clear" w:color="auto" w:fill="A5CD7E"/>
            <w:vAlign w:val="center"/>
          </w:tcPr>
          <w:p w:rsidR="00AE554B" w:rsidRPr="007370C9" w:rsidRDefault="00AE554B" w:rsidP="007370C9">
            <w:pPr>
              <w:spacing w:before="120"/>
              <w:jc w:val="center"/>
              <w:rPr>
                <w:b/>
              </w:rPr>
            </w:pPr>
            <w:r w:rsidRPr="007370C9">
              <w:rPr>
                <w:b/>
              </w:rPr>
              <w:t>2014</w:t>
            </w:r>
          </w:p>
        </w:tc>
        <w:tc>
          <w:tcPr>
            <w:tcW w:w="1192" w:type="dxa"/>
            <w:shd w:val="clear" w:color="auto" w:fill="A5CD7E"/>
            <w:vAlign w:val="center"/>
          </w:tcPr>
          <w:p w:rsidR="00AE554B" w:rsidRPr="007370C9" w:rsidRDefault="00AE554B" w:rsidP="007370C9">
            <w:pPr>
              <w:spacing w:before="120"/>
              <w:jc w:val="center"/>
              <w:rPr>
                <w:b/>
              </w:rPr>
            </w:pPr>
            <w:r w:rsidRPr="007370C9">
              <w:rPr>
                <w:b/>
              </w:rPr>
              <w:t xml:space="preserve">2015 </w:t>
            </w:r>
          </w:p>
        </w:tc>
      </w:tr>
      <w:tr w:rsidR="00AE554B" w:rsidRPr="004C47E8" w:rsidTr="006458AD">
        <w:trPr>
          <w:cantSplit/>
          <w:trHeight w:val="530"/>
          <w:jc w:val="center"/>
        </w:trPr>
        <w:tc>
          <w:tcPr>
            <w:tcW w:w="3893" w:type="dxa"/>
            <w:shd w:val="clear" w:color="auto" w:fill="auto"/>
            <w:vAlign w:val="center"/>
          </w:tcPr>
          <w:p w:rsidR="00AE554B" w:rsidRPr="004C47E8" w:rsidRDefault="00AE554B" w:rsidP="00701DCF">
            <w:pPr>
              <w:pStyle w:val="Tabletext"/>
            </w:pPr>
            <w:r w:rsidRPr="004C47E8">
              <w:t>Transmission Operation Expenses</w:t>
            </w:r>
            <w:r w:rsidR="006458AD">
              <w:t xml:space="preserve"> (millions)</w:t>
            </w:r>
          </w:p>
        </w:tc>
        <w:tc>
          <w:tcPr>
            <w:tcW w:w="1080" w:type="dxa"/>
            <w:vAlign w:val="center"/>
          </w:tcPr>
          <w:p w:rsidR="00AE554B" w:rsidRPr="004C47E8" w:rsidRDefault="006458AD" w:rsidP="006458AD">
            <w:pPr>
              <w:pStyle w:val="Tabletext"/>
              <w:jc w:val="right"/>
              <w:rPr>
                <w:rFonts w:cs="Arial"/>
              </w:rPr>
            </w:pPr>
            <w:r>
              <w:t>$</w:t>
            </w:r>
            <w:r w:rsidR="00AE554B" w:rsidRPr="004C47E8">
              <w:rPr>
                <w:rFonts w:cs="Arial"/>
                <w:bCs/>
              </w:rPr>
              <w:t>71.3</w:t>
            </w:r>
          </w:p>
        </w:tc>
        <w:tc>
          <w:tcPr>
            <w:tcW w:w="1080" w:type="dxa"/>
            <w:vAlign w:val="center"/>
          </w:tcPr>
          <w:p w:rsidR="00AE554B" w:rsidRPr="004C47E8" w:rsidRDefault="006458AD" w:rsidP="006458AD">
            <w:pPr>
              <w:pStyle w:val="Tabletext"/>
              <w:jc w:val="right"/>
            </w:pPr>
            <w:r>
              <w:t>$</w:t>
            </w:r>
            <w:r w:rsidR="00AE554B" w:rsidRPr="004C47E8">
              <w:t>74.3</w:t>
            </w:r>
          </w:p>
        </w:tc>
        <w:tc>
          <w:tcPr>
            <w:tcW w:w="1080" w:type="dxa"/>
            <w:vAlign w:val="center"/>
          </w:tcPr>
          <w:p w:rsidR="00AE554B" w:rsidRPr="004C47E8" w:rsidRDefault="006458AD" w:rsidP="006458AD">
            <w:pPr>
              <w:pStyle w:val="Tabletext"/>
              <w:jc w:val="right"/>
            </w:pPr>
            <w:r>
              <w:t>$</w:t>
            </w:r>
            <w:r w:rsidR="00AE554B" w:rsidRPr="004C47E8">
              <w:t>85.0</w:t>
            </w:r>
          </w:p>
        </w:tc>
        <w:tc>
          <w:tcPr>
            <w:tcW w:w="1080" w:type="dxa"/>
            <w:vAlign w:val="center"/>
          </w:tcPr>
          <w:p w:rsidR="00AE554B" w:rsidRPr="004C47E8" w:rsidRDefault="006458AD" w:rsidP="006458AD">
            <w:pPr>
              <w:pStyle w:val="Tabletext"/>
              <w:jc w:val="right"/>
            </w:pPr>
            <w:r>
              <w:t>$</w:t>
            </w:r>
            <w:r w:rsidR="00AE554B" w:rsidRPr="004C47E8">
              <w:t>94.7</w:t>
            </w:r>
          </w:p>
        </w:tc>
        <w:tc>
          <w:tcPr>
            <w:tcW w:w="1192" w:type="dxa"/>
            <w:vAlign w:val="center"/>
          </w:tcPr>
          <w:p w:rsidR="00AE554B" w:rsidRPr="004C47E8" w:rsidRDefault="006458AD" w:rsidP="006458AD">
            <w:pPr>
              <w:pStyle w:val="Tabletext"/>
              <w:jc w:val="right"/>
            </w:pPr>
            <w:r>
              <w:t>$</w:t>
            </w:r>
            <w:r w:rsidR="00AE554B">
              <w:t>111.2</w:t>
            </w:r>
          </w:p>
        </w:tc>
      </w:tr>
      <w:tr w:rsidR="00AE554B" w:rsidRPr="004C47E8" w:rsidTr="006458AD">
        <w:trPr>
          <w:cantSplit/>
          <w:trHeight w:val="305"/>
          <w:jc w:val="center"/>
        </w:trPr>
        <w:tc>
          <w:tcPr>
            <w:tcW w:w="3893" w:type="dxa"/>
            <w:shd w:val="clear" w:color="auto" w:fill="auto"/>
            <w:vAlign w:val="center"/>
          </w:tcPr>
          <w:p w:rsidR="00AE554B" w:rsidRPr="004C47E8" w:rsidRDefault="00AE554B" w:rsidP="00701DCF">
            <w:pPr>
              <w:pStyle w:val="Tabletext"/>
            </w:pPr>
            <w:r w:rsidRPr="004C47E8">
              <w:t>Transmission Maintenance Expenses</w:t>
            </w:r>
            <w:r w:rsidR="006458AD">
              <w:t xml:space="preserve"> (millions)</w:t>
            </w:r>
          </w:p>
        </w:tc>
        <w:tc>
          <w:tcPr>
            <w:tcW w:w="1080" w:type="dxa"/>
            <w:vAlign w:val="center"/>
          </w:tcPr>
          <w:p w:rsidR="00AE554B" w:rsidRPr="004C47E8" w:rsidRDefault="006458AD" w:rsidP="006458AD">
            <w:pPr>
              <w:pStyle w:val="Tabletext"/>
              <w:jc w:val="right"/>
            </w:pPr>
            <w:r>
              <w:t>$</w:t>
            </w:r>
            <w:r w:rsidR="00AE554B" w:rsidRPr="004C47E8">
              <w:t>26.4</w:t>
            </w:r>
          </w:p>
        </w:tc>
        <w:tc>
          <w:tcPr>
            <w:tcW w:w="1080" w:type="dxa"/>
            <w:vAlign w:val="center"/>
          </w:tcPr>
          <w:p w:rsidR="00AE554B" w:rsidRPr="004C47E8" w:rsidRDefault="006458AD" w:rsidP="006458AD">
            <w:pPr>
              <w:pStyle w:val="Tabletext"/>
              <w:jc w:val="right"/>
            </w:pPr>
            <w:r>
              <w:t>$</w:t>
            </w:r>
            <w:r w:rsidR="00AE554B" w:rsidRPr="004C47E8">
              <w:t>36.0</w:t>
            </w:r>
          </w:p>
        </w:tc>
        <w:tc>
          <w:tcPr>
            <w:tcW w:w="1080" w:type="dxa"/>
            <w:vAlign w:val="center"/>
          </w:tcPr>
          <w:p w:rsidR="00AE554B" w:rsidRPr="004C47E8" w:rsidRDefault="006458AD" w:rsidP="006458AD">
            <w:pPr>
              <w:pStyle w:val="Tabletext"/>
              <w:jc w:val="right"/>
            </w:pPr>
            <w:r>
              <w:t>$</w:t>
            </w:r>
            <w:r w:rsidR="00AE554B" w:rsidRPr="004C47E8">
              <w:t>30.6</w:t>
            </w:r>
          </w:p>
        </w:tc>
        <w:tc>
          <w:tcPr>
            <w:tcW w:w="1080" w:type="dxa"/>
            <w:vAlign w:val="center"/>
          </w:tcPr>
          <w:p w:rsidR="00AE554B" w:rsidRPr="004C47E8" w:rsidRDefault="006458AD" w:rsidP="006458AD">
            <w:pPr>
              <w:pStyle w:val="Tabletext"/>
              <w:jc w:val="right"/>
            </w:pPr>
            <w:r>
              <w:t>$</w:t>
            </w:r>
            <w:r w:rsidR="00AE554B" w:rsidRPr="004C47E8">
              <w:t>27.3</w:t>
            </w:r>
          </w:p>
        </w:tc>
        <w:tc>
          <w:tcPr>
            <w:tcW w:w="1192" w:type="dxa"/>
            <w:vAlign w:val="center"/>
          </w:tcPr>
          <w:p w:rsidR="00AE554B" w:rsidRPr="004C47E8" w:rsidRDefault="006458AD" w:rsidP="006458AD">
            <w:pPr>
              <w:pStyle w:val="Tabletext"/>
              <w:jc w:val="right"/>
            </w:pPr>
            <w:r>
              <w:t>$</w:t>
            </w:r>
            <w:r w:rsidR="00AE554B">
              <w:t>30.3</w:t>
            </w:r>
          </w:p>
        </w:tc>
      </w:tr>
      <w:tr w:rsidR="00AE554B" w:rsidRPr="004C47E8" w:rsidTr="006458AD">
        <w:trPr>
          <w:cantSplit/>
          <w:trHeight w:val="80"/>
          <w:jc w:val="center"/>
        </w:trPr>
        <w:tc>
          <w:tcPr>
            <w:tcW w:w="3893" w:type="dxa"/>
            <w:shd w:val="clear" w:color="auto" w:fill="auto"/>
            <w:vAlign w:val="center"/>
          </w:tcPr>
          <w:p w:rsidR="00AE554B" w:rsidRPr="004C47E8" w:rsidRDefault="00AE554B" w:rsidP="00701DCF">
            <w:pPr>
              <w:pStyle w:val="Tabletext"/>
            </w:pPr>
            <w:r w:rsidRPr="004C47E8">
              <w:t>Total Transmission O&amp;M</w:t>
            </w:r>
            <w:r w:rsidR="006458AD">
              <w:t xml:space="preserve"> (millions)</w:t>
            </w:r>
          </w:p>
        </w:tc>
        <w:tc>
          <w:tcPr>
            <w:tcW w:w="1080" w:type="dxa"/>
            <w:vAlign w:val="center"/>
          </w:tcPr>
          <w:p w:rsidR="00AE554B" w:rsidRPr="004C47E8" w:rsidRDefault="006458AD" w:rsidP="006458AD">
            <w:pPr>
              <w:pStyle w:val="Tabletext"/>
              <w:jc w:val="right"/>
            </w:pPr>
            <w:r>
              <w:t>$</w:t>
            </w:r>
            <w:r w:rsidR="00AE554B" w:rsidRPr="004C47E8">
              <w:t>97.7</w:t>
            </w:r>
          </w:p>
        </w:tc>
        <w:tc>
          <w:tcPr>
            <w:tcW w:w="1080" w:type="dxa"/>
            <w:vAlign w:val="center"/>
          </w:tcPr>
          <w:p w:rsidR="00AE554B" w:rsidRPr="004C47E8" w:rsidRDefault="006458AD" w:rsidP="006458AD">
            <w:pPr>
              <w:pStyle w:val="Tabletext"/>
              <w:jc w:val="right"/>
            </w:pPr>
            <w:r>
              <w:t>$</w:t>
            </w:r>
            <w:r w:rsidR="00AE554B" w:rsidRPr="004C47E8">
              <w:t>110.3</w:t>
            </w:r>
          </w:p>
        </w:tc>
        <w:tc>
          <w:tcPr>
            <w:tcW w:w="1080" w:type="dxa"/>
            <w:vAlign w:val="center"/>
          </w:tcPr>
          <w:p w:rsidR="00AE554B" w:rsidRPr="004C47E8" w:rsidRDefault="006458AD" w:rsidP="006458AD">
            <w:pPr>
              <w:pStyle w:val="Tabletext"/>
              <w:jc w:val="right"/>
            </w:pPr>
            <w:r>
              <w:t>$</w:t>
            </w:r>
            <w:r w:rsidR="00AE554B" w:rsidRPr="004C47E8">
              <w:t>115.6</w:t>
            </w:r>
          </w:p>
        </w:tc>
        <w:tc>
          <w:tcPr>
            <w:tcW w:w="1080" w:type="dxa"/>
            <w:vAlign w:val="center"/>
          </w:tcPr>
          <w:p w:rsidR="00AE554B" w:rsidRPr="004C47E8" w:rsidRDefault="006458AD" w:rsidP="006458AD">
            <w:pPr>
              <w:pStyle w:val="Tabletext"/>
              <w:jc w:val="right"/>
            </w:pPr>
            <w:r>
              <w:t>$</w:t>
            </w:r>
            <w:r w:rsidR="00AE554B" w:rsidRPr="004C47E8">
              <w:t>122.1</w:t>
            </w:r>
          </w:p>
        </w:tc>
        <w:tc>
          <w:tcPr>
            <w:tcW w:w="1192" w:type="dxa"/>
            <w:vAlign w:val="center"/>
          </w:tcPr>
          <w:p w:rsidR="00AE554B" w:rsidRPr="004C47E8" w:rsidRDefault="006458AD" w:rsidP="006458AD">
            <w:pPr>
              <w:pStyle w:val="Tabletext"/>
              <w:jc w:val="right"/>
            </w:pPr>
            <w:r>
              <w:t>$</w:t>
            </w:r>
            <w:r w:rsidR="00AE554B">
              <w:t>141.5</w:t>
            </w:r>
          </w:p>
        </w:tc>
      </w:tr>
      <w:tr w:rsidR="00AE554B" w:rsidRPr="004C47E8" w:rsidTr="006458AD">
        <w:trPr>
          <w:cantSplit/>
          <w:trHeight w:val="215"/>
          <w:jc w:val="center"/>
        </w:trPr>
        <w:tc>
          <w:tcPr>
            <w:tcW w:w="9405" w:type="dxa"/>
            <w:gridSpan w:val="6"/>
            <w:vAlign w:val="center"/>
          </w:tcPr>
          <w:p w:rsidR="00AE554B" w:rsidRPr="004C47E8" w:rsidRDefault="00AE554B" w:rsidP="00701DCF">
            <w:pPr>
              <w:pStyle w:val="Tabletext"/>
              <w:jc w:val="left"/>
              <w:rPr>
                <w:rFonts w:cs="Arial"/>
              </w:rPr>
            </w:pPr>
            <w:r w:rsidRPr="004C47E8">
              <w:rPr>
                <w:rFonts w:cs="Arial"/>
              </w:rPr>
              <w:t>Source: PUC Annual Reports</w:t>
            </w:r>
          </w:p>
        </w:tc>
      </w:tr>
    </w:tbl>
    <w:p w:rsidR="00AE554B" w:rsidRPr="004C47E8" w:rsidRDefault="00AE554B" w:rsidP="00701DCF">
      <w:pPr>
        <w:pStyle w:val="Normal-aftertable"/>
      </w:pPr>
      <w:r w:rsidRPr="004C47E8">
        <w:t>From 2011 to 201</w:t>
      </w:r>
      <w:r>
        <w:t>5</w:t>
      </w:r>
      <w:r w:rsidRPr="004C47E8">
        <w:t xml:space="preserve">, O&amp;M spending increased approximately </w:t>
      </w:r>
      <w:r>
        <w:t>4</w:t>
      </w:r>
      <w:r w:rsidRPr="004C47E8">
        <w:t>5%.  The rise in transmission operation expenses was largely due to an increase in FERC Account 565 – Transmission of Electricity by Others which includes costs charged to deliver power to the PPL system.</w:t>
      </w:r>
    </w:p>
    <w:p w:rsidR="00AE554B" w:rsidRPr="004C47E8" w:rsidRDefault="00AE554B" w:rsidP="00701DCF">
      <w:r w:rsidRPr="004C47E8">
        <w:t>The following exhibit summarizes overall capital spending.</w:t>
      </w:r>
    </w:p>
    <w:p w:rsidR="00AE554B" w:rsidRPr="004C47E8" w:rsidRDefault="00AD2223" w:rsidP="00AD2223">
      <w:pPr>
        <w:pStyle w:val="Caption"/>
      </w:pPr>
      <w:bookmarkStart w:id="123" w:name="_Toc464552972"/>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2F6183">
        <w:br/>
      </w:r>
      <w:r w:rsidR="00AE554B" w:rsidRPr="004C47E8">
        <w:t>PPL EU Transmission and Substations Capital Spending 2011</w:t>
      </w:r>
      <w:r w:rsidR="006458AD">
        <w:t>–</w:t>
      </w:r>
      <w:r w:rsidR="00AE554B" w:rsidRPr="004C47E8">
        <w:t>2015</w:t>
      </w:r>
      <w:bookmarkEnd w:id="1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0"/>
        <w:gridCol w:w="990"/>
        <w:gridCol w:w="990"/>
        <w:gridCol w:w="990"/>
        <w:gridCol w:w="990"/>
        <w:gridCol w:w="969"/>
      </w:tblGrid>
      <w:tr w:rsidR="00AE554B" w:rsidRPr="007370C9" w:rsidTr="006458AD">
        <w:trPr>
          <w:cantSplit/>
          <w:trHeight w:val="368"/>
          <w:tblHeader/>
          <w:jc w:val="center"/>
        </w:trPr>
        <w:tc>
          <w:tcPr>
            <w:tcW w:w="4390" w:type="dxa"/>
            <w:shd w:val="clear" w:color="auto" w:fill="A5CD7E"/>
            <w:vAlign w:val="center"/>
          </w:tcPr>
          <w:p w:rsidR="00AE554B" w:rsidRPr="007370C9" w:rsidRDefault="00AE554B" w:rsidP="007370C9">
            <w:pPr>
              <w:spacing w:before="120"/>
              <w:jc w:val="center"/>
              <w:rPr>
                <w:b/>
              </w:rPr>
            </w:pPr>
            <w:r w:rsidRPr="007370C9">
              <w:rPr>
                <w:b/>
              </w:rPr>
              <w:t>Factor</w:t>
            </w:r>
          </w:p>
        </w:tc>
        <w:tc>
          <w:tcPr>
            <w:tcW w:w="990" w:type="dxa"/>
            <w:shd w:val="clear" w:color="auto" w:fill="A5CD7E"/>
            <w:vAlign w:val="center"/>
          </w:tcPr>
          <w:p w:rsidR="00AE554B" w:rsidRPr="007370C9" w:rsidRDefault="00AE554B" w:rsidP="007370C9">
            <w:pPr>
              <w:spacing w:before="120"/>
              <w:jc w:val="center"/>
              <w:rPr>
                <w:b/>
              </w:rPr>
            </w:pPr>
            <w:r w:rsidRPr="007370C9">
              <w:rPr>
                <w:b/>
              </w:rPr>
              <w:t>2011</w:t>
            </w:r>
          </w:p>
        </w:tc>
        <w:tc>
          <w:tcPr>
            <w:tcW w:w="990" w:type="dxa"/>
            <w:shd w:val="clear" w:color="auto" w:fill="A5CD7E"/>
            <w:vAlign w:val="center"/>
          </w:tcPr>
          <w:p w:rsidR="00AE554B" w:rsidRPr="007370C9" w:rsidRDefault="00AE554B" w:rsidP="007370C9">
            <w:pPr>
              <w:spacing w:before="120"/>
              <w:jc w:val="center"/>
              <w:rPr>
                <w:b/>
              </w:rPr>
            </w:pPr>
            <w:r w:rsidRPr="007370C9">
              <w:rPr>
                <w:b/>
              </w:rPr>
              <w:t>2012</w:t>
            </w:r>
          </w:p>
        </w:tc>
        <w:tc>
          <w:tcPr>
            <w:tcW w:w="990" w:type="dxa"/>
            <w:shd w:val="clear" w:color="auto" w:fill="A5CD7E"/>
            <w:vAlign w:val="center"/>
          </w:tcPr>
          <w:p w:rsidR="00AE554B" w:rsidRPr="007370C9" w:rsidRDefault="00AE554B" w:rsidP="007370C9">
            <w:pPr>
              <w:spacing w:before="120"/>
              <w:jc w:val="center"/>
              <w:rPr>
                <w:b/>
              </w:rPr>
            </w:pPr>
            <w:r w:rsidRPr="007370C9">
              <w:rPr>
                <w:b/>
              </w:rPr>
              <w:t>2013</w:t>
            </w:r>
          </w:p>
        </w:tc>
        <w:tc>
          <w:tcPr>
            <w:tcW w:w="990" w:type="dxa"/>
            <w:shd w:val="clear" w:color="auto" w:fill="A5CD7E"/>
            <w:vAlign w:val="center"/>
          </w:tcPr>
          <w:p w:rsidR="00AE554B" w:rsidRPr="007370C9" w:rsidRDefault="00AE554B" w:rsidP="007370C9">
            <w:pPr>
              <w:spacing w:before="120"/>
              <w:jc w:val="center"/>
              <w:rPr>
                <w:b/>
              </w:rPr>
            </w:pPr>
            <w:r w:rsidRPr="007370C9">
              <w:rPr>
                <w:b/>
              </w:rPr>
              <w:t>2014</w:t>
            </w:r>
          </w:p>
        </w:tc>
        <w:tc>
          <w:tcPr>
            <w:tcW w:w="969" w:type="dxa"/>
            <w:shd w:val="clear" w:color="auto" w:fill="A5CD7E"/>
            <w:vAlign w:val="center"/>
          </w:tcPr>
          <w:p w:rsidR="00AE554B" w:rsidRPr="007370C9" w:rsidRDefault="00AE554B" w:rsidP="007370C9">
            <w:pPr>
              <w:spacing w:before="120"/>
              <w:jc w:val="center"/>
              <w:rPr>
                <w:b/>
              </w:rPr>
            </w:pPr>
            <w:r w:rsidRPr="007370C9">
              <w:rPr>
                <w:b/>
              </w:rPr>
              <w:t xml:space="preserve">2015 </w:t>
            </w:r>
          </w:p>
        </w:tc>
      </w:tr>
      <w:tr w:rsidR="00AE554B" w:rsidRPr="004C47E8" w:rsidTr="006458AD">
        <w:trPr>
          <w:trHeight w:val="170"/>
          <w:jc w:val="center"/>
        </w:trPr>
        <w:tc>
          <w:tcPr>
            <w:tcW w:w="4390" w:type="dxa"/>
            <w:shd w:val="clear" w:color="auto" w:fill="auto"/>
            <w:vAlign w:val="center"/>
          </w:tcPr>
          <w:p w:rsidR="00AE554B" w:rsidRPr="004C47E8" w:rsidRDefault="00AE554B" w:rsidP="00701DCF">
            <w:pPr>
              <w:pStyle w:val="Tabletext"/>
            </w:pPr>
            <w:r w:rsidRPr="004C47E8">
              <w:t>Transmission Other</w:t>
            </w:r>
            <w:r w:rsidR="006458AD">
              <w:t xml:space="preserve"> (millions)</w:t>
            </w:r>
          </w:p>
        </w:tc>
        <w:tc>
          <w:tcPr>
            <w:tcW w:w="990" w:type="dxa"/>
            <w:vAlign w:val="center"/>
          </w:tcPr>
          <w:p w:rsidR="00AE554B" w:rsidRPr="004C47E8" w:rsidRDefault="006458AD" w:rsidP="006458AD">
            <w:pPr>
              <w:pStyle w:val="Tabletext"/>
              <w:jc w:val="right"/>
            </w:pPr>
            <w:r>
              <w:t>$</w:t>
            </w:r>
            <w:r w:rsidR="00AE554B" w:rsidRPr="004C47E8">
              <w:t>144.9</w:t>
            </w:r>
          </w:p>
        </w:tc>
        <w:tc>
          <w:tcPr>
            <w:tcW w:w="990" w:type="dxa"/>
            <w:vAlign w:val="center"/>
          </w:tcPr>
          <w:p w:rsidR="00AE554B" w:rsidRPr="004C47E8" w:rsidRDefault="006458AD" w:rsidP="006458AD">
            <w:pPr>
              <w:pStyle w:val="Tabletext"/>
              <w:jc w:val="right"/>
            </w:pPr>
            <w:r>
              <w:t>$</w:t>
            </w:r>
            <w:r w:rsidR="00AE554B" w:rsidRPr="004C47E8">
              <w:t>274.6</w:t>
            </w:r>
          </w:p>
        </w:tc>
        <w:tc>
          <w:tcPr>
            <w:tcW w:w="990" w:type="dxa"/>
            <w:vAlign w:val="center"/>
          </w:tcPr>
          <w:p w:rsidR="00AE554B" w:rsidRPr="004C47E8" w:rsidRDefault="006458AD" w:rsidP="006458AD">
            <w:pPr>
              <w:pStyle w:val="Tabletext"/>
              <w:jc w:val="right"/>
            </w:pPr>
            <w:r>
              <w:t>$</w:t>
            </w:r>
            <w:r w:rsidR="00AE554B" w:rsidRPr="004C47E8">
              <w:t>302.5</w:t>
            </w:r>
          </w:p>
        </w:tc>
        <w:tc>
          <w:tcPr>
            <w:tcW w:w="990" w:type="dxa"/>
            <w:vAlign w:val="center"/>
          </w:tcPr>
          <w:p w:rsidR="00AE554B" w:rsidRPr="004C47E8" w:rsidRDefault="006458AD" w:rsidP="006458AD">
            <w:pPr>
              <w:pStyle w:val="Tabletext"/>
              <w:jc w:val="right"/>
            </w:pPr>
            <w:r>
              <w:t>$</w:t>
            </w:r>
            <w:r w:rsidR="00AE554B" w:rsidRPr="004C47E8">
              <w:t>285.5</w:t>
            </w:r>
          </w:p>
        </w:tc>
        <w:tc>
          <w:tcPr>
            <w:tcW w:w="969" w:type="dxa"/>
            <w:vAlign w:val="center"/>
          </w:tcPr>
          <w:p w:rsidR="00AE554B" w:rsidRPr="004C47E8" w:rsidRDefault="006458AD" w:rsidP="006458AD">
            <w:pPr>
              <w:pStyle w:val="Tabletext"/>
              <w:jc w:val="right"/>
            </w:pPr>
            <w:r>
              <w:t>$</w:t>
            </w:r>
            <w:r w:rsidR="00AE554B">
              <w:t>511.0</w:t>
            </w:r>
          </w:p>
        </w:tc>
      </w:tr>
      <w:tr w:rsidR="00AE554B" w:rsidRPr="004C47E8" w:rsidTr="006458AD">
        <w:trPr>
          <w:trHeight w:val="242"/>
          <w:jc w:val="center"/>
        </w:trPr>
        <w:tc>
          <w:tcPr>
            <w:tcW w:w="4390" w:type="dxa"/>
            <w:shd w:val="clear" w:color="auto" w:fill="auto"/>
            <w:vAlign w:val="center"/>
          </w:tcPr>
          <w:p w:rsidR="00AE554B" w:rsidRPr="004C47E8" w:rsidRDefault="00AE554B" w:rsidP="00701DCF">
            <w:pPr>
              <w:pStyle w:val="Tabletext"/>
            </w:pPr>
            <w:r w:rsidRPr="004C47E8">
              <w:t>Susquehanna-Roseland Project</w:t>
            </w:r>
            <w:r w:rsidR="006458AD">
              <w:t xml:space="preserve"> (millions)</w:t>
            </w:r>
          </w:p>
        </w:tc>
        <w:tc>
          <w:tcPr>
            <w:tcW w:w="990" w:type="dxa"/>
            <w:vAlign w:val="center"/>
          </w:tcPr>
          <w:p w:rsidR="00AE554B" w:rsidRPr="004C47E8" w:rsidRDefault="006458AD" w:rsidP="006458AD">
            <w:pPr>
              <w:pStyle w:val="Tabletext"/>
              <w:jc w:val="right"/>
            </w:pPr>
            <w:r>
              <w:t>$</w:t>
            </w:r>
            <w:r w:rsidR="00AE554B" w:rsidRPr="004C47E8">
              <w:t>6.1</w:t>
            </w:r>
          </w:p>
        </w:tc>
        <w:tc>
          <w:tcPr>
            <w:tcW w:w="990" w:type="dxa"/>
            <w:vAlign w:val="center"/>
          </w:tcPr>
          <w:p w:rsidR="00AE554B" w:rsidRPr="004C47E8" w:rsidRDefault="006458AD" w:rsidP="006458AD">
            <w:pPr>
              <w:pStyle w:val="Tabletext"/>
              <w:jc w:val="right"/>
            </w:pPr>
            <w:r>
              <w:t>$</w:t>
            </w:r>
            <w:r w:rsidR="00AE554B" w:rsidRPr="004C47E8">
              <w:t>56.1</w:t>
            </w:r>
          </w:p>
        </w:tc>
        <w:tc>
          <w:tcPr>
            <w:tcW w:w="990" w:type="dxa"/>
            <w:vAlign w:val="center"/>
          </w:tcPr>
          <w:p w:rsidR="00AE554B" w:rsidRPr="004C47E8" w:rsidRDefault="006458AD" w:rsidP="006458AD">
            <w:pPr>
              <w:pStyle w:val="Tabletext"/>
              <w:jc w:val="right"/>
            </w:pPr>
            <w:r>
              <w:t>$</w:t>
            </w:r>
            <w:r w:rsidR="00AE554B" w:rsidRPr="004C47E8">
              <w:t>271.4</w:t>
            </w:r>
          </w:p>
        </w:tc>
        <w:tc>
          <w:tcPr>
            <w:tcW w:w="990" w:type="dxa"/>
            <w:vAlign w:val="center"/>
          </w:tcPr>
          <w:p w:rsidR="00AE554B" w:rsidRPr="004C47E8" w:rsidRDefault="006458AD" w:rsidP="006458AD">
            <w:pPr>
              <w:pStyle w:val="Tabletext"/>
              <w:jc w:val="right"/>
            </w:pPr>
            <w:r>
              <w:t>$</w:t>
            </w:r>
            <w:r w:rsidR="00AE554B" w:rsidRPr="004C47E8">
              <w:t>219.3</w:t>
            </w:r>
          </w:p>
        </w:tc>
        <w:tc>
          <w:tcPr>
            <w:tcW w:w="969" w:type="dxa"/>
            <w:vAlign w:val="center"/>
          </w:tcPr>
          <w:p w:rsidR="00AE554B" w:rsidRPr="004C47E8" w:rsidRDefault="006458AD" w:rsidP="006458AD">
            <w:pPr>
              <w:pStyle w:val="Tabletext"/>
              <w:jc w:val="right"/>
            </w:pPr>
            <w:r>
              <w:t>$</w:t>
            </w:r>
            <w:r w:rsidR="00AE554B">
              <w:t>47.5</w:t>
            </w:r>
          </w:p>
        </w:tc>
      </w:tr>
      <w:tr w:rsidR="00AE554B" w:rsidRPr="004C47E8" w:rsidTr="006458AD">
        <w:trPr>
          <w:trHeight w:val="305"/>
          <w:jc w:val="center"/>
        </w:trPr>
        <w:tc>
          <w:tcPr>
            <w:tcW w:w="4390" w:type="dxa"/>
            <w:shd w:val="clear" w:color="auto" w:fill="auto"/>
            <w:vAlign w:val="center"/>
          </w:tcPr>
          <w:p w:rsidR="00AE554B" w:rsidRPr="004C47E8" w:rsidRDefault="00AE554B" w:rsidP="00701DCF">
            <w:pPr>
              <w:pStyle w:val="Tabletext"/>
            </w:pPr>
            <w:r w:rsidRPr="004C47E8">
              <w:t>Pocono NE Reliability Project</w:t>
            </w:r>
            <w:r w:rsidR="006458AD">
              <w:t xml:space="preserve"> (millions)</w:t>
            </w:r>
          </w:p>
        </w:tc>
        <w:tc>
          <w:tcPr>
            <w:tcW w:w="990" w:type="dxa"/>
            <w:vAlign w:val="center"/>
          </w:tcPr>
          <w:p w:rsidR="00AE554B" w:rsidRPr="004C47E8" w:rsidRDefault="006458AD" w:rsidP="006458AD">
            <w:pPr>
              <w:pStyle w:val="Tabletext"/>
              <w:jc w:val="right"/>
            </w:pPr>
            <w:r>
              <w:t>$</w:t>
            </w:r>
            <w:r w:rsidR="00AE554B" w:rsidRPr="004C47E8">
              <w:t>3.2</w:t>
            </w:r>
          </w:p>
        </w:tc>
        <w:tc>
          <w:tcPr>
            <w:tcW w:w="990" w:type="dxa"/>
            <w:vAlign w:val="center"/>
          </w:tcPr>
          <w:p w:rsidR="00AE554B" w:rsidRPr="004C47E8" w:rsidRDefault="006458AD" w:rsidP="006458AD">
            <w:pPr>
              <w:pStyle w:val="Tabletext"/>
              <w:jc w:val="right"/>
            </w:pPr>
            <w:r>
              <w:t>$</w:t>
            </w:r>
            <w:r w:rsidR="00AE554B" w:rsidRPr="004C47E8">
              <w:t>11.8</w:t>
            </w:r>
          </w:p>
        </w:tc>
        <w:tc>
          <w:tcPr>
            <w:tcW w:w="990" w:type="dxa"/>
            <w:vAlign w:val="center"/>
          </w:tcPr>
          <w:p w:rsidR="00AE554B" w:rsidRPr="004C47E8" w:rsidRDefault="006458AD" w:rsidP="006458AD">
            <w:pPr>
              <w:pStyle w:val="Tabletext"/>
              <w:jc w:val="right"/>
            </w:pPr>
            <w:r>
              <w:t>$</w:t>
            </w:r>
            <w:r w:rsidR="00AE554B" w:rsidRPr="004C47E8">
              <w:t>53.6</w:t>
            </w:r>
          </w:p>
        </w:tc>
        <w:tc>
          <w:tcPr>
            <w:tcW w:w="990" w:type="dxa"/>
            <w:vAlign w:val="center"/>
          </w:tcPr>
          <w:p w:rsidR="00AE554B" w:rsidRPr="004C47E8" w:rsidRDefault="006458AD" w:rsidP="006458AD">
            <w:pPr>
              <w:pStyle w:val="Tabletext"/>
              <w:jc w:val="right"/>
            </w:pPr>
            <w:r>
              <w:t>$</w:t>
            </w:r>
            <w:r w:rsidR="00AE554B" w:rsidRPr="004C47E8">
              <w:t>122.1</w:t>
            </w:r>
          </w:p>
        </w:tc>
        <w:tc>
          <w:tcPr>
            <w:tcW w:w="969" w:type="dxa"/>
            <w:vAlign w:val="center"/>
          </w:tcPr>
          <w:p w:rsidR="00AE554B" w:rsidRPr="004C47E8" w:rsidRDefault="006458AD" w:rsidP="006458AD">
            <w:pPr>
              <w:pStyle w:val="Tabletext"/>
              <w:jc w:val="right"/>
              <w:rPr>
                <w:sz w:val="22"/>
                <w:szCs w:val="22"/>
              </w:rPr>
            </w:pPr>
            <w:r>
              <w:t>$</w:t>
            </w:r>
            <w:r w:rsidR="00AE554B" w:rsidRPr="00994ECC">
              <w:rPr>
                <w:szCs w:val="22"/>
              </w:rPr>
              <w:t>136.6</w:t>
            </w:r>
          </w:p>
        </w:tc>
      </w:tr>
      <w:tr w:rsidR="00AE554B" w:rsidRPr="004C47E8" w:rsidTr="006458AD">
        <w:trPr>
          <w:trHeight w:val="305"/>
          <w:jc w:val="center"/>
        </w:trPr>
        <w:tc>
          <w:tcPr>
            <w:tcW w:w="4390" w:type="dxa"/>
            <w:shd w:val="clear" w:color="auto" w:fill="auto"/>
            <w:vAlign w:val="center"/>
          </w:tcPr>
          <w:p w:rsidR="00AE554B" w:rsidRPr="004C47E8" w:rsidRDefault="00AE554B" w:rsidP="00701DCF">
            <w:pPr>
              <w:pStyle w:val="Tabletext"/>
            </w:pPr>
            <w:r w:rsidRPr="004C47E8">
              <w:t>Total Transmission Capital</w:t>
            </w:r>
            <w:r w:rsidR="006458AD">
              <w:t xml:space="preserve"> (millions)</w:t>
            </w:r>
          </w:p>
        </w:tc>
        <w:tc>
          <w:tcPr>
            <w:tcW w:w="990" w:type="dxa"/>
            <w:vAlign w:val="center"/>
          </w:tcPr>
          <w:p w:rsidR="00AE554B" w:rsidRPr="004C47E8" w:rsidRDefault="006458AD" w:rsidP="006458AD">
            <w:pPr>
              <w:pStyle w:val="Tabletext"/>
              <w:jc w:val="right"/>
            </w:pPr>
            <w:r>
              <w:t>$</w:t>
            </w:r>
            <w:r w:rsidR="00AE554B" w:rsidRPr="004C47E8">
              <w:t>154.2</w:t>
            </w:r>
          </w:p>
        </w:tc>
        <w:tc>
          <w:tcPr>
            <w:tcW w:w="990" w:type="dxa"/>
            <w:vAlign w:val="center"/>
          </w:tcPr>
          <w:p w:rsidR="00AE554B" w:rsidRPr="004C47E8" w:rsidRDefault="006458AD" w:rsidP="006458AD">
            <w:pPr>
              <w:pStyle w:val="Tabletext"/>
              <w:jc w:val="right"/>
            </w:pPr>
            <w:r>
              <w:t>$</w:t>
            </w:r>
            <w:r w:rsidR="00AE554B" w:rsidRPr="004C47E8">
              <w:t>342.5</w:t>
            </w:r>
          </w:p>
        </w:tc>
        <w:tc>
          <w:tcPr>
            <w:tcW w:w="990" w:type="dxa"/>
            <w:vAlign w:val="center"/>
          </w:tcPr>
          <w:p w:rsidR="00AE554B" w:rsidRPr="004C47E8" w:rsidRDefault="006458AD" w:rsidP="006458AD">
            <w:pPr>
              <w:pStyle w:val="Tabletext"/>
              <w:jc w:val="right"/>
            </w:pPr>
            <w:r>
              <w:t>$</w:t>
            </w:r>
            <w:r w:rsidR="00AE554B" w:rsidRPr="004C47E8">
              <w:t>627.5</w:t>
            </w:r>
          </w:p>
        </w:tc>
        <w:tc>
          <w:tcPr>
            <w:tcW w:w="990" w:type="dxa"/>
            <w:vAlign w:val="center"/>
          </w:tcPr>
          <w:p w:rsidR="00AE554B" w:rsidRPr="004C47E8" w:rsidRDefault="006458AD" w:rsidP="006458AD">
            <w:pPr>
              <w:pStyle w:val="Tabletext"/>
              <w:jc w:val="right"/>
            </w:pPr>
            <w:r>
              <w:t>$</w:t>
            </w:r>
            <w:r w:rsidR="00AE554B" w:rsidRPr="004C47E8">
              <w:t>626.9</w:t>
            </w:r>
          </w:p>
        </w:tc>
        <w:tc>
          <w:tcPr>
            <w:tcW w:w="969" w:type="dxa"/>
            <w:vAlign w:val="center"/>
          </w:tcPr>
          <w:p w:rsidR="00AE554B" w:rsidRPr="004C47E8" w:rsidRDefault="006458AD" w:rsidP="006458AD">
            <w:pPr>
              <w:pStyle w:val="Tabletext"/>
              <w:jc w:val="right"/>
            </w:pPr>
            <w:r>
              <w:t>$</w:t>
            </w:r>
            <w:r w:rsidR="00AE554B">
              <w:t>695.1</w:t>
            </w:r>
          </w:p>
        </w:tc>
      </w:tr>
      <w:tr w:rsidR="00AE554B" w:rsidRPr="004C47E8" w:rsidTr="006458AD">
        <w:trPr>
          <w:trHeight w:val="188"/>
          <w:jc w:val="center"/>
        </w:trPr>
        <w:tc>
          <w:tcPr>
            <w:tcW w:w="9319" w:type="dxa"/>
            <w:gridSpan w:val="6"/>
            <w:vAlign w:val="center"/>
          </w:tcPr>
          <w:p w:rsidR="00AE554B" w:rsidRPr="004C47E8" w:rsidRDefault="00AE554B" w:rsidP="00701DCF">
            <w:pPr>
              <w:pStyle w:val="Tabletext"/>
              <w:jc w:val="left"/>
              <w:rPr>
                <w:rFonts w:cs="Arial"/>
              </w:rPr>
            </w:pPr>
            <w:r w:rsidRPr="004C47E8">
              <w:rPr>
                <w:rFonts w:cs="Arial"/>
              </w:rPr>
              <w:t>Source: DN 01-015; DN 01-069</w:t>
            </w:r>
          </w:p>
        </w:tc>
      </w:tr>
    </w:tbl>
    <w:p w:rsidR="00AE554B" w:rsidRDefault="00AE554B" w:rsidP="00701DCF">
      <w:pPr>
        <w:pStyle w:val="Normal-aftertable"/>
      </w:pPr>
      <w:r w:rsidRPr="004C47E8">
        <w:t>The total annual transmission capital spending has risen over 4</w:t>
      </w:r>
      <w:r>
        <w:t>5</w:t>
      </w:r>
      <w:r w:rsidRPr="004C47E8">
        <w:t>0% since 2011.  Two major projects, Susquehanna-Roseland and Pocono NE Reliability projects were a significant portion of the capital spending in 2013 and 2014.</w:t>
      </w:r>
    </w:p>
    <w:p w:rsidR="00910525" w:rsidRDefault="00AE554B" w:rsidP="00910525">
      <w:pPr>
        <w:pStyle w:val="Heading40"/>
      </w:pPr>
      <w:r w:rsidRPr="005E6B12">
        <w:t>Organization Structure</w:t>
      </w:r>
      <w:bookmarkEnd w:id="121"/>
      <w:r w:rsidR="005E6B12">
        <w:t xml:space="preserve">  </w:t>
      </w:r>
    </w:p>
    <w:p w:rsidR="00AE554B" w:rsidRDefault="00AE554B" w:rsidP="005E6B12">
      <w:r w:rsidRPr="005E6B12">
        <w:t>The PPL EU Transmission and Substations organization is shown in the following exhibit.</w:t>
      </w:r>
    </w:p>
    <w:p w:rsidR="00AE554B" w:rsidRPr="00C00477" w:rsidRDefault="00AD2223" w:rsidP="00AD2223">
      <w:pPr>
        <w:pStyle w:val="Caption"/>
      </w:pPr>
      <w:bookmarkStart w:id="124" w:name="_Toc464552973"/>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6</w:t>
      </w:r>
      <w:r w:rsidR="00CB2B2A">
        <w:rPr>
          <w:noProof/>
        </w:rPr>
        <w:fldChar w:fldCharType="end"/>
      </w:r>
      <w:r w:rsidR="002F6183">
        <w:br/>
      </w:r>
      <w:r w:rsidR="00AE554B">
        <w:t>Transmission and Substations Organization Structure</w:t>
      </w:r>
      <w:bookmarkEnd w:id="124"/>
    </w:p>
    <w:p w:rsidR="00AE554B" w:rsidRDefault="00D360FF" w:rsidP="00701DCF">
      <w:pPr>
        <w:pStyle w:val="Normal-aftertable"/>
      </w:pPr>
      <w:r>
        <w:rPr>
          <w:noProof/>
        </w:rPr>
        <w:drawing>
          <wp:inline distT="0" distB="0" distL="0" distR="0">
            <wp:extent cx="5943600" cy="21958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PL-EU_T&amp;D_01-071_page74_v2.jpg"/>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195830"/>
                    </a:xfrm>
                    <a:prstGeom prst="rect">
                      <a:avLst/>
                    </a:prstGeom>
                  </pic:spPr>
                </pic:pic>
              </a:graphicData>
            </a:graphic>
          </wp:inline>
        </w:drawing>
      </w:r>
    </w:p>
    <w:p w:rsidR="00AE554B" w:rsidRDefault="00AE554B" w:rsidP="00701DCF">
      <w:pPr>
        <w:pStyle w:val="Normal-aftertable"/>
      </w:pPr>
      <w:r>
        <w:t>Source: DN 01-071</w:t>
      </w:r>
    </w:p>
    <w:p w:rsidR="00AE554B" w:rsidRPr="00A07C4F" w:rsidRDefault="00AE554B" w:rsidP="00701DCF">
      <w:pPr>
        <w:pStyle w:val="Normal-aftertable"/>
      </w:pPr>
      <w:r w:rsidRPr="00A07C4F">
        <w:t xml:space="preserve">The Transmission and Substations (T&amp;S) organization is comprised of Asset Management, Engineering, Project Management, PJM </w:t>
      </w:r>
      <w:r>
        <w:t>and</w:t>
      </w:r>
      <w:r w:rsidRPr="00A07C4F">
        <w:t xml:space="preserve"> Federal Reg</w:t>
      </w:r>
      <w:r>
        <w:t>ulatory</w:t>
      </w:r>
      <w:r w:rsidRPr="00A07C4F">
        <w:t xml:space="preserve"> Policy , Transmission Expansion, Power Dispatch, Reliability Compliance, and Strategic Development</w:t>
      </w:r>
      <w:r>
        <w:t xml:space="preserve"> organizations</w:t>
      </w:r>
      <w:r w:rsidRPr="00A07C4F">
        <w:t>.</w:t>
      </w:r>
      <w:r>
        <w:t xml:space="preserve">  Each is discussed below.</w:t>
      </w:r>
    </w:p>
    <w:p w:rsidR="00AE554B" w:rsidRPr="005E6B12" w:rsidRDefault="00AE554B" w:rsidP="005E6B12">
      <w:pPr>
        <w:rPr>
          <w:highlight w:val="yellow"/>
        </w:rPr>
      </w:pPr>
      <w:proofErr w:type="gramStart"/>
      <w:r w:rsidRPr="005E6B12">
        <w:rPr>
          <w:b/>
        </w:rPr>
        <w:t>Asset Management</w:t>
      </w:r>
      <w:r w:rsidR="005E6B12" w:rsidRPr="005E6B12">
        <w:rPr>
          <w:b/>
        </w:rPr>
        <w:t>.</w:t>
      </w:r>
      <w:proofErr w:type="gramEnd"/>
      <w:r w:rsidR="005E6B12">
        <w:t xml:space="preserve">  </w:t>
      </w:r>
      <w:r w:rsidRPr="005E6B12">
        <w:t>The following exhibit shows the organizational structure for the PPL EU T&amp;S Asset Management organization.</w:t>
      </w:r>
      <w:r w:rsidRPr="005E6B12">
        <w:rPr>
          <w:highlight w:val="yellow"/>
        </w:rPr>
        <w:t xml:space="preserve"> </w:t>
      </w:r>
    </w:p>
    <w:p w:rsidR="00AE554B" w:rsidRPr="00C00477" w:rsidRDefault="00AD2223" w:rsidP="00AD2223">
      <w:pPr>
        <w:pStyle w:val="Caption"/>
      </w:pPr>
      <w:bookmarkStart w:id="125" w:name="_Toc464552974"/>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7</w:t>
      </w:r>
      <w:r w:rsidR="00CB2B2A">
        <w:rPr>
          <w:noProof/>
        </w:rPr>
        <w:fldChar w:fldCharType="end"/>
      </w:r>
      <w:r w:rsidR="002F6183">
        <w:br/>
      </w:r>
      <w:r w:rsidR="00AE554B">
        <w:t>Asset Management Organization Structure</w:t>
      </w:r>
      <w:bookmarkEnd w:id="125"/>
    </w:p>
    <w:p w:rsidR="00AE554B" w:rsidRDefault="005348DB" w:rsidP="00701DCF">
      <w:r>
        <w:rPr>
          <w:noProof/>
        </w:rPr>
        <w:drawing>
          <wp:inline distT="0" distB="0" distL="0" distR="0">
            <wp:extent cx="5943600" cy="230251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PL-EU_01071_Asset-Mgmt_page75_v2.jpg"/>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302510"/>
                    </a:xfrm>
                    <a:prstGeom prst="rect">
                      <a:avLst/>
                    </a:prstGeom>
                  </pic:spPr>
                </pic:pic>
              </a:graphicData>
            </a:graphic>
          </wp:inline>
        </w:drawing>
      </w:r>
    </w:p>
    <w:p w:rsidR="00AE554B" w:rsidRDefault="00AE554B" w:rsidP="00701DCF">
      <w:pPr>
        <w:pStyle w:val="Normal-aftertable"/>
      </w:pPr>
      <w:r>
        <w:t>Source: DN 01-071</w:t>
      </w:r>
    </w:p>
    <w:p w:rsidR="00AE554B" w:rsidRPr="004E5728" w:rsidRDefault="00AE554B" w:rsidP="00701DCF">
      <w:pPr>
        <w:spacing w:before="120"/>
      </w:pPr>
      <w:r w:rsidRPr="004E5728">
        <w:t>The primary functions within the T&amp;S Asset Management organization include Transmission Planning, T&amp;S Maintenance Engineering, and T&amp;S Standards and Methods.</w:t>
      </w:r>
      <w:r>
        <w:t xml:space="preserve">  The organization also includes a Transmission Work Execution group and a T&amp;S Scheduler.</w:t>
      </w:r>
    </w:p>
    <w:p w:rsidR="00AE554B" w:rsidRDefault="00AE554B" w:rsidP="00701DCF">
      <w:pPr>
        <w:rPr>
          <w:rFonts w:cs="Arial"/>
          <w:szCs w:val="24"/>
        </w:rPr>
      </w:pPr>
      <w:r w:rsidRPr="004E5728">
        <w:rPr>
          <w:rFonts w:cs="Arial"/>
          <w:szCs w:val="24"/>
        </w:rPr>
        <w:lastRenderedPageBreak/>
        <w:t>Transmission Planning consists of four Supervising Engineering groups</w:t>
      </w:r>
      <w:r>
        <w:rPr>
          <w:rFonts w:cs="Arial"/>
          <w:szCs w:val="24"/>
        </w:rPr>
        <w:t>;</w:t>
      </w:r>
      <w:r w:rsidRPr="004E5728">
        <w:rPr>
          <w:rFonts w:cs="Arial"/>
          <w:szCs w:val="24"/>
        </w:rPr>
        <w:t xml:space="preserve"> a Bulk Planning group, a Regional Planning group, a Work Execution </w:t>
      </w:r>
      <w:r>
        <w:rPr>
          <w:rFonts w:cs="Arial"/>
          <w:szCs w:val="24"/>
        </w:rPr>
        <w:t>and</w:t>
      </w:r>
      <w:r w:rsidRPr="004E5728">
        <w:rPr>
          <w:rFonts w:cs="Arial"/>
          <w:szCs w:val="24"/>
        </w:rPr>
        <w:t xml:space="preserve"> Data </w:t>
      </w:r>
      <w:r>
        <w:rPr>
          <w:rFonts w:cs="Arial"/>
          <w:szCs w:val="24"/>
        </w:rPr>
        <w:t>M</w:t>
      </w:r>
      <w:r w:rsidRPr="00924E6D">
        <w:rPr>
          <w:rFonts w:cs="Arial"/>
          <w:szCs w:val="24"/>
        </w:rPr>
        <w:t>anagement</w:t>
      </w:r>
      <w:r>
        <w:rPr>
          <w:rFonts w:cs="Arial"/>
          <w:szCs w:val="24"/>
        </w:rPr>
        <w:t xml:space="preserve"> group</w:t>
      </w:r>
      <w:r w:rsidRPr="00924E6D">
        <w:rPr>
          <w:rFonts w:cs="Arial"/>
          <w:szCs w:val="24"/>
        </w:rPr>
        <w:t>, and a</w:t>
      </w:r>
      <w:r>
        <w:rPr>
          <w:rFonts w:cs="Arial"/>
          <w:szCs w:val="24"/>
        </w:rPr>
        <w:t>n</w:t>
      </w:r>
      <w:r w:rsidRPr="00924E6D">
        <w:rPr>
          <w:rFonts w:cs="Arial"/>
          <w:szCs w:val="24"/>
        </w:rPr>
        <w:t xml:space="preserve"> Asset and Policy Strategy group.  The Regional Planning group consist</w:t>
      </w:r>
      <w:r>
        <w:rPr>
          <w:rFonts w:cs="Arial"/>
          <w:szCs w:val="24"/>
        </w:rPr>
        <w:t>s</w:t>
      </w:r>
      <w:r w:rsidRPr="00924E6D">
        <w:rPr>
          <w:rFonts w:cs="Arial"/>
          <w:szCs w:val="24"/>
        </w:rPr>
        <w:t xml:space="preserve"> of one engineering planner assigned to each of the six regions that review circuit loading, performance, and growth</w:t>
      </w:r>
      <w:r>
        <w:rPr>
          <w:rFonts w:cs="Arial"/>
          <w:szCs w:val="24"/>
        </w:rPr>
        <w:t xml:space="preserve"> within the assigned region and develop solutions for identified deficiencies</w:t>
      </w:r>
      <w:r w:rsidRPr="00924E6D">
        <w:rPr>
          <w:rFonts w:cs="Arial"/>
          <w:szCs w:val="24"/>
        </w:rPr>
        <w:t>.</w:t>
      </w:r>
      <w:r>
        <w:rPr>
          <w:rFonts w:cs="Arial"/>
          <w:szCs w:val="24"/>
        </w:rPr>
        <w:t xml:space="preserve">  </w:t>
      </w:r>
      <w:r w:rsidRPr="00924E6D">
        <w:rPr>
          <w:rFonts w:cs="Arial"/>
          <w:szCs w:val="24"/>
        </w:rPr>
        <w:t>The Bulk Electric System (BES) planning group interfaces with the work of the six regional planners</w:t>
      </w:r>
      <w:r>
        <w:rPr>
          <w:rFonts w:cs="Arial"/>
          <w:szCs w:val="24"/>
        </w:rPr>
        <w:t xml:space="preserve"> and conducts planning horizon system stability and generation or load impact studies</w:t>
      </w:r>
      <w:r w:rsidRPr="00924E6D">
        <w:rPr>
          <w:rFonts w:cs="Arial"/>
          <w:szCs w:val="24"/>
        </w:rPr>
        <w:t>.  These engineers review the interfaces with PJM and the regional impacts on the transmission system plans.</w:t>
      </w:r>
    </w:p>
    <w:p w:rsidR="00AE554B" w:rsidRDefault="00AE554B" w:rsidP="00701DCF">
      <w:pPr>
        <w:rPr>
          <w:rFonts w:cs="Arial"/>
          <w:szCs w:val="24"/>
          <w:highlight w:val="yellow"/>
        </w:rPr>
      </w:pPr>
      <w:r w:rsidRPr="00FA16C9">
        <w:rPr>
          <w:rFonts w:cs="Arial"/>
          <w:szCs w:val="24"/>
        </w:rPr>
        <w:t>The Work Execution and Data Management group supports the long term outage planning and bulk transmissions system data management.  The engineers work with operations on outage coordination for the planned projects and means to reduce the</w:t>
      </w:r>
      <w:r>
        <w:rPr>
          <w:rFonts w:cs="Arial"/>
          <w:szCs w:val="24"/>
        </w:rPr>
        <w:t xml:space="preserve"> risk of timely completion of the projects.  The focus is on the projects planned for three years out in the schedule.  Work execution has become more critical as the capital project volume has increased.  All projects go through a challenge session to review need and alternatives before the project receives approval to proceed.</w:t>
      </w:r>
    </w:p>
    <w:p w:rsidR="00AE554B" w:rsidRPr="00924E6D" w:rsidRDefault="00AE554B" w:rsidP="00701DCF">
      <w:pPr>
        <w:rPr>
          <w:rFonts w:cs="Arial"/>
          <w:szCs w:val="24"/>
        </w:rPr>
      </w:pPr>
      <w:r w:rsidRPr="00FA16C9">
        <w:rPr>
          <w:rFonts w:cs="Arial"/>
          <w:szCs w:val="24"/>
        </w:rPr>
        <w:t>The Asset and Policy Strategy group is responsible for the transmission system asset</w:t>
      </w:r>
      <w:r w:rsidRPr="00924E6D">
        <w:rPr>
          <w:rFonts w:cs="Arial"/>
          <w:szCs w:val="24"/>
        </w:rPr>
        <w:t xml:space="preserve"> planning and strategy</w:t>
      </w:r>
      <w:r>
        <w:rPr>
          <w:rFonts w:cs="Arial"/>
          <w:szCs w:val="24"/>
        </w:rPr>
        <w:t xml:space="preserve"> and the overall system health and performance.  Business cases are developed for proposed programs to address reliability or performance issues on the system.  This group manages all program type work including the substation transformer replacement program, circuit breaker replacements, MOLBAB installations, and condition assessments</w:t>
      </w:r>
      <w:r w:rsidRPr="00924E6D">
        <w:rPr>
          <w:rFonts w:cs="Arial"/>
          <w:szCs w:val="24"/>
        </w:rPr>
        <w:t>.</w:t>
      </w:r>
    </w:p>
    <w:p w:rsidR="00AE554B" w:rsidRPr="00924E6D" w:rsidRDefault="00AE554B" w:rsidP="00701DCF">
      <w:pPr>
        <w:rPr>
          <w:rFonts w:cs="Arial"/>
          <w:szCs w:val="24"/>
        </w:rPr>
      </w:pPr>
      <w:r w:rsidRPr="00924E6D">
        <w:rPr>
          <w:rFonts w:cs="Arial"/>
          <w:szCs w:val="24"/>
        </w:rPr>
        <w:t>A senior analyst prepares the five year capital plan which is used to develop the annual business plan.  The analyst translates the implementation plan into a financial plan using the financial planning and modeling application based on the projects in development and projected in-service dates.  The analyst is also responsible for capital and expenses and tracking operations and maintenance (O&amp;M) performance measures with the assistance of a contract employee.</w:t>
      </w:r>
    </w:p>
    <w:p w:rsidR="00AE554B" w:rsidRPr="000016AE" w:rsidRDefault="00AE554B" w:rsidP="00701DCF">
      <w:pPr>
        <w:tabs>
          <w:tab w:val="left" w:pos="1800"/>
        </w:tabs>
        <w:rPr>
          <w:rFonts w:cs="Arial"/>
          <w:szCs w:val="24"/>
        </w:rPr>
      </w:pPr>
      <w:r w:rsidRPr="00924E6D">
        <w:rPr>
          <w:rFonts w:cs="Arial"/>
          <w:szCs w:val="24"/>
        </w:rPr>
        <w:t xml:space="preserve">T&amp;S Standards and Methods </w:t>
      </w:r>
      <w:proofErr w:type="gramStart"/>
      <w:r w:rsidRPr="00924E6D">
        <w:rPr>
          <w:rFonts w:cs="Arial"/>
          <w:szCs w:val="24"/>
        </w:rPr>
        <w:t>consist</w:t>
      </w:r>
      <w:r>
        <w:rPr>
          <w:rFonts w:cs="Arial"/>
          <w:szCs w:val="24"/>
        </w:rPr>
        <w:t>s</w:t>
      </w:r>
      <w:proofErr w:type="gramEnd"/>
      <w:r w:rsidRPr="00924E6D">
        <w:rPr>
          <w:rFonts w:cs="Arial"/>
          <w:szCs w:val="24"/>
        </w:rPr>
        <w:t xml:space="preserve"> of three groups: Transmission Standards, Substation Standards, and Major Equipment.  Five contractors are currently providing support to the in-house staff.</w:t>
      </w:r>
    </w:p>
    <w:p w:rsidR="00AE554B" w:rsidRPr="00F053F8" w:rsidRDefault="00AE554B" w:rsidP="00701DCF">
      <w:r w:rsidRPr="00F053F8">
        <w:t xml:space="preserve">The Standards and Methods Group issues the standards and specifications online in the Fusion document management system that all employees in PPL EU have access to, including field workers via mobile devices.  Standards and Methods also </w:t>
      </w:r>
      <w:proofErr w:type="gramStart"/>
      <w:r w:rsidRPr="00F053F8">
        <w:t>prepares</w:t>
      </w:r>
      <w:proofErr w:type="gramEnd"/>
      <w:r w:rsidRPr="00F053F8">
        <w:t xml:space="preserve"> business cases to evaluate proposed new equipment or programs.  The PPL EU Standards and Methods group exchanges information with the Kentucky (KY) operating companies.  There is some similarity but the KY systems operate at different voltage levels which reduces the opportunity to develop common specifications and design/construction standards.</w:t>
      </w:r>
      <w:r w:rsidRPr="00440B39">
        <w:t xml:space="preserve"> </w:t>
      </w:r>
      <w:r w:rsidRPr="00F053F8">
        <w:rPr>
          <w:vertAlign w:val="superscript"/>
        </w:rPr>
        <w:t xml:space="preserve"> </w:t>
      </w:r>
    </w:p>
    <w:p w:rsidR="00AE554B" w:rsidRPr="00F053F8" w:rsidRDefault="00AE554B" w:rsidP="00701DCF">
      <w:r w:rsidRPr="00F053F8">
        <w:t xml:space="preserve">T&amp;S Standards and Methods </w:t>
      </w:r>
      <w:proofErr w:type="gramStart"/>
      <w:r w:rsidRPr="00F053F8">
        <w:t>is</w:t>
      </w:r>
      <w:proofErr w:type="gramEnd"/>
      <w:r w:rsidRPr="00F053F8">
        <w:t xml:space="preserve"> responsible for developing and maintaining the Transmission Engineering Instructions (TEI) and the Transmission Construction Standards (TCS).  A complete review and update of the TCS and TEI documents is expected to be completed by mid-2016.  The group is also responsible for developing and maintaining the Substation Engineering Instructions (SEI) and the Substation </w:t>
      </w:r>
      <w:r w:rsidRPr="00F053F8">
        <w:lastRenderedPageBreak/>
        <w:t>Construction Standards (SCS).</w:t>
      </w:r>
      <w:r>
        <w:t xml:space="preserve"> </w:t>
      </w:r>
      <w:r w:rsidRPr="00F053F8">
        <w:t xml:space="preserve"> An effort is underway to consolidate the specifications for common substation configurations which </w:t>
      </w:r>
      <w:proofErr w:type="gramStart"/>
      <w:r w:rsidRPr="00F053F8">
        <w:t>is</w:t>
      </w:r>
      <w:proofErr w:type="gramEnd"/>
      <w:r w:rsidRPr="00F053F8">
        <w:t xml:space="preserve"> expected to be completed by the end of 2016.  The 12 kV to 69/138 kV</w:t>
      </w:r>
      <w:r>
        <w:t>,</w:t>
      </w:r>
      <w:r w:rsidRPr="00F053F8">
        <w:t xml:space="preserve"> the 69 kV to 230 kV</w:t>
      </w:r>
      <w:r>
        <w:t>,</w:t>
      </w:r>
      <w:r w:rsidRPr="00F053F8">
        <w:t xml:space="preserve"> and the 230 kV to 500 kV specifications have been completed.</w:t>
      </w:r>
      <w:r>
        <w:t xml:space="preserve">  Current construction standards are used for additions or improvements to existing substations where practical.</w:t>
      </w:r>
    </w:p>
    <w:p w:rsidR="00AE554B" w:rsidRPr="00924E6D" w:rsidRDefault="00AE554B" w:rsidP="00701DCF">
      <w:r w:rsidRPr="00924E6D">
        <w:t>T&amp;S Standards and Methods plans to review all standards on an automated schedule that w</w:t>
      </w:r>
      <w:r>
        <w:t xml:space="preserve">ill be determined in 2016. </w:t>
      </w:r>
      <w:r w:rsidRPr="00924E6D">
        <w:t xml:space="preserve"> Changes to standards are communicated to engineers, construction, and maintenance using a messaging application which explains the change in a summarized format.</w:t>
      </w:r>
      <w:r w:rsidRPr="00440B39">
        <w:t xml:space="preserve"> </w:t>
      </w:r>
      <w:r w:rsidRPr="00924E6D">
        <w:rPr>
          <w:vertAlign w:val="superscript"/>
        </w:rPr>
        <w:t xml:space="preserve"> </w:t>
      </w:r>
    </w:p>
    <w:p w:rsidR="00AE554B" w:rsidRDefault="00AE554B" w:rsidP="00701DCF">
      <w:r w:rsidRPr="00924E6D">
        <w:t>A new process for implementing major revisions to standards and specifications was implemented in the fourth quarter of 2015.  A Traveler Document has been developed to be included in job packages for projects that will list the applicable version of specifications for the construction.  This will help to manage the transition to new or revised standards and specifications and provide a version history for the constructed assets.</w:t>
      </w:r>
    </w:p>
    <w:p w:rsidR="00AE554B" w:rsidRPr="00022A4D" w:rsidRDefault="00AE554B" w:rsidP="00701DCF">
      <w:pPr>
        <w:rPr>
          <w:rFonts w:cs="Arial"/>
          <w:szCs w:val="24"/>
        </w:rPr>
      </w:pPr>
      <w:r w:rsidRPr="00924E6D">
        <w:t xml:space="preserve">T&amp;S Standards and Methods </w:t>
      </w:r>
      <w:proofErr w:type="gramStart"/>
      <w:r w:rsidRPr="00924E6D">
        <w:t>provides</w:t>
      </w:r>
      <w:proofErr w:type="gramEnd"/>
      <w:r w:rsidRPr="00924E6D">
        <w:t xml:space="preserve"> support to T&amp;S Asset Management and T&amp;S Maintenance in developing condition-based maintenance (CBM) programs (in contrast to interval based programs) for substation equipment.  New transformers are purchased with real time monitoring of oil condition including dissolved gas analysis.  Existing transformers are beginning to be retrofitted with monitoring equipment over the next several years to support the CBM program.  Bushing condition and transformer temperature monitoring are also used to provide input to the transformer CBM program.</w:t>
      </w:r>
    </w:p>
    <w:p w:rsidR="00AE554B" w:rsidRDefault="00AE554B" w:rsidP="00701DCF">
      <w:pPr>
        <w:rPr>
          <w:rFonts w:cs="Arial"/>
          <w:szCs w:val="24"/>
        </w:rPr>
      </w:pPr>
      <w:r w:rsidRPr="004E5728">
        <w:t>The T&amp;S Major Equipment group, consisting of three PPL engineers and two contractors, works with Supply Chain on equipment bids, evaluation, and selection and also is responsible for manufacturer drawing approvals and acceptance testing.</w:t>
      </w:r>
      <w:r>
        <w:t xml:space="preserve"> </w:t>
      </w:r>
      <w:r w:rsidRPr="004E5728">
        <w:t xml:space="preserve"> Preapproved </w:t>
      </w:r>
      <w:r w:rsidRPr="004E5728">
        <w:rPr>
          <w:color w:val="000000" w:themeColor="text1"/>
        </w:rPr>
        <w:t>vendors have been identified for the major substation equipment categories including transformers, circuit breakers, switches, reactors, and switchgear.</w:t>
      </w:r>
      <w:r>
        <w:rPr>
          <w:color w:val="000000" w:themeColor="text1"/>
        </w:rPr>
        <w:t xml:space="preserve"> </w:t>
      </w:r>
      <w:r w:rsidRPr="004E5728">
        <w:rPr>
          <w:color w:val="000000" w:themeColor="text1"/>
        </w:rPr>
        <w:t xml:space="preserve"> Material specifications have been developed for standardized equipment.</w:t>
      </w:r>
      <w:r>
        <w:rPr>
          <w:color w:val="000000" w:themeColor="text1"/>
        </w:rPr>
        <w:t xml:space="preserve"> </w:t>
      </w:r>
      <w:r w:rsidRPr="004E5728">
        <w:rPr>
          <w:color w:val="000000" w:themeColor="text1"/>
        </w:rPr>
        <w:t xml:space="preserve"> In support of the 2016 &amp; 2017 work plan, T&amp;S Standards and Methods is coordinating the purchase of 30 distribution transforme</w:t>
      </w:r>
      <w:r>
        <w:rPr>
          <w:color w:val="000000" w:themeColor="text1"/>
        </w:rPr>
        <w:t>rs</w:t>
      </w:r>
      <w:r w:rsidRPr="004E5728">
        <w:rPr>
          <w:color w:val="000000" w:themeColor="text1"/>
        </w:rPr>
        <w:t>,</w:t>
      </w:r>
      <w:r>
        <w:rPr>
          <w:color w:val="000000" w:themeColor="text1"/>
        </w:rPr>
        <w:t xml:space="preserve"> </w:t>
      </w:r>
      <w:r w:rsidRPr="004E5728">
        <w:rPr>
          <w:color w:val="000000" w:themeColor="text1"/>
        </w:rPr>
        <w:t>over 30</w:t>
      </w:r>
      <w:r>
        <w:rPr>
          <w:color w:val="000000" w:themeColor="text1"/>
        </w:rPr>
        <w:t xml:space="preserve"> t</w:t>
      </w:r>
      <w:r w:rsidRPr="004E5728">
        <w:rPr>
          <w:color w:val="000000" w:themeColor="text1"/>
        </w:rPr>
        <w:t xml:space="preserve">ransmission </w:t>
      </w:r>
      <w:r>
        <w:rPr>
          <w:color w:val="000000" w:themeColor="text1"/>
        </w:rPr>
        <w:t>t</w:t>
      </w:r>
      <w:r w:rsidRPr="004E5728">
        <w:rPr>
          <w:color w:val="000000" w:themeColor="text1"/>
        </w:rPr>
        <w:t>ransformers, over 100 circuit breakers, and approximately 3-5 sets of distribution switchgear to support planned rehabilitation and new construction planned work.</w:t>
      </w:r>
      <w:r w:rsidRPr="00440B39">
        <w:t xml:space="preserve"> </w:t>
      </w:r>
    </w:p>
    <w:p w:rsidR="00AE554B" w:rsidRDefault="00AE554B" w:rsidP="00701DCF">
      <w:pPr>
        <w:rPr>
          <w:color w:val="000000" w:themeColor="text1"/>
          <w:vertAlign w:val="superscript"/>
        </w:rPr>
      </w:pPr>
      <w:r w:rsidRPr="00374232">
        <w:rPr>
          <w:color w:val="000000" w:themeColor="text1"/>
        </w:rPr>
        <w:t xml:space="preserve">T&amp;S Maintenance Engineering consists of three Supervising Engineer groups organized as: Supervising Engineer (Western region), Supervising Engineer (Eastern Region), T&amp;S Maintenance Supervisor, and a Senior Engineer. The T&amp;S Maintenance Engineering group is responsible for the maintenance program for existing and new transmission and substation assets.  The engineers in </w:t>
      </w:r>
      <w:r>
        <w:rPr>
          <w:color w:val="000000" w:themeColor="text1"/>
        </w:rPr>
        <w:t xml:space="preserve">the </w:t>
      </w:r>
      <w:r w:rsidRPr="00374232">
        <w:rPr>
          <w:color w:val="000000" w:themeColor="text1"/>
        </w:rPr>
        <w:t>two Supervising Engineer region groups each cover transmission substations for a portion of the service area.  One is responsible for substations in the western regions – Susquehanna, Harrisburg, and Lancaster with one engineer for each region.  The other is responsible for substations in the eastern regions – Northeast, Lehigh, and Central with one engineer for each region.  The T&amp;S Maintenance Supervisor group is responsible for the transmission lines with one engineer covering the western regions and one covering the eastern regions.  A third engineer is responsible for all fiber communications.</w:t>
      </w:r>
      <w:r w:rsidRPr="00440B39">
        <w:t xml:space="preserve"> </w:t>
      </w:r>
      <w:r w:rsidRPr="00374232">
        <w:rPr>
          <w:color w:val="000000" w:themeColor="text1"/>
          <w:vertAlign w:val="superscript"/>
        </w:rPr>
        <w:t xml:space="preserve"> </w:t>
      </w:r>
    </w:p>
    <w:p w:rsidR="00AE554B" w:rsidRPr="0049253E" w:rsidRDefault="00AE554B" w:rsidP="00701DCF">
      <w:r w:rsidRPr="0049253E">
        <w:rPr>
          <w:color w:val="000000" w:themeColor="text1"/>
        </w:rPr>
        <w:lastRenderedPageBreak/>
        <w:t xml:space="preserve">Trends are reviewed across the regions to identify specific models </w:t>
      </w:r>
      <w:r w:rsidRPr="0049253E">
        <w:t>and types of equipment exhibiting increasing failures.</w:t>
      </w:r>
      <w:r>
        <w:t xml:space="preserve"> </w:t>
      </w:r>
      <w:r w:rsidRPr="0049253E">
        <w:t xml:space="preserve"> Default preventive maintenance (PM) cycles are based on manufacturer recommendations but statistical failure curves are developed based on historical trends and the information is used to adjust PM cycles.</w:t>
      </w:r>
      <w:r>
        <w:t xml:space="preserve"> </w:t>
      </w:r>
      <w:r w:rsidRPr="0049253E">
        <w:t xml:space="preserve"> Feedback is provided to Asset Management based on the analysis and maintenance engineer input for potential incorporation into the programs moving forward.</w:t>
      </w:r>
    </w:p>
    <w:p w:rsidR="00AE554B" w:rsidRPr="0049253E" w:rsidRDefault="00AE554B" w:rsidP="00701DCF">
      <w:pPr>
        <w:rPr>
          <w:color w:val="000000" w:themeColor="text1"/>
        </w:rPr>
      </w:pPr>
      <w:r w:rsidRPr="0049253E">
        <w:t>T&amp;S Maintenance Engineering also tracks condition indicators such as SF</w:t>
      </w:r>
      <w:r w:rsidRPr="0049253E">
        <w:rPr>
          <w:vertAlign w:val="subscript"/>
        </w:rPr>
        <w:t>6</w:t>
      </w:r>
      <w:r w:rsidRPr="0049253E">
        <w:t xml:space="preserve"> leak rates and wood pole and cross arm replacements.  T&amp;S Asset Management makes the repair versus replace decisions for transmission </w:t>
      </w:r>
      <w:r w:rsidRPr="0049253E">
        <w:rPr>
          <w:color w:val="000000" w:themeColor="text1"/>
        </w:rPr>
        <w:t>and substation equipment.  The analysis is documented in a Technical Decision Making form.</w:t>
      </w:r>
      <w:r w:rsidRPr="00440B39">
        <w:t xml:space="preserve"> </w:t>
      </w:r>
    </w:p>
    <w:p w:rsidR="00AE554B" w:rsidRPr="00022A4D" w:rsidRDefault="00AE554B" w:rsidP="00701DCF">
      <w:pPr>
        <w:rPr>
          <w:rFonts w:ascii="Times New Roman" w:hAnsi="Times New Roman"/>
          <w:szCs w:val="24"/>
        </w:rPr>
      </w:pPr>
      <w:r w:rsidRPr="0049253E">
        <w:rPr>
          <w:color w:val="000000" w:themeColor="text1"/>
        </w:rPr>
        <w:t xml:space="preserve">T&amp;S Maintenance Engineering performs real-time operations analysis that inspects fault locations, determines cause, and proposes corrective action to Operations.  There is a small capital budget to make reliability improvements based upon this </w:t>
      </w:r>
      <w:r w:rsidRPr="0049253E">
        <w:t xml:space="preserve">work.  The 69 kV </w:t>
      </w:r>
      <w:proofErr w:type="gramStart"/>
      <w:r w:rsidRPr="0049253E">
        <w:t>system</w:t>
      </w:r>
      <w:proofErr w:type="gramEnd"/>
      <w:r w:rsidRPr="0049253E">
        <w:t xml:space="preserve"> represents about 60% of total transmission mileage and also has the most unplanned trip events.  One significant outage cause on the 69 kV </w:t>
      </w:r>
      <w:proofErr w:type="gramStart"/>
      <w:r w:rsidRPr="0049253E">
        <w:t>system</w:t>
      </w:r>
      <w:proofErr w:type="gramEnd"/>
      <w:r w:rsidRPr="0049253E">
        <w:t xml:space="preserve"> is lightning; as a result, a program to add lightning arrestors and improving pole grounding has been initiated.</w:t>
      </w:r>
    </w:p>
    <w:p w:rsidR="00AE554B" w:rsidRDefault="00AE554B" w:rsidP="00701DCF">
      <w:pPr>
        <w:rPr>
          <w:rFonts w:cs="Arial"/>
          <w:szCs w:val="24"/>
        </w:rPr>
      </w:pPr>
      <w:r w:rsidRPr="00884938">
        <w:rPr>
          <w:rFonts w:cs="Arial"/>
          <w:szCs w:val="24"/>
        </w:rPr>
        <w:t>Transmission Work Execution</w:t>
      </w:r>
      <w:r>
        <w:rPr>
          <w:rFonts w:cs="Arial"/>
          <w:szCs w:val="24"/>
        </w:rPr>
        <w:t xml:space="preserve"> schedules transmission line and substation construction and maintenance projects, prepares the overall capital project cost estimates, and coordinates the long range outage planning for the next six to 18 months.  The Outage Planners manage a long range outage plan and coordinate with Engineering, Construction, and Relay Test to obtain approval for outages for planned work from the Transmission and Distribution Control Centers.  A Program Coordinator is responsible for the scope, schedule, and budget for the assigned transmission maintenance and minor capital work execution of the planned work that is completed by Substations, Relay Test, and Distribution Operations personnel.  Project milestones, including permitting needs are input into the project scheduling and resource management application by the Project Management group.</w:t>
      </w:r>
    </w:p>
    <w:p w:rsidR="00AE554B" w:rsidRPr="003448BF" w:rsidRDefault="00AE554B" w:rsidP="00701DCF">
      <w:r w:rsidRPr="003448BF">
        <w:t>The T&amp;S Scheduler coordinates the annual project schedule with the regional schedulers.</w:t>
      </w:r>
    </w:p>
    <w:p w:rsidR="00AE554B" w:rsidRPr="005E6B12" w:rsidRDefault="00AE554B" w:rsidP="005E6B12">
      <w:pPr>
        <w:rPr>
          <w:highlight w:val="yellow"/>
        </w:rPr>
      </w:pPr>
      <w:proofErr w:type="gramStart"/>
      <w:r w:rsidRPr="005E6B12">
        <w:rPr>
          <w:b/>
        </w:rPr>
        <w:t>Engineering</w:t>
      </w:r>
      <w:r w:rsidR="005E6B12" w:rsidRPr="005E6B12">
        <w:rPr>
          <w:b/>
        </w:rPr>
        <w:t>.</w:t>
      </w:r>
      <w:proofErr w:type="gramEnd"/>
      <w:r w:rsidR="005E6B12">
        <w:t xml:space="preserve">  </w:t>
      </w:r>
      <w:r w:rsidRPr="005E6B12">
        <w:t xml:space="preserve">The following exhibit shows the organizational structure for the PPL EU T&amp;S </w:t>
      </w:r>
      <w:proofErr w:type="gramStart"/>
      <w:r w:rsidRPr="005E6B12">
        <w:t>Engineering</w:t>
      </w:r>
      <w:proofErr w:type="gramEnd"/>
      <w:r w:rsidRPr="005E6B12">
        <w:t xml:space="preserve"> organization.</w:t>
      </w:r>
    </w:p>
    <w:p w:rsidR="00AE554B" w:rsidRPr="00C00477" w:rsidRDefault="00AD2223" w:rsidP="00AD2223">
      <w:pPr>
        <w:pStyle w:val="Caption"/>
      </w:pPr>
      <w:bookmarkStart w:id="126" w:name="_Toc464552975"/>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8</w:t>
      </w:r>
      <w:r w:rsidR="00CB2B2A">
        <w:rPr>
          <w:noProof/>
        </w:rPr>
        <w:fldChar w:fldCharType="end"/>
      </w:r>
      <w:r w:rsidR="002F6183">
        <w:br/>
      </w:r>
      <w:r w:rsidR="00AE554B">
        <w:t>Engineering Organization Structure</w:t>
      </w:r>
      <w:bookmarkEnd w:id="126"/>
    </w:p>
    <w:p w:rsidR="00AE554B" w:rsidRDefault="000702C1" w:rsidP="00701DCF">
      <w:r>
        <w:rPr>
          <w:noProof/>
        </w:rPr>
        <w:drawing>
          <wp:inline distT="0" distB="0" distL="0" distR="0">
            <wp:extent cx="5943600" cy="27317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PL-EU_06116_Engineering_page25_v2.jpg"/>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731770"/>
                    </a:xfrm>
                    <a:prstGeom prst="rect">
                      <a:avLst/>
                    </a:prstGeom>
                  </pic:spPr>
                </pic:pic>
              </a:graphicData>
            </a:graphic>
          </wp:inline>
        </w:drawing>
      </w:r>
    </w:p>
    <w:p w:rsidR="00AE554B" w:rsidRDefault="00AE554B" w:rsidP="00701DCF">
      <w:pPr>
        <w:pStyle w:val="Normal-aftertable"/>
      </w:pPr>
      <w:r>
        <w:t>Source: DN 06-116</w:t>
      </w:r>
    </w:p>
    <w:p w:rsidR="00AE554B" w:rsidRPr="005D29EB" w:rsidRDefault="00AE554B" w:rsidP="00701DCF">
      <w:pPr>
        <w:pStyle w:val="Normal-aftertable"/>
      </w:pPr>
      <w:r w:rsidRPr="005D29EB">
        <w:t>T</w:t>
      </w:r>
      <w:r>
        <w:t>&amp;S</w:t>
      </w:r>
      <w:r w:rsidRPr="005D29EB">
        <w:t xml:space="preserve"> </w:t>
      </w:r>
      <w:r>
        <w:t>E</w:t>
      </w:r>
      <w:r w:rsidRPr="005D29EB">
        <w:t xml:space="preserve">ngineering includes the </w:t>
      </w:r>
      <w:r>
        <w:t>Substation Engineering</w:t>
      </w:r>
      <w:r w:rsidRPr="005D29EB">
        <w:t xml:space="preserve"> group, the </w:t>
      </w:r>
      <w:r>
        <w:t>Transmission E</w:t>
      </w:r>
      <w:r w:rsidRPr="005D29EB">
        <w:t xml:space="preserve">ngineering </w:t>
      </w:r>
      <w:r>
        <w:t xml:space="preserve">Services </w:t>
      </w:r>
      <w:r w:rsidRPr="005D29EB">
        <w:t>group, th</w:t>
      </w:r>
      <w:r>
        <w:t>e Relay Engineering group, a Principal Engineer, and</w:t>
      </w:r>
      <w:r w:rsidRPr="005D29EB">
        <w:t xml:space="preserve"> a</w:t>
      </w:r>
      <w:r>
        <w:t>n</w:t>
      </w:r>
      <w:r w:rsidRPr="005D29EB">
        <w:t xml:space="preserve"> </w:t>
      </w:r>
      <w:r>
        <w:t xml:space="preserve">EU </w:t>
      </w:r>
      <w:r w:rsidRPr="005D29EB">
        <w:t>Transmission Operations Engineering Manager.</w:t>
      </w:r>
    </w:p>
    <w:p w:rsidR="00AE554B" w:rsidRDefault="00AE554B" w:rsidP="00701DCF">
      <w:pPr>
        <w:rPr>
          <w:rFonts w:cs="Arial"/>
          <w:szCs w:val="24"/>
        </w:rPr>
      </w:pPr>
      <w:r>
        <w:rPr>
          <w:rFonts w:cs="Arial"/>
          <w:szCs w:val="24"/>
        </w:rPr>
        <w:t xml:space="preserve">The Substation Engineering group is responsible for all substation layout and design work. </w:t>
      </w:r>
      <w:r w:rsidRPr="00B0039A">
        <w:rPr>
          <w:rFonts w:cs="Arial"/>
          <w:szCs w:val="24"/>
        </w:rPr>
        <w:t xml:space="preserve"> </w:t>
      </w:r>
      <w:r>
        <w:rPr>
          <w:rFonts w:cs="Arial"/>
          <w:szCs w:val="24"/>
        </w:rPr>
        <w:t>There are three supervisors in Substation Engineering.  One supervisor supports distribution substations.  The other two supervisors support large capital transmission line and transmission substation projects.  The supervisors rely on consultants for the actual design work.  The “Anatomy of the Design Process” document summarizes the steps in the substation design process including relaying and controls.</w:t>
      </w:r>
    </w:p>
    <w:p w:rsidR="00AE554B" w:rsidRDefault="00AE554B" w:rsidP="00701DCF">
      <w:pPr>
        <w:rPr>
          <w:rFonts w:cs="Arial"/>
          <w:szCs w:val="24"/>
        </w:rPr>
      </w:pPr>
      <w:r>
        <w:rPr>
          <w:rFonts w:cs="Arial"/>
          <w:szCs w:val="24"/>
        </w:rPr>
        <w:t>T&amp;S Substation Engineering is using a 3D computer-aided design and drafting application to develop 3D models for the seven most common substation configurations expected to be used over the next five years for new substation construction.  These seven designs are expected to be used for 24 substation projects.  This approach is expected to reduce the design phase cost, time, and generation of the bill of materials by 40%.</w:t>
      </w:r>
    </w:p>
    <w:p w:rsidR="00AE554B" w:rsidRPr="00972076" w:rsidRDefault="00AE554B" w:rsidP="00701DCF">
      <w:pPr>
        <w:rPr>
          <w:rFonts w:cs="Arial"/>
          <w:color w:val="000000"/>
          <w:szCs w:val="24"/>
        </w:rPr>
      </w:pPr>
      <w:r>
        <w:rPr>
          <w:rFonts w:cs="Arial"/>
          <w:szCs w:val="24"/>
        </w:rPr>
        <w:t xml:space="preserve">The Relay Engineering group is responsible for transmission and distribution protection design and settings.  On the distribution side the group establishes circuit settings, recloser settings, and fuse sizing.  The transmission protection includes line protection and supervisory control and data acquisition system (SCADA) monitoring and control equipment.  This group is responsible for transmission loadability analysis under </w:t>
      </w:r>
      <w:r w:rsidRPr="00972076">
        <w:rPr>
          <w:rFonts w:cs="Arial"/>
          <w:color w:val="000000"/>
          <w:szCs w:val="24"/>
        </w:rPr>
        <w:t xml:space="preserve">the </w:t>
      </w:r>
      <w:r>
        <w:rPr>
          <w:rFonts w:cs="Arial"/>
          <w:color w:val="000000"/>
          <w:szCs w:val="24"/>
        </w:rPr>
        <w:t>North American Electric Reliability Corporation (</w:t>
      </w:r>
      <w:r w:rsidRPr="00972076">
        <w:rPr>
          <w:rFonts w:cs="Arial"/>
          <w:color w:val="000000"/>
          <w:szCs w:val="24"/>
        </w:rPr>
        <w:t>NERC</w:t>
      </w:r>
      <w:r>
        <w:rPr>
          <w:rFonts w:cs="Arial"/>
          <w:color w:val="000000"/>
          <w:szCs w:val="24"/>
        </w:rPr>
        <w:t>)</w:t>
      </w:r>
      <w:r w:rsidRPr="00972076">
        <w:rPr>
          <w:rFonts w:cs="Arial"/>
          <w:color w:val="000000"/>
          <w:szCs w:val="24"/>
        </w:rPr>
        <w:t xml:space="preserve"> PRC-023 </w:t>
      </w:r>
      <w:r w:rsidRPr="00972076">
        <w:rPr>
          <w:rFonts w:cs="Arial"/>
          <w:color w:val="000000"/>
          <w:shd w:val="clear" w:color="auto" w:fill="FFFFFF"/>
        </w:rPr>
        <w:t>Transmission Relay Loadability standard</w:t>
      </w:r>
      <w:r w:rsidRPr="00972076">
        <w:rPr>
          <w:rFonts w:cs="Arial"/>
          <w:color w:val="000000"/>
          <w:szCs w:val="24"/>
        </w:rPr>
        <w:t>.</w:t>
      </w:r>
    </w:p>
    <w:p w:rsidR="00AE554B" w:rsidRDefault="00AE554B" w:rsidP="00701DCF">
      <w:pPr>
        <w:rPr>
          <w:rFonts w:cs="Arial"/>
          <w:szCs w:val="24"/>
        </w:rPr>
      </w:pPr>
      <w:r>
        <w:rPr>
          <w:rFonts w:cs="Arial"/>
          <w:szCs w:val="24"/>
        </w:rPr>
        <w:t xml:space="preserve">The Transmission Engineering Services group is responsible for transmission line design.  The project engineers provide ongoing technical support to Project Management for large projects.  This group includes drafters and surveyors that support </w:t>
      </w:r>
      <w:r>
        <w:rPr>
          <w:rFonts w:cs="Arial"/>
          <w:szCs w:val="24"/>
        </w:rPr>
        <w:lastRenderedPageBreak/>
        <w:t xml:space="preserve">other groups in PPL EU as well.  The smart switch installation locations on the 69 kV </w:t>
      </w:r>
      <w:proofErr w:type="gramStart"/>
      <w:r>
        <w:rPr>
          <w:rFonts w:cs="Arial"/>
          <w:szCs w:val="24"/>
        </w:rPr>
        <w:t>system</w:t>
      </w:r>
      <w:proofErr w:type="gramEnd"/>
      <w:r>
        <w:rPr>
          <w:rFonts w:cs="Arial"/>
          <w:szCs w:val="24"/>
        </w:rPr>
        <w:t xml:space="preserve"> are identified by Asset Management and designed by this group.</w:t>
      </w:r>
    </w:p>
    <w:p w:rsidR="00AE554B" w:rsidRDefault="00AE554B" w:rsidP="00701DCF">
      <w:pPr>
        <w:rPr>
          <w:rFonts w:cs="Arial"/>
          <w:szCs w:val="24"/>
        </w:rPr>
      </w:pPr>
      <w:r>
        <w:rPr>
          <w:rFonts w:cs="Arial"/>
          <w:szCs w:val="24"/>
        </w:rPr>
        <w:t>The EU Transmission Operations Engineering Manager coordinated all engineering functions supporting the Susquehanna-Roseland 500 kV line project which was completed in May 2015.  Following the completion of the project the Transmission Operation Engineering Manager became responsible for the coordinated resolution of as-built engineering documentation and archival information through the remainder of 2015.</w:t>
      </w:r>
    </w:p>
    <w:p w:rsidR="00AE554B" w:rsidRPr="005E6B12" w:rsidRDefault="00AE554B" w:rsidP="005E6B12">
      <w:pPr>
        <w:rPr>
          <w:highlight w:val="yellow"/>
        </w:rPr>
      </w:pPr>
      <w:proofErr w:type="gramStart"/>
      <w:r w:rsidRPr="005E6B12">
        <w:rPr>
          <w:b/>
        </w:rPr>
        <w:t>Project Management</w:t>
      </w:r>
      <w:r w:rsidR="005E6B12" w:rsidRPr="005E6B12">
        <w:rPr>
          <w:b/>
        </w:rPr>
        <w:t>.</w:t>
      </w:r>
      <w:proofErr w:type="gramEnd"/>
      <w:r w:rsidR="005E6B12">
        <w:t xml:space="preserve">  </w:t>
      </w:r>
      <w:r w:rsidRPr="005E6B12">
        <w:t>The following exhibit shows the organizational structure for the PPL EU Project Management organization.</w:t>
      </w:r>
    </w:p>
    <w:p w:rsidR="00AE554B" w:rsidRPr="00C00477" w:rsidRDefault="00AD2223" w:rsidP="00AD2223">
      <w:pPr>
        <w:pStyle w:val="Caption"/>
      </w:pPr>
      <w:bookmarkStart w:id="127" w:name="_Toc464552976"/>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9</w:t>
      </w:r>
      <w:r w:rsidR="00CB2B2A">
        <w:rPr>
          <w:noProof/>
        </w:rPr>
        <w:fldChar w:fldCharType="end"/>
      </w:r>
      <w:r w:rsidR="002F6183">
        <w:br/>
      </w:r>
      <w:r w:rsidR="00AE554B">
        <w:t>Project Management Organization Structure</w:t>
      </w:r>
      <w:bookmarkEnd w:id="127"/>
    </w:p>
    <w:p w:rsidR="00AE554B" w:rsidRDefault="006E0A8D" w:rsidP="00701DCF">
      <w:r>
        <w:rPr>
          <w:noProof/>
        </w:rPr>
        <w:drawing>
          <wp:inline distT="0" distB="0" distL="0" distR="0">
            <wp:extent cx="5943600" cy="190119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PL-EU_Proj-Mgmt_01071_page106_v2.jpg"/>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901190"/>
                    </a:xfrm>
                    <a:prstGeom prst="rect">
                      <a:avLst/>
                    </a:prstGeom>
                  </pic:spPr>
                </pic:pic>
              </a:graphicData>
            </a:graphic>
          </wp:inline>
        </w:drawing>
      </w:r>
    </w:p>
    <w:p w:rsidR="00AE554B" w:rsidRDefault="00AE554B" w:rsidP="00701DCF">
      <w:pPr>
        <w:pStyle w:val="Normal-aftertable"/>
      </w:pPr>
      <w:r>
        <w:t>Source: 01-071</w:t>
      </w:r>
    </w:p>
    <w:p w:rsidR="00AE554B" w:rsidRPr="00492242" w:rsidRDefault="00AE554B" w:rsidP="00701DCF">
      <w:pPr>
        <w:pStyle w:val="Normal-aftertable"/>
      </w:pPr>
      <w:r>
        <w:t xml:space="preserve">T&amp;S Project Management consists of two Project Manager </w:t>
      </w:r>
      <w:proofErr w:type="gramStart"/>
      <w:r>
        <w:t>groups</w:t>
      </w:r>
      <w:proofErr w:type="gramEnd"/>
      <w:r>
        <w:t>, two Construction Management groups, a T&amp;S Project Controls group, and a Project Controls Leader.</w:t>
      </w:r>
      <w:r w:rsidRPr="00E013CA">
        <w:t xml:space="preserve"> </w:t>
      </w:r>
      <w:r>
        <w:t xml:space="preserve"> The Project Management group was created in 2009.</w:t>
      </w:r>
    </w:p>
    <w:p w:rsidR="00AE554B" w:rsidRDefault="00AE554B" w:rsidP="00701DCF">
      <w:pPr>
        <w:rPr>
          <w:rFonts w:cs="Arial"/>
          <w:szCs w:val="24"/>
        </w:rPr>
      </w:pPr>
      <w:r>
        <w:rPr>
          <w:rFonts w:cs="Arial"/>
          <w:szCs w:val="24"/>
        </w:rPr>
        <w:t>The two Construction Management groups are responsible for managing the construction contractors operating within their respective areas.  The supervisors in the Construction Manager group work in the field, request outages for project work through the outage request application, oversee the field construction contractors, assure materials are delivered for the work, review change orders, and schedule reviews with the project managers.  Each supervisor typically is working one to three projects at a time.</w:t>
      </w:r>
    </w:p>
    <w:p w:rsidR="00AE554B" w:rsidRDefault="00AE554B" w:rsidP="00701DCF">
      <w:pPr>
        <w:rPr>
          <w:rFonts w:cs="Arial"/>
          <w:szCs w:val="24"/>
        </w:rPr>
      </w:pPr>
      <w:r>
        <w:rPr>
          <w:rFonts w:cs="Arial"/>
          <w:szCs w:val="24"/>
        </w:rPr>
        <w:t>The two T&amp;S Project Management groups are split into north and south areas.  On average, each of the eleven project managers has five to seven projects underway at one time.  The Project Managers work with the Construction Managers during the construction phase.  The Project Managers are responsible for project scope, schedule, and budget oversight.</w:t>
      </w:r>
    </w:p>
    <w:p w:rsidR="00AE554B" w:rsidRDefault="00AE554B" w:rsidP="00701DCF">
      <w:pPr>
        <w:rPr>
          <w:rFonts w:cs="Arial"/>
          <w:szCs w:val="24"/>
        </w:rPr>
      </w:pPr>
      <w:r>
        <w:rPr>
          <w:rFonts w:cs="Arial"/>
          <w:szCs w:val="24"/>
        </w:rPr>
        <w:t>The T&amp;S Project Controls group manages the project schedules in the project scheduling and resource management application and assists the Project Managers with scheduling, controls, and project changes.  Each project manager will meet with their assigned scheduler and cost analyst on at least a weekly basis.</w:t>
      </w:r>
    </w:p>
    <w:p w:rsidR="00AE554B" w:rsidRPr="00442F53" w:rsidRDefault="00AE554B" w:rsidP="00701DCF">
      <w:pPr>
        <w:rPr>
          <w:color w:val="000000"/>
        </w:rPr>
      </w:pPr>
      <w:r w:rsidRPr="00442F53">
        <w:rPr>
          <w:color w:val="000000"/>
        </w:rPr>
        <w:lastRenderedPageBreak/>
        <w:t xml:space="preserve">The T&amp;S Project Controls Leader runs portfolio level reporting and serves as the </w:t>
      </w:r>
      <w:r w:rsidRPr="00442F53">
        <w:rPr>
          <w:rFonts w:cs="Arial"/>
          <w:color w:val="000000"/>
          <w:szCs w:val="24"/>
        </w:rPr>
        <w:t>Cost Management Excellence (</w:t>
      </w:r>
      <w:r w:rsidRPr="00442F53">
        <w:rPr>
          <w:color w:val="000000"/>
        </w:rPr>
        <w:t xml:space="preserve">CMX) forecasting tool expert.  The </w:t>
      </w:r>
      <w:r w:rsidRPr="00442F53">
        <w:rPr>
          <w:rFonts w:cs="Arial"/>
          <w:color w:val="000000"/>
          <w:szCs w:val="24"/>
        </w:rPr>
        <w:t>CMX application is an internally developed web</w:t>
      </w:r>
      <w:r>
        <w:rPr>
          <w:rFonts w:cs="Arial"/>
          <w:color w:val="000000"/>
          <w:szCs w:val="24"/>
        </w:rPr>
        <w:t>-</w:t>
      </w:r>
      <w:r w:rsidRPr="00442F53">
        <w:rPr>
          <w:rFonts w:cs="Arial"/>
          <w:color w:val="000000"/>
          <w:szCs w:val="24"/>
        </w:rPr>
        <w:t>based spreadsheet for managing project budget and actual cost information.</w:t>
      </w:r>
    </w:p>
    <w:p w:rsidR="00AE554B" w:rsidRPr="005E6B12" w:rsidRDefault="00AE554B" w:rsidP="005E6B12">
      <w:proofErr w:type="gramStart"/>
      <w:r w:rsidRPr="005E6B12">
        <w:rPr>
          <w:b/>
        </w:rPr>
        <w:t>Transmission Regulatory and Business Affairs</w:t>
      </w:r>
      <w:r w:rsidR="005E6B12" w:rsidRPr="005E6B12">
        <w:rPr>
          <w:b/>
        </w:rPr>
        <w:t>.</w:t>
      </w:r>
      <w:proofErr w:type="gramEnd"/>
      <w:r w:rsidR="005E6B12">
        <w:t xml:space="preserve">  </w:t>
      </w:r>
      <w:r w:rsidRPr="005E6B12">
        <w:t>Transmission Regulatory and Business Affairs is a single position reporting directly to the VP Transmission and Substations.  The individual is responsible for the PJM and Federal Energy Regulatory Commission (FERC) policy areas, attends PJM meetings, and leads the transmission owners group with a focus on maintaining transmission system reliability and coordinates PPL EU involvement on emerging FERC issues.</w:t>
      </w:r>
    </w:p>
    <w:p w:rsidR="00AE554B" w:rsidRPr="005E6B12" w:rsidRDefault="00AE554B" w:rsidP="005E6B12">
      <w:pPr>
        <w:rPr>
          <w:highlight w:val="yellow"/>
        </w:rPr>
      </w:pPr>
      <w:proofErr w:type="gramStart"/>
      <w:r w:rsidRPr="005E6B12">
        <w:rPr>
          <w:b/>
        </w:rPr>
        <w:t>Transmission Expansion</w:t>
      </w:r>
      <w:r w:rsidR="005E6B12" w:rsidRPr="005E6B12">
        <w:rPr>
          <w:b/>
        </w:rPr>
        <w:t>.</w:t>
      </w:r>
      <w:proofErr w:type="gramEnd"/>
      <w:r w:rsidR="005E6B12">
        <w:t xml:space="preserve">  </w:t>
      </w:r>
      <w:r w:rsidRPr="005E6B12">
        <w:t>The following exhibit shows the organizational structure for the PPL EU Transmission Expansion organization.</w:t>
      </w:r>
    </w:p>
    <w:p w:rsidR="00AE554B" w:rsidRPr="00C00477" w:rsidRDefault="00AD2223" w:rsidP="00AD2223">
      <w:pPr>
        <w:pStyle w:val="Caption"/>
      </w:pPr>
      <w:bookmarkStart w:id="128" w:name="_Toc464552977"/>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10</w:t>
      </w:r>
      <w:r w:rsidR="00CB2B2A">
        <w:rPr>
          <w:noProof/>
        </w:rPr>
        <w:fldChar w:fldCharType="end"/>
      </w:r>
      <w:r w:rsidR="002F6183">
        <w:br/>
      </w:r>
      <w:r w:rsidR="00AE554B">
        <w:t>Transmission Expansion Organization Structure</w:t>
      </w:r>
      <w:bookmarkEnd w:id="128"/>
    </w:p>
    <w:p w:rsidR="00AE554B" w:rsidRDefault="005348DB" w:rsidP="00701DCF">
      <w:pPr>
        <w:jc w:val="center"/>
      </w:pPr>
      <w:r>
        <w:rPr>
          <w:noProof/>
        </w:rPr>
        <w:drawing>
          <wp:inline distT="0" distB="0" distL="0" distR="0">
            <wp:extent cx="4257675" cy="194612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PL-EU_Trans-Exp_06116_page21_v3.jpg"/>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73542" cy="1953382"/>
                    </a:xfrm>
                    <a:prstGeom prst="rect">
                      <a:avLst/>
                    </a:prstGeom>
                  </pic:spPr>
                </pic:pic>
              </a:graphicData>
            </a:graphic>
          </wp:inline>
        </w:drawing>
      </w:r>
    </w:p>
    <w:p w:rsidR="00AE554B" w:rsidRDefault="00AE554B" w:rsidP="00701DCF">
      <w:pPr>
        <w:pStyle w:val="Normal-aftertable"/>
      </w:pPr>
      <w:r>
        <w:t>Source: DN 0</w:t>
      </w:r>
      <w:r w:rsidR="005348DB">
        <w:t>6</w:t>
      </w:r>
      <w:r>
        <w:t>-116</w:t>
      </w:r>
    </w:p>
    <w:p w:rsidR="00AE554B" w:rsidRDefault="00AE554B" w:rsidP="00701DCF">
      <w:pPr>
        <w:pStyle w:val="Normal-aftertable"/>
      </w:pPr>
      <w:r>
        <w:t>Transmission Expansion includes a Construction Manager and the Transmission Siting/Right-of-Way (ROW)/Permitting/Real Estate function.</w:t>
      </w:r>
    </w:p>
    <w:p w:rsidR="00AE554B" w:rsidRDefault="00AE554B" w:rsidP="00701DCF">
      <w:pPr>
        <w:rPr>
          <w:rFonts w:cs="Arial"/>
          <w:szCs w:val="24"/>
        </w:rPr>
      </w:pPr>
      <w:r>
        <w:rPr>
          <w:rFonts w:cs="Arial"/>
          <w:szCs w:val="24"/>
        </w:rPr>
        <w:t xml:space="preserve">The </w:t>
      </w:r>
      <w:r w:rsidRPr="00884938">
        <w:rPr>
          <w:rFonts w:cs="Arial"/>
          <w:szCs w:val="24"/>
        </w:rPr>
        <w:t>Construction Manager</w:t>
      </w:r>
      <w:r>
        <w:rPr>
          <w:rFonts w:cs="Arial"/>
          <w:szCs w:val="24"/>
        </w:rPr>
        <w:t xml:space="preserve"> formerly was responsible for construction management of approximately 100 miles of the </w:t>
      </w:r>
      <w:r w:rsidRPr="00884938">
        <w:rPr>
          <w:rFonts w:cs="Arial"/>
          <w:szCs w:val="24"/>
        </w:rPr>
        <w:t>500</w:t>
      </w:r>
      <w:r>
        <w:rPr>
          <w:rFonts w:cs="Arial"/>
          <w:szCs w:val="24"/>
        </w:rPr>
        <w:t xml:space="preserve"> </w:t>
      </w:r>
      <w:r w:rsidRPr="00884938">
        <w:rPr>
          <w:rFonts w:cs="Arial"/>
          <w:szCs w:val="24"/>
        </w:rPr>
        <w:t>kV Susquehanna-Roseland transmission line</w:t>
      </w:r>
      <w:r>
        <w:rPr>
          <w:rFonts w:cs="Arial"/>
          <w:szCs w:val="24"/>
        </w:rPr>
        <w:t xml:space="preserve"> and led a dedicated team of project managers, engineers, and support staff.  The line was energized in May 2015 and the staff has been reassigned.  The Construction Manager is overseeing restoration of the construction areas along the line route.  No other major projects of this size and scope are anticipated at this time so this person will be reassigned to other duties once restoration efforts are complete.</w:t>
      </w:r>
      <w:r w:rsidRPr="00E20F1E">
        <w:rPr>
          <w:rFonts w:cs="Arial"/>
          <w:szCs w:val="24"/>
        </w:rPr>
        <w:t xml:space="preserve"> </w:t>
      </w:r>
      <w:r>
        <w:rPr>
          <w:rFonts w:cs="Arial"/>
          <w:szCs w:val="24"/>
        </w:rPr>
        <w:t>The experience and knowledge gained from that project is being used throughout Project Management to improve overall capabilities.  Future projects of this size will likely be managed within the normal project management framework.</w:t>
      </w:r>
    </w:p>
    <w:p w:rsidR="00AE554B" w:rsidRDefault="00AE554B" w:rsidP="00701DCF">
      <w:pPr>
        <w:rPr>
          <w:rFonts w:cs="Arial"/>
          <w:szCs w:val="24"/>
        </w:rPr>
      </w:pPr>
      <w:r>
        <w:rPr>
          <w:rFonts w:cs="Arial"/>
          <w:szCs w:val="24"/>
        </w:rPr>
        <w:t>The</w:t>
      </w:r>
      <w:r w:rsidRPr="00884938">
        <w:rPr>
          <w:rFonts w:cs="Arial"/>
          <w:szCs w:val="24"/>
        </w:rPr>
        <w:t xml:space="preserve"> Transmission Siting/ROW/Permits/Real Estate</w:t>
      </w:r>
      <w:r>
        <w:rPr>
          <w:rFonts w:cs="Arial"/>
          <w:szCs w:val="24"/>
        </w:rPr>
        <w:t xml:space="preserve"> group is responsible for all right-of-way (ROW), siting, and permitting work based on projects identified by the Asset Management group.  This involves the siting process and hearings with the PA PUC.  The group works early in the project identification and design process to identify any permitting needs through a desktop review with Engineering.  About 80% of the </w:t>
      </w:r>
      <w:r>
        <w:rPr>
          <w:rFonts w:cs="Arial"/>
          <w:szCs w:val="24"/>
        </w:rPr>
        <w:lastRenderedPageBreak/>
        <w:t>permitting is environmental.  Since June 2015, the group also manages the ongoing permits and ROW agreements and any periodic payments required.  This responsibility was added as part of the restructuring due to the generation business divestiture.  Contractors are used for the actual siting and permitting work activities and are managed by this group.</w:t>
      </w:r>
    </w:p>
    <w:p w:rsidR="00AE554B" w:rsidRDefault="00AE554B" w:rsidP="00701DCF">
      <w:pPr>
        <w:rPr>
          <w:rFonts w:cs="Arial"/>
          <w:szCs w:val="24"/>
        </w:rPr>
      </w:pPr>
      <w:r>
        <w:rPr>
          <w:rFonts w:cs="Arial"/>
          <w:szCs w:val="24"/>
        </w:rPr>
        <w:t>PPL plans to relocate these remaining functions of the Transmission Expansion group to other groups in 2016.</w:t>
      </w:r>
    </w:p>
    <w:p w:rsidR="00AE554B" w:rsidRDefault="00AE554B" w:rsidP="005E6B12">
      <w:pPr>
        <w:rPr>
          <w:highlight w:val="yellow"/>
        </w:rPr>
      </w:pPr>
      <w:proofErr w:type="gramStart"/>
      <w:r w:rsidRPr="005E6B12">
        <w:rPr>
          <w:b/>
        </w:rPr>
        <w:t>Transmission Operations</w:t>
      </w:r>
      <w:r w:rsidR="005E6B12" w:rsidRPr="005E6B12">
        <w:rPr>
          <w:b/>
        </w:rPr>
        <w:t>.</w:t>
      </w:r>
      <w:proofErr w:type="gramEnd"/>
      <w:r w:rsidR="005E6B12">
        <w:t xml:space="preserve">  </w:t>
      </w:r>
      <w:r>
        <w:t>The following exhibit shows the organizational structure for the PPL EU Transmission Operations organization.</w:t>
      </w:r>
    </w:p>
    <w:p w:rsidR="00AE554B" w:rsidRPr="00C00477" w:rsidRDefault="00AD2223" w:rsidP="00AD2223">
      <w:pPr>
        <w:pStyle w:val="Caption"/>
      </w:pPr>
      <w:bookmarkStart w:id="129" w:name="_Toc464552978"/>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11</w:t>
      </w:r>
      <w:r w:rsidR="00CB2B2A">
        <w:rPr>
          <w:noProof/>
        </w:rPr>
        <w:fldChar w:fldCharType="end"/>
      </w:r>
      <w:r w:rsidR="002F6183">
        <w:br/>
      </w:r>
      <w:r w:rsidR="00AE554B">
        <w:t>Transmission Operations Organization Structure</w:t>
      </w:r>
      <w:bookmarkEnd w:id="129"/>
    </w:p>
    <w:p w:rsidR="00AE554B" w:rsidRDefault="005348DB" w:rsidP="00701DCF">
      <w:r>
        <w:rPr>
          <w:noProof/>
        </w:rPr>
        <w:drawing>
          <wp:inline distT="0" distB="0" distL="0" distR="0">
            <wp:extent cx="5943600" cy="134747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PL-EU_Trans-Ops_06116_page16_v2.jpg"/>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347470"/>
                    </a:xfrm>
                    <a:prstGeom prst="rect">
                      <a:avLst/>
                    </a:prstGeom>
                  </pic:spPr>
                </pic:pic>
              </a:graphicData>
            </a:graphic>
          </wp:inline>
        </w:drawing>
      </w:r>
    </w:p>
    <w:p w:rsidR="00AE554B" w:rsidRDefault="00AE554B" w:rsidP="00701DCF">
      <w:pPr>
        <w:pStyle w:val="Normal-aftertable"/>
      </w:pPr>
      <w:r>
        <w:t>Source: DN 06-116</w:t>
      </w:r>
    </w:p>
    <w:p w:rsidR="00AE554B" w:rsidRDefault="00AE554B" w:rsidP="00701DCF">
      <w:pPr>
        <w:pStyle w:val="Normal-aftertable"/>
      </w:pPr>
      <w:r>
        <w:t>Power Dispatch includes the Transmission Control Center (TCC) Operations group, the TCC Outage Planning Group, the Power Dispatch Supervising Engineer group, and the Power Dispatch Engineering Reliability/Risk Supervisor.</w:t>
      </w:r>
    </w:p>
    <w:p w:rsidR="00AE554B" w:rsidRDefault="00AE554B" w:rsidP="00701DCF">
      <w:pPr>
        <w:rPr>
          <w:rFonts w:cs="Arial"/>
          <w:szCs w:val="24"/>
        </w:rPr>
      </w:pPr>
      <w:r>
        <w:rPr>
          <w:rFonts w:cs="Arial"/>
          <w:szCs w:val="24"/>
        </w:rPr>
        <w:t>TCC Operations has a staff of 12 transmission system operators (TSOs) and 3 senior TSOs.  Four TSOs and a Senior TSO are on duty during the work day with two TSOs and a Senior TSO on the mid-shift and two TSO’s on duty on the overnight shift.  Next day studies are run by the operators based on expected system conditions.  The TSOs also run next week studies to compare results with the outage planning group.  The TSOs are both NERC and PJM certified.</w:t>
      </w:r>
    </w:p>
    <w:p w:rsidR="00AE554B" w:rsidRDefault="00AE554B" w:rsidP="00701DCF">
      <w:pPr>
        <w:rPr>
          <w:rFonts w:cs="Arial"/>
          <w:szCs w:val="24"/>
        </w:rPr>
      </w:pPr>
      <w:r>
        <w:rPr>
          <w:rFonts w:cs="Arial"/>
          <w:szCs w:val="24"/>
        </w:rPr>
        <w:t xml:space="preserve">TCC Outage Planning consists of seven TSOs and an Outage Reliability and Risk Supervisor.  The group evaluates clearance requests and performs contingency studies, three-month, one-month and week </w:t>
      </w:r>
      <w:proofErr w:type="gramStart"/>
      <w:r>
        <w:rPr>
          <w:rFonts w:cs="Arial"/>
          <w:szCs w:val="24"/>
        </w:rPr>
        <w:t>ahead</w:t>
      </w:r>
      <w:proofErr w:type="gramEnd"/>
      <w:r>
        <w:rPr>
          <w:rFonts w:cs="Arial"/>
          <w:szCs w:val="24"/>
        </w:rPr>
        <w:t xml:space="preserve"> studies based on planned outages, contacts transmission customers, and prepare the switching orders. </w:t>
      </w:r>
      <w:r w:rsidRPr="00DB2158">
        <w:rPr>
          <w:rFonts w:cs="Arial"/>
          <w:szCs w:val="24"/>
        </w:rPr>
        <w:t xml:space="preserve"> </w:t>
      </w:r>
      <w:r>
        <w:rPr>
          <w:rFonts w:cs="Arial"/>
          <w:szCs w:val="24"/>
        </w:rPr>
        <w:t>There is a weekly Outage Risk meeting which is a forum to review upcoming outages.</w:t>
      </w:r>
    </w:p>
    <w:p w:rsidR="00AE554B" w:rsidRDefault="00AE554B" w:rsidP="00701DCF">
      <w:pPr>
        <w:rPr>
          <w:rFonts w:cs="Arial"/>
          <w:szCs w:val="24"/>
        </w:rPr>
      </w:pPr>
      <w:r>
        <w:rPr>
          <w:rFonts w:cs="Arial"/>
          <w:szCs w:val="24"/>
        </w:rPr>
        <w:t xml:space="preserve">The </w:t>
      </w:r>
      <w:r>
        <w:t xml:space="preserve">Power Dispatch </w:t>
      </w:r>
      <w:r>
        <w:rPr>
          <w:rFonts w:cs="Arial"/>
          <w:szCs w:val="24"/>
        </w:rPr>
        <w:t xml:space="preserve">Engineering Reliability/Risk Supervisor is responsible for </w:t>
      </w:r>
      <w:r>
        <w:t xml:space="preserve">managing several long </w:t>
      </w:r>
      <w:proofErr w:type="gramStart"/>
      <w:r>
        <w:t>term</w:t>
      </w:r>
      <w:proofErr w:type="gramEnd"/>
      <w:r>
        <w:t xml:space="preserve"> IT projects for the Transmission Operations organization.</w:t>
      </w:r>
    </w:p>
    <w:p w:rsidR="00AE554B" w:rsidRDefault="00AE554B" w:rsidP="00701DCF">
      <w:pPr>
        <w:rPr>
          <w:rFonts w:cs="Arial"/>
          <w:szCs w:val="24"/>
        </w:rPr>
      </w:pPr>
      <w:r>
        <w:rPr>
          <w:rFonts w:cs="Arial"/>
          <w:szCs w:val="24"/>
        </w:rPr>
        <w:t xml:space="preserve">The two engineers in the </w:t>
      </w:r>
      <w:r>
        <w:t xml:space="preserve">Power Dispatch </w:t>
      </w:r>
      <w:r>
        <w:rPr>
          <w:rFonts w:cs="Arial"/>
          <w:szCs w:val="24"/>
        </w:rPr>
        <w:t xml:space="preserve">Supervising Engineer group interface with PJM and manage the Energy Management </w:t>
      </w:r>
      <w:r>
        <w:t xml:space="preserve">System (EMS) (PPL EU also calls it their Transmission Management System or TMS) which includes  </w:t>
      </w:r>
      <w:r>
        <w:rPr>
          <w:rFonts w:cs="Arial"/>
          <w:szCs w:val="24"/>
        </w:rPr>
        <w:t xml:space="preserve">EMS changes, model updates, requests stability studies, and resolution of modeling issues and are on the PJM Data Management Subcommittee.  The Supervising Engineer group also works </w:t>
      </w:r>
      <w:r>
        <w:rPr>
          <w:rFonts w:cs="Arial"/>
          <w:szCs w:val="24"/>
        </w:rPr>
        <w:lastRenderedPageBreak/>
        <w:t>with Transmission Asset Management on proposed projects to resolve issues identified in the long range planning studies.</w:t>
      </w:r>
    </w:p>
    <w:p w:rsidR="00AE554B" w:rsidRDefault="00AE554B" w:rsidP="00701DCF">
      <w:pPr>
        <w:rPr>
          <w:highlight w:val="yellow"/>
        </w:rPr>
      </w:pPr>
      <w:proofErr w:type="gramStart"/>
      <w:r w:rsidRPr="005E6B12">
        <w:rPr>
          <w:b/>
        </w:rPr>
        <w:t>PPL EU Compliance Organization</w:t>
      </w:r>
      <w:r w:rsidR="005E6B12" w:rsidRPr="005E6B12">
        <w:rPr>
          <w:b/>
        </w:rPr>
        <w:t>.</w:t>
      </w:r>
      <w:proofErr w:type="gramEnd"/>
      <w:r w:rsidR="005E6B12">
        <w:t xml:space="preserve">  </w:t>
      </w:r>
      <w:r>
        <w:t>The following exhibit shows the organizational structure for the T&amp;S Reliability Compliance organization.</w:t>
      </w:r>
    </w:p>
    <w:p w:rsidR="00AE554B" w:rsidRDefault="00AD2223" w:rsidP="00AD2223">
      <w:pPr>
        <w:pStyle w:val="Caption"/>
      </w:pPr>
      <w:bookmarkStart w:id="130" w:name="_Toc464552979"/>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12</w:t>
      </w:r>
      <w:r w:rsidR="00CB2B2A">
        <w:rPr>
          <w:noProof/>
        </w:rPr>
        <w:fldChar w:fldCharType="end"/>
      </w:r>
      <w:r w:rsidR="002F6183">
        <w:br/>
      </w:r>
      <w:r w:rsidR="00AE554B">
        <w:t>T&amp;S Reliability Compliance Organization Structure</w:t>
      </w:r>
      <w:bookmarkEnd w:id="130"/>
    </w:p>
    <w:p w:rsidR="00AE554B" w:rsidRDefault="00AE554B" w:rsidP="00701DCF">
      <w:pPr>
        <w:jc w:val="center"/>
      </w:pPr>
      <w:r>
        <w:rPr>
          <w:noProof/>
        </w:rPr>
        <w:drawing>
          <wp:inline distT="0" distB="0" distL="0" distR="0">
            <wp:extent cx="3981450" cy="1847850"/>
            <wp:effectExtent l="0" t="0" r="0" b="0"/>
            <wp:docPr id="34" name="Picture 34" descr="PPL-EU_06116_page20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L-EU_06116_page20_v1"/>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1847850"/>
                    </a:xfrm>
                    <a:prstGeom prst="rect">
                      <a:avLst/>
                    </a:prstGeom>
                    <a:noFill/>
                    <a:ln>
                      <a:noFill/>
                    </a:ln>
                  </pic:spPr>
                </pic:pic>
              </a:graphicData>
            </a:graphic>
          </wp:inline>
        </w:drawing>
      </w:r>
    </w:p>
    <w:p w:rsidR="00AE554B" w:rsidRDefault="00AE554B" w:rsidP="00701DCF">
      <w:pPr>
        <w:pStyle w:val="Normal-aftertable"/>
      </w:pPr>
      <w:r>
        <w:t>Source: DN 06-116</w:t>
      </w:r>
    </w:p>
    <w:p w:rsidR="00AE554B" w:rsidRDefault="00AE554B" w:rsidP="00701DCF">
      <w:pPr>
        <w:rPr>
          <w:rFonts w:cs="Arial"/>
          <w:szCs w:val="24"/>
        </w:rPr>
      </w:pPr>
      <w:bookmarkStart w:id="131" w:name="_Toc442617407"/>
      <w:r>
        <w:rPr>
          <w:rFonts w:cs="Arial"/>
          <w:szCs w:val="24"/>
        </w:rPr>
        <w:t>The T&amp;S Reliability Compliance group is responsible for oversight of the NERC compliance program at PPL EU including coordination of the annual self-certification process.  The key compliance processes have been documented.</w:t>
      </w:r>
    </w:p>
    <w:p w:rsidR="00AE554B" w:rsidRDefault="00AE554B" w:rsidP="00701DCF">
      <w:pPr>
        <w:rPr>
          <w:rFonts w:cs="Arial"/>
          <w:szCs w:val="24"/>
        </w:rPr>
      </w:pPr>
      <w:r>
        <w:rPr>
          <w:rFonts w:cs="Arial"/>
          <w:szCs w:val="24"/>
        </w:rPr>
        <w:t>Approximately 60 NERC standards are applicable to PPL EU’s registered functions, either directly or as assigned by PJM.  The standards encompass PPL EU transmission operations, maintenance, and cyber security.  In addition to PPL EU subject matter experts (SMEs), SMEs in IT are responsible for establishing and maintaining NERC Critical Infrastructure Protection (CIP) processes in conjunction with the IT Information Assurance Group.  SMEs in PPL EU operations and maintenance are responsible for compliance with applicable standards as well and have taken ownership of compliance with their respective standard requirements.  The compliance personnel meet with the SMEs and managers periodically to review compliance and identify process changes necessary to comply with new or revised NERC standards.</w:t>
      </w:r>
    </w:p>
    <w:p w:rsidR="00AE554B" w:rsidRDefault="00AE554B" w:rsidP="00701DCF">
      <w:pPr>
        <w:rPr>
          <w:rFonts w:cs="Arial"/>
          <w:szCs w:val="24"/>
        </w:rPr>
      </w:pPr>
      <w:r>
        <w:rPr>
          <w:rFonts w:cs="Arial"/>
          <w:szCs w:val="24"/>
        </w:rPr>
        <w:t>PPL EU personnel are provided a suite of computer-based training programs related to NERC compliance including physical security, responder, event reporting, restoration training, and the new CIP version 5 requirements.  A training matrix was developed and EU compliance coordinated with Technical Development and Improvement and representatives from different areas of the company to develop and deliver the training based on employee job responsibilities.</w:t>
      </w:r>
    </w:p>
    <w:p w:rsidR="00AE554B" w:rsidRDefault="00AE554B" w:rsidP="00701DCF">
      <w:pPr>
        <w:rPr>
          <w:rFonts w:cs="Arial"/>
          <w:szCs w:val="24"/>
        </w:rPr>
      </w:pPr>
      <w:r>
        <w:rPr>
          <w:rFonts w:cs="Arial"/>
          <w:szCs w:val="24"/>
        </w:rPr>
        <w:t>T&amp;S Reliability Compliance is responsible for representing PPL EU in new and revised NERC standards development processes.  There is a weekly ballot call with PPL EU and KY Utilities to discuss upcoming commenting and ballot issues and develop the company comments and voting position on NERC issues.</w:t>
      </w:r>
    </w:p>
    <w:p w:rsidR="00AE554B" w:rsidRDefault="00AE554B" w:rsidP="00701DCF">
      <w:pPr>
        <w:rPr>
          <w:rFonts w:cs="Arial"/>
          <w:szCs w:val="24"/>
        </w:rPr>
      </w:pPr>
      <w:r>
        <w:rPr>
          <w:rFonts w:cs="Arial"/>
          <w:szCs w:val="24"/>
        </w:rPr>
        <w:t xml:space="preserve">The internal assessment process is initiated annually in the fourth quarter with a risk assessment review of all applicable standards.  Increased risk is identified due to new </w:t>
      </w:r>
      <w:r>
        <w:rPr>
          <w:rFonts w:cs="Arial"/>
          <w:szCs w:val="24"/>
        </w:rPr>
        <w:lastRenderedPageBreak/>
        <w:t>standards, previously identified compliance issues, new SMEs, and other factors.  The risk assessment identifies changes that can potentially impact compliance with requirements.  Evidence is gathered for the higher risk standards and reviewed by T&amp;S Reliability Compliance.  Reliability Standard Audit Worksheets (RSAWs) are prepared every year for each applicable standard and the SMEs sign off on the RSAWs, certifying compliance with the requirements.  The T&amp;S Reliability Compliance group uses the results of the annual self-assessment for completing the annual self-certification of compliance with applicable NERC standards to Reliability First (RF).</w:t>
      </w:r>
    </w:p>
    <w:p w:rsidR="00AE554B" w:rsidRPr="00492242" w:rsidRDefault="00AE554B" w:rsidP="00701DCF">
      <w:pPr>
        <w:rPr>
          <w:rFonts w:cs="Arial"/>
          <w:szCs w:val="24"/>
        </w:rPr>
      </w:pPr>
      <w:r>
        <w:rPr>
          <w:rFonts w:cs="Arial"/>
          <w:szCs w:val="24"/>
        </w:rPr>
        <w:t>Initiatives are underway to add process control details to the compliance process documents and to automate more of the processes that deliver evidence of compliance.  T&amp;S Reliability Compliance is also considering using a SharePoint tool to manage reminders for compliance evidence submittal, review, and reporting dates.  The use of electronic signatures for the annual self-certification process is also under consideration.  The SharePoint tool would replace the assessment software that was borrowed from Environmental Compliance but has proven to be difficult to maintain.  The license for the current software will not be renewed in 2016.</w:t>
      </w:r>
    </w:p>
    <w:p w:rsidR="00AE554B" w:rsidRDefault="00AE554B" w:rsidP="00701DCF">
      <w:pPr>
        <w:rPr>
          <w:rFonts w:cs="Arial"/>
          <w:szCs w:val="24"/>
        </w:rPr>
      </w:pPr>
      <w:r>
        <w:rPr>
          <w:rFonts w:cs="Arial"/>
          <w:szCs w:val="24"/>
        </w:rPr>
        <w:t>PPL EU is on a six year NERC audit cycle since it is not registered as a Transmission Operator (TOP).  A NERC audit was conducted in 2009 and an off-site audit of selected operations and planning standards was conducted in 2015 with RF.  The last CIP standards audit conducted by RF was in 2012.</w:t>
      </w:r>
    </w:p>
    <w:p w:rsidR="00AE554B" w:rsidRDefault="00AE554B" w:rsidP="00701DCF">
      <w:pPr>
        <w:rPr>
          <w:rFonts w:cs="Arial"/>
          <w:szCs w:val="24"/>
        </w:rPr>
      </w:pPr>
      <w:r>
        <w:rPr>
          <w:rFonts w:cs="Arial"/>
          <w:szCs w:val="24"/>
        </w:rPr>
        <w:t>In the 2012 CIP audit there were two potential violations identified which were minor issues and did not result in a penalty.  There have been some subsequent self-reports on late access revocations for departing employees.</w:t>
      </w:r>
    </w:p>
    <w:p w:rsidR="00AE554B" w:rsidRDefault="00AE554B" w:rsidP="00701DCF">
      <w:pPr>
        <w:rPr>
          <w:rFonts w:cs="Arial"/>
          <w:szCs w:val="24"/>
        </w:rPr>
      </w:pPr>
      <w:r>
        <w:rPr>
          <w:rFonts w:cs="Arial"/>
          <w:szCs w:val="24"/>
        </w:rPr>
        <w:t>PPL EU has participated in a risk-based assessment review with RF and now has self-logging privileges for reporting minor risk issues identified in self assessments.  This is a much simpler process than the standard self-reporting process.</w:t>
      </w:r>
    </w:p>
    <w:p w:rsidR="00AE554B" w:rsidRDefault="00AE554B" w:rsidP="00701DCF">
      <w:pPr>
        <w:rPr>
          <w:rFonts w:cs="Arial"/>
          <w:szCs w:val="24"/>
        </w:rPr>
      </w:pPr>
      <w:r>
        <w:rPr>
          <w:rFonts w:cs="Arial"/>
          <w:szCs w:val="24"/>
        </w:rPr>
        <w:t xml:space="preserve">Although not registered as a TOP under NERC, PPL EU has been assigned certain roles to support compliance with NERC requirements by PJM and the performance of these roles by PPL EU TSOs is periodically audited by PJM.  PPL EU also has a nuclear interface agreement with a nuclear power plant in its service area which is subject to compliance with the NERC NUC-001 </w:t>
      </w:r>
      <w:r>
        <w:t>Nuclear Plant Interface Coordination</w:t>
      </w:r>
      <w:r>
        <w:rPr>
          <w:rFonts w:cs="Arial"/>
          <w:szCs w:val="24"/>
        </w:rPr>
        <w:t xml:space="preserve"> standard. </w:t>
      </w:r>
      <w:r w:rsidRPr="004E4B06">
        <w:rPr>
          <w:rFonts w:cs="Arial"/>
          <w:szCs w:val="24"/>
        </w:rPr>
        <w:t xml:space="preserve"> </w:t>
      </w:r>
      <w:r>
        <w:rPr>
          <w:rFonts w:cs="Arial"/>
          <w:szCs w:val="24"/>
        </w:rPr>
        <w:t xml:space="preserve"> A meeting is held twice a month with the nuclear plant to review service to the plant, any issues, and discuss upcoming planned outages.</w:t>
      </w:r>
    </w:p>
    <w:p w:rsidR="00910525" w:rsidRDefault="00AE554B" w:rsidP="00910525">
      <w:pPr>
        <w:pStyle w:val="Heading40"/>
      </w:pPr>
      <w:proofErr w:type="gramStart"/>
      <w:r w:rsidRPr="005E6B12">
        <w:t>Transmission System Asset Age</w:t>
      </w:r>
      <w:bookmarkEnd w:id="131"/>
      <w:r w:rsidR="005E6B12" w:rsidRPr="005E6B12">
        <w:t>.</w:t>
      </w:r>
      <w:proofErr w:type="gramEnd"/>
    </w:p>
    <w:p w:rsidR="00AE554B" w:rsidRDefault="00AE554B" w:rsidP="00701DCF">
      <w:pPr>
        <w:rPr>
          <w:rFonts w:cs="Arial"/>
          <w:szCs w:val="24"/>
        </w:rPr>
      </w:pPr>
      <w:r>
        <w:rPr>
          <w:rFonts w:cs="Arial"/>
          <w:szCs w:val="24"/>
        </w:rPr>
        <w:t xml:space="preserve">The advancing age of the transmission infrastructure is driving the large investment in T&amp;S along with the focus on enhanced reliability.  The improvements are primarily being made in the 69 kV </w:t>
      </w:r>
      <w:proofErr w:type="gramStart"/>
      <w:r>
        <w:rPr>
          <w:rFonts w:cs="Arial"/>
          <w:szCs w:val="24"/>
        </w:rPr>
        <w:t>system</w:t>
      </w:r>
      <w:proofErr w:type="gramEnd"/>
      <w:r>
        <w:rPr>
          <w:rFonts w:cs="Arial"/>
          <w:szCs w:val="24"/>
        </w:rPr>
        <w:t xml:space="preserve">, whose assets have an average age of 67 years.  The current focus is to catch up on power transformers and transmission line structures needing replacement.  The 230 kV and above transmission system is looped.  The biggest reliability challenges are on the 69 kV </w:t>
      </w:r>
      <w:proofErr w:type="gramStart"/>
      <w:r>
        <w:rPr>
          <w:rFonts w:cs="Arial"/>
          <w:szCs w:val="24"/>
        </w:rPr>
        <w:t>system</w:t>
      </w:r>
      <w:proofErr w:type="gramEnd"/>
      <w:r>
        <w:rPr>
          <w:rFonts w:cs="Arial"/>
          <w:szCs w:val="24"/>
        </w:rPr>
        <w:t>, which directly serves about 130 primary voltage customers and many distribution substations via direct radial line taps.  There are some new underground 69 kV facilities being installed to replace underground facilities installed in the 1960–70s timeframe.</w:t>
      </w:r>
    </w:p>
    <w:p w:rsidR="00AE554B" w:rsidRDefault="00AE554B" w:rsidP="00910525">
      <w:pPr>
        <w:pStyle w:val="Heading40"/>
      </w:pPr>
      <w:bookmarkStart w:id="132" w:name="_Toc442617408"/>
      <w:r>
        <w:lastRenderedPageBreak/>
        <w:t xml:space="preserve">FERC </w:t>
      </w:r>
      <w:r w:rsidRPr="00910525">
        <w:t>Order</w:t>
      </w:r>
      <w:r>
        <w:t xml:space="preserve"> 1000</w:t>
      </w:r>
      <w:bookmarkEnd w:id="132"/>
    </w:p>
    <w:p w:rsidR="00AE554B" w:rsidRDefault="00AE554B" w:rsidP="00701DCF">
      <w:pPr>
        <w:rPr>
          <w:rFonts w:cs="Arial"/>
          <w:szCs w:val="24"/>
        </w:rPr>
      </w:pPr>
      <w:r w:rsidRPr="004642C3">
        <w:t>The</w:t>
      </w:r>
      <w:r>
        <w:t xml:space="preserve"> </w:t>
      </w:r>
      <w:r w:rsidRPr="007E3870">
        <w:rPr>
          <w:color w:val="000000"/>
          <w:bdr w:val="none" w:sz="0" w:space="0" w:color="auto" w:frame="1"/>
        </w:rPr>
        <w:t>Federal Energy Regulatory Commission (FERC)</w:t>
      </w:r>
      <w:r>
        <w:t xml:space="preserve"> implemented Order 1000 in </w:t>
      </w:r>
      <w:r w:rsidRPr="004642C3">
        <w:t>2011</w:t>
      </w:r>
      <w:r>
        <w:t xml:space="preserve"> with a goal of fostering collaboration in expanding the interconnected transmission systems in a manner that supports equitable and economic cost allocations for any new transmission lines.</w:t>
      </w:r>
      <w:r w:rsidRPr="00B43C84">
        <w:rPr>
          <w:rFonts w:cs="Arial"/>
          <w:szCs w:val="24"/>
        </w:rPr>
        <w:t xml:space="preserve"> </w:t>
      </w:r>
      <w:r>
        <w:rPr>
          <w:rFonts w:cs="Arial"/>
          <w:szCs w:val="24"/>
        </w:rPr>
        <w:t xml:space="preserve"> PJM uses a process for resolving transmission violations under FERC Order 1000 by providing open “windows” for presentation of competitive solutions.  Recent PPL EU transmission projects include the Northeast Poconos line</w:t>
      </w:r>
      <w:r w:rsidRPr="00703252">
        <w:rPr>
          <w:rFonts w:cs="Arial"/>
          <w:szCs w:val="24"/>
        </w:rPr>
        <w:t xml:space="preserve"> </w:t>
      </w:r>
      <w:r>
        <w:rPr>
          <w:rFonts w:cs="Arial"/>
          <w:szCs w:val="24"/>
        </w:rPr>
        <w:t xml:space="preserve">and the Susquehanna-Roseland line that resolve PJM congestion issues.  The existing owner does not necessarily have first right to the work involved in correcting violations.  Prequalified transmission companies can </w:t>
      </w:r>
      <w:r w:rsidRPr="00972076">
        <w:rPr>
          <w:rFonts w:cs="Arial"/>
          <w:color w:val="000000"/>
          <w:szCs w:val="24"/>
        </w:rPr>
        <w:t xml:space="preserve">submit a proposal to PJM to correct the conditions causing the violation.  PPL EU is prequalified to bid on transmission work in the PJM region, the Southwest Power Pool (SPP), </w:t>
      </w:r>
      <w:r>
        <w:rPr>
          <w:rFonts w:cs="Arial"/>
          <w:color w:val="000000"/>
          <w:szCs w:val="24"/>
        </w:rPr>
        <w:t>New York Independent System Operator (NYISO) and</w:t>
      </w:r>
      <w:r w:rsidRPr="00972076">
        <w:rPr>
          <w:rFonts w:cs="Arial"/>
          <w:color w:val="000000"/>
          <w:szCs w:val="24"/>
        </w:rPr>
        <w:t xml:space="preserve"> </w:t>
      </w:r>
      <w:r w:rsidRPr="00972076">
        <w:rPr>
          <w:rStyle w:val="Emphasis"/>
          <w:rFonts w:cs="Arial"/>
          <w:bCs/>
          <w:color w:val="000000"/>
          <w:szCs w:val="24"/>
          <w:shd w:val="clear" w:color="auto" w:fill="FFFFFF"/>
        </w:rPr>
        <w:t>Midcontinent Independent System Operator (</w:t>
      </w:r>
      <w:r w:rsidRPr="00972076">
        <w:rPr>
          <w:rFonts w:cs="Arial"/>
          <w:color w:val="000000"/>
          <w:szCs w:val="24"/>
        </w:rPr>
        <w:t>MISO) region.  An</w:t>
      </w:r>
      <w:r>
        <w:rPr>
          <w:rFonts w:cs="Arial"/>
          <w:color w:val="000000"/>
          <w:szCs w:val="24"/>
        </w:rPr>
        <w:t xml:space="preserve">y approved transmission company has an opportunity to </w:t>
      </w:r>
      <w:r w:rsidRPr="00972076">
        <w:rPr>
          <w:rFonts w:cs="Arial"/>
          <w:color w:val="000000"/>
          <w:szCs w:val="24"/>
        </w:rPr>
        <w:t>submit multiple</w:t>
      </w:r>
      <w:r>
        <w:rPr>
          <w:rFonts w:cs="Arial"/>
          <w:szCs w:val="24"/>
        </w:rPr>
        <w:t xml:space="preserve"> approaches to PJM to resolve a violation on its facilities.</w:t>
      </w:r>
    </w:p>
    <w:p w:rsidR="00AE554B" w:rsidRDefault="00AE554B" w:rsidP="005E6B12">
      <w:pPr>
        <w:pStyle w:val="Heading40"/>
      </w:pPr>
      <w:bookmarkStart w:id="133" w:name="_Toc442617409"/>
      <w:r>
        <w:t>Transmission Affiliate</w:t>
      </w:r>
      <w:bookmarkEnd w:id="133"/>
    </w:p>
    <w:p w:rsidR="00AE554B" w:rsidRDefault="00AE554B" w:rsidP="00701DCF">
      <w:pPr>
        <w:rPr>
          <w:rFonts w:cs="Arial"/>
          <w:szCs w:val="24"/>
        </w:rPr>
      </w:pPr>
      <w:r>
        <w:rPr>
          <w:rFonts w:cs="Arial"/>
          <w:szCs w:val="24"/>
        </w:rPr>
        <w:t xml:space="preserve">PPL Corporation formed a separate transmission company, TransLink, in December 2015 to provide transmission solutions under the FERC Order 1000 provisions in the regions where it is registered.  </w:t>
      </w:r>
      <w:r>
        <w:rPr>
          <w:rFonts w:cs="Arial"/>
          <w:color w:val="000000"/>
          <w:szCs w:val="24"/>
        </w:rPr>
        <w:t>Project Compass, a three to four</w:t>
      </w:r>
      <w:r w:rsidRPr="007E3870">
        <w:rPr>
          <w:rFonts w:cs="Arial"/>
          <w:color w:val="000000"/>
          <w:szCs w:val="24"/>
        </w:rPr>
        <w:t xml:space="preserve"> billion dollar transmission line planned to connect the PJM Interconnection to the New York Independent System Operator grid, </w:t>
      </w:r>
      <w:r>
        <w:rPr>
          <w:rFonts w:cs="Arial"/>
          <w:color w:val="000000"/>
          <w:szCs w:val="24"/>
        </w:rPr>
        <w:t>was one of the drivers to</w:t>
      </w:r>
      <w:r w:rsidRPr="007E3870">
        <w:rPr>
          <w:rFonts w:cs="Arial"/>
          <w:color w:val="000000"/>
          <w:szCs w:val="24"/>
        </w:rPr>
        <w:t xml:space="preserve"> form</w:t>
      </w:r>
      <w:r>
        <w:rPr>
          <w:rFonts w:cs="Arial"/>
          <w:color w:val="000000"/>
          <w:szCs w:val="24"/>
        </w:rPr>
        <w:t xml:space="preserve"> </w:t>
      </w:r>
      <w:r w:rsidRPr="007E3870">
        <w:rPr>
          <w:rFonts w:cs="Arial"/>
          <w:color w:val="000000"/>
          <w:szCs w:val="24"/>
        </w:rPr>
        <w:t xml:space="preserve">the </w:t>
      </w:r>
      <w:r>
        <w:rPr>
          <w:rFonts w:cs="Arial"/>
          <w:color w:val="000000"/>
          <w:szCs w:val="24"/>
        </w:rPr>
        <w:t>separate transmission company</w:t>
      </w:r>
      <w:r w:rsidRPr="007E3870">
        <w:rPr>
          <w:rFonts w:cs="Arial"/>
          <w:color w:val="000000"/>
          <w:szCs w:val="24"/>
        </w:rPr>
        <w:t xml:space="preserve">.  PPL EU plans </w:t>
      </w:r>
      <w:r>
        <w:rPr>
          <w:rFonts w:cs="Arial"/>
          <w:color w:val="000000"/>
          <w:szCs w:val="24"/>
        </w:rPr>
        <w:t xml:space="preserve">to </w:t>
      </w:r>
      <w:r w:rsidRPr="007E3870">
        <w:rPr>
          <w:rFonts w:cs="Arial"/>
          <w:color w:val="000000"/>
          <w:szCs w:val="24"/>
        </w:rPr>
        <w:t>begin seeking approval for the initial 500 to 600 million dollar segment</w:t>
      </w:r>
      <w:r>
        <w:rPr>
          <w:rFonts w:cs="Arial"/>
          <w:color w:val="000000"/>
          <w:szCs w:val="24"/>
        </w:rPr>
        <w:t>.</w:t>
      </w:r>
      <w:r w:rsidRPr="007E3870">
        <w:rPr>
          <w:rFonts w:cs="Arial"/>
          <w:color w:val="000000"/>
          <w:szCs w:val="24"/>
        </w:rPr>
        <w:t xml:space="preserve">  The ownership </w:t>
      </w:r>
      <w:r>
        <w:rPr>
          <w:rFonts w:cs="Arial"/>
          <w:color w:val="000000"/>
          <w:szCs w:val="24"/>
        </w:rPr>
        <w:t xml:space="preserve">for the project will be under the newly formed company </w:t>
      </w:r>
      <w:r>
        <w:rPr>
          <w:rFonts w:cs="Arial"/>
          <w:szCs w:val="24"/>
        </w:rPr>
        <w:t>PPL TransLink.  At this time, it is contemplated that only new transmission assets will be included in the TransLink company.</w:t>
      </w:r>
    </w:p>
    <w:p w:rsidR="00AE554B" w:rsidRDefault="00AE554B" w:rsidP="005E6B12">
      <w:pPr>
        <w:pStyle w:val="Heading40"/>
      </w:pPr>
      <w:bookmarkStart w:id="134" w:name="_Toc442617410"/>
      <w:r>
        <w:t>Transmission Operations Model</w:t>
      </w:r>
      <w:bookmarkEnd w:id="134"/>
    </w:p>
    <w:p w:rsidR="00AE554B" w:rsidRDefault="00AE554B" w:rsidP="00701DCF">
      <w:pPr>
        <w:rPr>
          <w:rFonts w:cs="Arial"/>
          <w:szCs w:val="24"/>
        </w:rPr>
      </w:pPr>
      <w:r>
        <w:rPr>
          <w:rFonts w:cs="Arial"/>
          <w:szCs w:val="24"/>
        </w:rPr>
        <w:t>Transmission and Substations is using the Transmission Operations Model (TOM) to manage the transmission planning, engineering, procurement, and construction process.  In its early stages, the TOM process was advocated by a group of employees that attended a frontline transmission leadership workshop and returned energized by the concept.  Now the process is well-imbedded in the organization such that current and future projects are specifically identified, have sound cost estimates, and are managed within a clearly specified process by the T&amp;S organization.  This has helped to set expectations and improve organizational alignment for projects.</w:t>
      </w:r>
    </w:p>
    <w:p w:rsidR="00AE554B" w:rsidRDefault="00AE554B" w:rsidP="00701DCF">
      <w:proofErr w:type="gramStart"/>
      <w:r w:rsidRPr="005E6B12">
        <w:rPr>
          <w:b/>
        </w:rPr>
        <w:t>TOM Project Phases and Gates</w:t>
      </w:r>
      <w:r w:rsidR="005E6B12" w:rsidRPr="005E6B12">
        <w:rPr>
          <w:b/>
        </w:rPr>
        <w:t>.</w:t>
      </w:r>
      <w:proofErr w:type="gramEnd"/>
      <w:r w:rsidR="005E6B12">
        <w:t xml:space="preserve">  </w:t>
      </w:r>
      <w:r>
        <w:t>The model defines six phases in the life cycle of projects that are managed as a project moves from conception to completion:</w:t>
      </w:r>
    </w:p>
    <w:p w:rsidR="00AE554B" w:rsidRPr="00B33275" w:rsidRDefault="00AE554B" w:rsidP="002F6183">
      <w:pPr>
        <w:pStyle w:val="Bullet"/>
        <w:keepNext/>
      </w:pPr>
      <w:r>
        <w:t>Asset Planning – establish the need for a project</w:t>
      </w:r>
    </w:p>
    <w:p w:rsidR="00AE554B" w:rsidRPr="00B33275" w:rsidRDefault="00AE554B" w:rsidP="00701DCF">
      <w:pPr>
        <w:pStyle w:val="Bullet"/>
      </w:pPr>
      <w:r>
        <w:t>Development – formalize the project need and plan</w:t>
      </w:r>
    </w:p>
    <w:p w:rsidR="00AE554B" w:rsidRPr="00B33275" w:rsidRDefault="00AE554B" w:rsidP="00701DCF">
      <w:pPr>
        <w:pStyle w:val="Bullet"/>
      </w:pPr>
      <w:r>
        <w:t>Engineering – completion of the project design</w:t>
      </w:r>
    </w:p>
    <w:p w:rsidR="00AE554B" w:rsidRPr="00B33275" w:rsidRDefault="00AE554B" w:rsidP="00701DCF">
      <w:pPr>
        <w:pStyle w:val="Bullet"/>
      </w:pPr>
      <w:r w:rsidRPr="00B33275">
        <w:t>Construction Plan</w:t>
      </w:r>
      <w:r>
        <w:t>ning – select a contractor and prepare for construction</w:t>
      </w:r>
    </w:p>
    <w:p w:rsidR="00AE554B" w:rsidRDefault="00AE554B" w:rsidP="00701DCF">
      <w:pPr>
        <w:pStyle w:val="Bullet"/>
      </w:pPr>
      <w:r>
        <w:t>Project Execution – construct the project</w:t>
      </w:r>
    </w:p>
    <w:p w:rsidR="00AE554B" w:rsidRDefault="00AE554B" w:rsidP="00701DCF">
      <w:pPr>
        <w:pStyle w:val="Bullet"/>
      </w:pPr>
      <w:r w:rsidRPr="00B33275">
        <w:t>Closeout</w:t>
      </w:r>
      <w:r>
        <w:t xml:space="preserve"> – validate construction completion and prepare as-built information</w:t>
      </w:r>
    </w:p>
    <w:p w:rsidR="00AE554B" w:rsidRPr="00B33275" w:rsidRDefault="00AE554B" w:rsidP="00701DCF">
      <w:pPr>
        <w:pStyle w:val="Normal-aftertable"/>
      </w:pPr>
      <w:r w:rsidRPr="00B33275">
        <w:lastRenderedPageBreak/>
        <w:t xml:space="preserve">The </w:t>
      </w:r>
      <w:r>
        <w:t>T</w:t>
      </w:r>
      <w:r w:rsidRPr="00B33275">
        <w:t xml:space="preserve">OM process employs </w:t>
      </w:r>
      <w:r>
        <w:t>six</w:t>
      </w:r>
      <w:r w:rsidRPr="00B33275">
        <w:t xml:space="preserve"> </w:t>
      </w:r>
      <w:r>
        <w:t>project milestones</w:t>
      </w:r>
      <w:r w:rsidRPr="00B33275">
        <w:t xml:space="preserve">, or gates, in the life cycle of a </w:t>
      </w:r>
      <w:r>
        <w:t>transmission</w:t>
      </w:r>
      <w:r w:rsidRPr="00B33275">
        <w:t xml:space="preserve"> project.</w:t>
      </w:r>
      <w:r>
        <w:t xml:space="preserve">  Projects require approval at the end of each phase prior to movement to the next phase.  These project approval points are known as gates:</w:t>
      </w:r>
    </w:p>
    <w:p w:rsidR="00AE554B" w:rsidRPr="00B33275" w:rsidRDefault="00AE554B" w:rsidP="00701DCF">
      <w:pPr>
        <w:pStyle w:val="Bullet"/>
      </w:pPr>
      <w:r w:rsidRPr="00B33275">
        <w:t>Gate 0 –</w:t>
      </w:r>
      <w:r>
        <w:t xml:space="preserve"> approval of a proposed project for further development</w:t>
      </w:r>
    </w:p>
    <w:p w:rsidR="00AE554B" w:rsidRPr="00B33275" w:rsidRDefault="00AE554B" w:rsidP="00701DCF">
      <w:pPr>
        <w:pStyle w:val="Bullet"/>
      </w:pPr>
      <w:r w:rsidRPr="00B33275">
        <w:t xml:space="preserve">Gate 1 – </w:t>
      </w:r>
      <w:r>
        <w:t>approval for project design</w:t>
      </w:r>
    </w:p>
    <w:p w:rsidR="00AE554B" w:rsidRPr="00B33275" w:rsidRDefault="00AE554B" w:rsidP="00701DCF">
      <w:pPr>
        <w:pStyle w:val="Bullet"/>
      </w:pPr>
      <w:r w:rsidRPr="00B33275">
        <w:t>Gate 2 –</w:t>
      </w:r>
      <w:r>
        <w:t xml:space="preserve"> approval for project construction planning</w:t>
      </w:r>
    </w:p>
    <w:p w:rsidR="00AE554B" w:rsidRPr="00B33275" w:rsidRDefault="00AE554B" w:rsidP="00701DCF">
      <w:pPr>
        <w:pStyle w:val="Bullet"/>
      </w:pPr>
      <w:r w:rsidRPr="00B33275">
        <w:t xml:space="preserve">Gate 3 – </w:t>
      </w:r>
      <w:r>
        <w:t>approval for construction</w:t>
      </w:r>
    </w:p>
    <w:p w:rsidR="00AE554B" w:rsidRDefault="00AE554B" w:rsidP="00701DCF">
      <w:pPr>
        <w:pStyle w:val="Bullet"/>
      </w:pPr>
      <w:r w:rsidRPr="00B33275">
        <w:t xml:space="preserve">Gate 4 – </w:t>
      </w:r>
      <w:r>
        <w:t>approval of construction completion</w:t>
      </w:r>
    </w:p>
    <w:p w:rsidR="00AE554B" w:rsidRPr="00B33275" w:rsidRDefault="00AE554B" w:rsidP="00701DCF">
      <w:pPr>
        <w:pStyle w:val="Bullet"/>
      </w:pPr>
      <w:r>
        <w:t>Gate 5 – approval of project closeout</w:t>
      </w:r>
    </w:p>
    <w:p w:rsidR="00AE554B" w:rsidRDefault="00AE554B" w:rsidP="00701DCF">
      <w:pPr>
        <w:pStyle w:val="Normal-aftertable"/>
      </w:pPr>
      <w:r>
        <w:t xml:space="preserve">The need for proposed projects is documented in a Purpose and Necessity form that identifies the project scope and need date.  Gate 0 approval releases the project for design.  Completion of design engineering is a trigger for Gate 1 approval.  The project then moves into Gate 2 which is the contracting phase.  Selection of the contractor is the trigger for approval of Gate 2.  Gate 3 is the field construction phase.  Gate 4 is the project closeout phase, including completion of any environmental permit requirements which can take up to six to nine months for </w:t>
      </w:r>
      <w:proofErr w:type="spellStart"/>
      <w:r>
        <w:t>revegetation</w:t>
      </w:r>
      <w:proofErr w:type="spellEnd"/>
      <w:r>
        <w:t>.  Gate 5 is approved when the project and all associated paperwork are completed.</w:t>
      </w:r>
    </w:p>
    <w:p w:rsidR="00AE554B" w:rsidRDefault="00AE554B" w:rsidP="00701DCF">
      <w:pPr>
        <w:rPr>
          <w:rFonts w:cs="Arial"/>
          <w:szCs w:val="24"/>
        </w:rPr>
      </w:pPr>
      <w:r>
        <w:rPr>
          <w:rFonts w:cs="Arial"/>
          <w:szCs w:val="24"/>
        </w:rPr>
        <w:t>P</w:t>
      </w:r>
      <w:r w:rsidRPr="00652065">
        <w:rPr>
          <w:rFonts w:cs="Arial"/>
          <w:szCs w:val="24"/>
        </w:rPr>
        <w:t xml:space="preserve">roject milestones and gates </w:t>
      </w:r>
      <w:r>
        <w:rPr>
          <w:rFonts w:cs="Arial"/>
          <w:szCs w:val="24"/>
        </w:rPr>
        <w:t>are tracked in</w:t>
      </w:r>
      <w:r w:rsidRPr="00652065">
        <w:rPr>
          <w:rFonts w:cs="Arial"/>
          <w:szCs w:val="24"/>
        </w:rPr>
        <w:t xml:space="preserve"> an Access database</w:t>
      </w:r>
      <w:r>
        <w:rPr>
          <w:rFonts w:cs="Arial"/>
          <w:szCs w:val="24"/>
        </w:rPr>
        <w:t xml:space="preserve"> which is planned to be</w:t>
      </w:r>
      <w:r w:rsidRPr="00652065">
        <w:rPr>
          <w:rFonts w:cs="Arial"/>
          <w:szCs w:val="24"/>
        </w:rPr>
        <w:t xml:space="preserve"> converted to </w:t>
      </w:r>
      <w:r>
        <w:rPr>
          <w:rFonts w:cs="Arial"/>
          <w:szCs w:val="24"/>
        </w:rPr>
        <w:t>the project scheduling and resource management application</w:t>
      </w:r>
      <w:r w:rsidRPr="00652065">
        <w:rPr>
          <w:rFonts w:cs="Arial"/>
          <w:szCs w:val="24"/>
        </w:rPr>
        <w:t xml:space="preserve"> by mid-</w:t>
      </w:r>
      <w:r>
        <w:rPr>
          <w:rFonts w:cs="Arial"/>
          <w:szCs w:val="24"/>
        </w:rPr>
        <w:t>2016.</w:t>
      </w:r>
    </w:p>
    <w:p w:rsidR="00AE554B" w:rsidRPr="00E71A72" w:rsidRDefault="00AE554B" w:rsidP="00701DCF">
      <w:pPr>
        <w:rPr>
          <w:rFonts w:cs="Arial"/>
          <w:szCs w:val="24"/>
        </w:rPr>
      </w:pPr>
      <w:r>
        <w:rPr>
          <w:rFonts w:cs="Arial"/>
          <w:szCs w:val="24"/>
        </w:rPr>
        <w:t>A TOM Task Force, consisting of representatives from each phase of the TOM process, meets regularly to discuss and prioritize TOM process gaps and sponsor groups to work on solutions to address the gaps.  S</w:t>
      </w:r>
      <w:r w:rsidRPr="00E71A72">
        <w:rPr>
          <w:rFonts w:cs="Arial"/>
          <w:szCs w:val="24"/>
        </w:rPr>
        <w:t xml:space="preserve">everal initiatives </w:t>
      </w:r>
      <w:r>
        <w:rPr>
          <w:rFonts w:cs="Arial"/>
          <w:szCs w:val="24"/>
        </w:rPr>
        <w:t xml:space="preserve">are </w:t>
      </w:r>
      <w:r w:rsidRPr="00E71A72">
        <w:rPr>
          <w:rFonts w:cs="Arial"/>
          <w:szCs w:val="24"/>
        </w:rPr>
        <w:t>underway to review the TOM</w:t>
      </w:r>
      <w:r>
        <w:rPr>
          <w:rFonts w:cs="Arial"/>
          <w:szCs w:val="24"/>
        </w:rPr>
        <w:t>,</w:t>
      </w:r>
      <w:r w:rsidRPr="00E71A72">
        <w:rPr>
          <w:rFonts w:cs="Arial"/>
          <w:szCs w:val="24"/>
        </w:rPr>
        <w:t xml:space="preserve"> supporting project procedures, </w:t>
      </w:r>
      <w:r>
        <w:rPr>
          <w:rFonts w:cs="Arial"/>
          <w:szCs w:val="24"/>
        </w:rPr>
        <w:t xml:space="preserve">and </w:t>
      </w:r>
      <w:r w:rsidRPr="00E71A72">
        <w:rPr>
          <w:rFonts w:cs="Arial"/>
          <w:szCs w:val="24"/>
        </w:rPr>
        <w:t xml:space="preserve">tools and </w:t>
      </w:r>
      <w:r>
        <w:rPr>
          <w:rFonts w:cs="Arial"/>
          <w:szCs w:val="24"/>
        </w:rPr>
        <w:t>to update the gate deliverables.  There are still challenges with consistent implementation of the TOM process that has been in place since 2014.  A written procedure is under development to formalize the project approval process for movement of projects through each stage.  In 2015, approximately forty projects were initiated with compressed timelines that allowed for less design time and compressed construction windows</w:t>
      </w:r>
      <w:r w:rsidRPr="00E71A72">
        <w:rPr>
          <w:rFonts w:cs="Arial"/>
          <w:szCs w:val="24"/>
        </w:rPr>
        <w:t>.</w:t>
      </w:r>
    </w:p>
    <w:p w:rsidR="00AE554B" w:rsidRPr="00492242" w:rsidRDefault="00AE554B" w:rsidP="00701DCF">
      <w:pPr>
        <w:rPr>
          <w:rFonts w:cs="Arial"/>
          <w:szCs w:val="24"/>
        </w:rPr>
      </w:pPr>
      <w:r>
        <w:rPr>
          <w:rFonts w:cs="Arial"/>
          <w:szCs w:val="24"/>
        </w:rPr>
        <w:t>Over the past year, more accountability has been placed on the gate owners to manage their respective parts of the TOM process which has increased confidence in the overall financial plan accuracy.  Annual capital spend has tripled since 2011 and will remain at high levels through the current five year business plan horizon of 2019.</w:t>
      </w:r>
    </w:p>
    <w:p w:rsidR="00AE554B" w:rsidRDefault="00AE554B" w:rsidP="00701DCF">
      <w:pPr>
        <w:rPr>
          <w:rFonts w:cs="Arial"/>
          <w:szCs w:val="24"/>
        </w:rPr>
      </w:pPr>
      <w:proofErr w:type="gramStart"/>
      <w:r w:rsidRPr="005E6B12">
        <w:rPr>
          <w:b/>
        </w:rPr>
        <w:t>Project Review Meetings</w:t>
      </w:r>
      <w:r w:rsidR="005E6B12" w:rsidRPr="005E6B12">
        <w:rPr>
          <w:b/>
        </w:rPr>
        <w:t>.</w:t>
      </w:r>
      <w:proofErr w:type="gramEnd"/>
      <w:r w:rsidR="005E6B12">
        <w:t xml:space="preserve">  </w:t>
      </w:r>
      <w:r w:rsidRPr="00E9120B">
        <w:rPr>
          <w:rFonts w:cs="Arial"/>
          <w:szCs w:val="24"/>
        </w:rPr>
        <w:t>The TOM review and approval processes are managed by the Transmission Execution and Accountability Meeting (TEAM) which is chaired by the Director, Asset Management and the Transmission Asset Meeting (TAM), which is chaired by the Director, Business Strategy &amp; Data Analytics.</w:t>
      </w:r>
    </w:p>
    <w:p w:rsidR="00AE554B" w:rsidRDefault="00AE554B" w:rsidP="00701DCF">
      <w:pPr>
        <w:rPr>
          <w:rFonts w:cs="Arial"/>
          <w:szCs w:val="24"/>
        </w:rPr>
      </w:pPr>
      <w:r w:rsidRPr="00E013CA">
        <w:rPr>
          <w:rFonts w:cs="Arial"/>
          <w:szCs w:val="24"/>
        </w:rPr>
        <w:t>The TEAM</w:t>
      </w:r>
      <w:r>
        <w:rPr>
          <w:rFonts w:cs="Arial"/>
          <w:szCs w:val="24"/>
        </w:rPr>
        <w:t xml:space="preserve"> meetings</w:t>
      </w:r>
      <w:r w:rsidRPr="00E013CA">
        <w:rPr>
          <w:rFonts w:cs="Arial"/>
          <w:szCs w:val="24"/>
        </w:rPr>
        <w:t xml:space="preserve"> include representatives from asset management, engineering</w:t>
      </w:r>
      <w:r>
        <w:rPr>
          <w:rFonts w:cs="Arial"/>
          <w:szCs w:val="24"/>
        </w:rPr>
        <w:t>,</w:t>
      </w:r>
      <w:r w:rsidRPr="00E013CA">
        <w:rPr>
          <w:rFonts w:cs="Arial"/>
          <w:szCs w:val="24"/>
        </w:rPr>
        <w:t xml:space="preserve"> and construction management</w:t>
      </w:r>
      <w:r>
        <w:rPr>
          <w:rFonts w:cs="Arial"/>
          <w:szCs w:val="24"/>
        </w:rPr>
        <w:t xml:space="preserve"> to review all transmission projects underway.  The purpose of the monthly TEAM meetings is to review each transmission project at each phase of the TOM to identify any barriers or issues that may affect project cost or schedule.  A project dashboard is used to review the status of each project with respect to schedule, cost, scope, safety, and reliability.  </w:t>
      </w:r>
      <w:r w:rsidRPr="00E013CA">
        <w:rPr>
          <w:rFonts w:cs="Arial"/>
          <w:szCs w:val="24"/>
        </w:rPr>
        <w:t xml:space="preserve">The meetings are a forum to discuss and resolve </w:t>
      </w:r>
      <w:r w:rsidRPr="00E013CA">
        <w:rPr>
          <w:rFonts w:cs="Arial"/>
          <w:szCs w:val="24"/>
        </w:rPr>
        <w:lastRenderedPageBreak/>
        <w:t xml:space="preserve">issues impacting project schedule and budget such as land acquisition, material, or permitting delays. </w:t>
      </w:r>
      <w:r>
        <w:rPr>
          <w:rFonts w:cs="Arial"/>
          <w:szCs w:val="24"/>
        </w:rPr>
        <w:t xml:space="preserve"> T&amp;S Standards and Methods also presents any changes to transmission materials or construction standards that may impact jobs and any FERC or PJM issues are discussed.  </w:t>
      </w:r>
      <w:r w:rsidRPr="00E013CA">
        <w:rPr>
          <w:rFonts w:cs="Arial"/>
          <w:szCs w:val="24"/>
        </w:rPr>
        <w:t xml:space="preserve">The intent is to hold </w:t>
      </w:r>
      <w:r>
        <w:rPr>
          <w:rFonts w:cs="Arial"/>
          <w:szCs w:val="24"/>
        </w:rPr>
        <w:t xml:space="preserve">all </w:t>
      </w:r>
      <w:r w:rsidRPr="00E013CA">
        <w:rPr>
          <w:rFonts w:cs="Arial"/>
          <w:szCs w:val="24"/>
        </w:rPr>
        <w:t xml:space="preserve">participating groups accountable for executing the plan and achieving </w:t>
      </w:r>
      <w:r>
        <w:rPr>
          <w:rFonts w:cs="Arial"/>
          <w:szCs w:val="24"/>
        </w:rPr>
        <w:t xml:space="preserve">the </w:t>
      </w:r>
      <w:r w:rsidRPr="00E013CA">
        <w:rPr>
          <w:rFonts w:cs="Arial"/>
          <w:szCs w:val="24"/>
        </w:rPr>
        <w:t>desired results.</w:t>
      </w:r>
    </w:p>
    <w:p w:rsidR="00AE554B" w:rsidRPr="006D1B9D" w:rsidRDefault="00AE554B" w:rsidP="00701DCF">
      <w:pPr>
        <w:rPr>
          <w:rFonts w:cs="Arial"/>
          <w:szCs w:val="24"/>
        </w:rPr>
      </w:pPr>
      <w:r>
        <w:rPr>
          <w:rFonts w:cs="Arial"/>
          <w:szCs w:val="24"/>
        </w:rPr>
        <w:t xml:space="preserve">The Transmission Asset Management (TAM) monthly meetings are held to approve projects at each of the six phase gates in challenge sessions.  </w:t>
      </w:r>
      <w:r>
        <w:t xml:space="preserve">Stage gate checklists are prepared and a challenge session is held with the project team, project sponsors, and stakeholders to review the project status and approve completion of a gate.  </w:t>
      </w:r>
      <w:r w:rsidRPr="00652065">
        <w:rPr>
          <w:rFonts w:cs="Arial"/>
          <w:szCs w:val="24"/>
        </w:rPr>
        <w:t>A</w:t>
      </w:r>
      <w:r>
        <w:rPr>
          <w:rFonts w:cs="Arial"/>
          <w:szCs w:val="24"/>
        </w:rPr>
        <w:t>n a</w:t>
      </w:r>
      <w:r w:rsidRPr="00652065">
        <w:rPr>
          <w:rFonts w:cs="Arial"/>
          <w:szCs w:val="24"/>
        </w:rPr>
        <w:t>nalyst is responsible for the TAM</w:t>
      </w:r>
      <w:r>
        <w:rPr>
          <w:rFonts w:cs="Arial"/>
          <w:szCs w:val="24"/>
        </w:rPr>
        <w:t xml:space="preserve"> process management by capturing changes to project milestones and schedules.  The analyst also processes changes submitted by T&amp;S Project Management and updates the schedules tracked by the individual project managers.</w:t>
      </w:r>
    </w:p>
    <w:p w:rsidR="00AE554B" w:rsidRPr="00EF6BFD" w:rsidRDefault="00AE554B" w:rsidP="00701DCF">
      <w:r>
        <w:t xml:space="preserve">The </w:t>
      </w:r>
      <w:r w:rsidRPr="00EF6BFD">
        <w:t>Change Control Board</w:t>
      </w:r>
      <w:r w:rsidRPr="00EF6BFD">
        <w:rPr>
          <w:rFonts w:cs="Arial"/>
          <w:szCs w:val="24"/>
        </w:rPr>
        <w:t xml:space="preserve"> (CCB) was formalized in mid-2015 to review and approve significant changes in project scope, schedule, or cost.  The Board members are</w:t>
      </w:r>
      <w:r w:rsidRPr="00EF6BFD">
        <w:t xml:space="preserve"> the Manager of Transmission and Substation Project Management, Director of Transmission and Substation Business Strategy &amp; Data Analytic, Director of Transmission and Substation Engineering, Director of Transmission and Substation Asset Management, and Director of Project Management and Controls.  The members participate in the TAM meetings and the CCB meetings are normally held as part of the monthly TAM meetings.  The CCB approves or d</w:t>
      </w:r>
      <w:r>
        <w:t>enies</w:t>
      </w:r>
      <w:r w:rsidRPr="00EF6BFD">
        <w:t xml:space="preserve"> requested changes which are recorded in a Change Log.  Approved cost changes are submitted to the VP Transmission and Substations for sign-off.  A written policy and procedure was updated in 2016 to document the function of the Change Control Board and formalize change controls for the entire life cycle of transmission projects.</w:t>
      </w:r>
    </w:p>
    <w:p w:rsidR="00AE554B" w:rsidRPr="006D1B9D" w:rsidRDefault="00AE554B" w:rsidP="00701DCF">
      <w:pPr>
        <w:rPr>
          <w:rFonts w:cs="Arial"/>
          <w:szCs w:val="24"/>
        </w:rPr>
      </w:pPr>
      <w:r w:rsidRPr="00EF6BFD">
        <w:rPr>
          <w:rFonts w:cs="Arial"/>
          <w:szCs w:val="24"/>
        </w:rPr>
        <w:t>The 2016 capital plan for T&amp;S totals $693 million and includes over 50 major projects with multiple program elements.  The effort is focused on reliability, aging infrastructure and security enhancements</w:t>
      </w:r>
      <w:r w:rsidRPr="00AE1A86">
        <w:rPr>
          <w:rFonts w:cs="Arial"/>
          <w:szCs w:val="24"/>
        </w:rPr>
        <w:t>.</w:t>
      </w:r>
    </w:p>
    <w:p w:rsidR="00AE554B" w:rsidRDefault="00AE554B" w:rsidP="00701DCF">
      <w:r>
        <w:t xml:space="preserve">The VP Transmission and Substations has initiated efforts to realign several groups to shift the focus to a higher level of data analysis.  The Transmission Regulatory and Business Affairs group and the Transmission Expansion group functions are being integrated into Asset Management and Project Management.  Two business analysts have been hired and two financial analysts from Transmission Regulatory and Business Affairs group have been moved to Asset Management.  These analytic capabilities will be added to the project delivery, asset management, project management, and contract management areas. </w:t>
      </w:r>
      <w:r w:rsidRPr="00822661">
        <w:t xml:space="preserve"> </w:t>
      </w:r>
      <w:r>
        <w:t>Transmission Expansion is expected to move into T&amp;S Project Management by the first quarter of 2016.  Long range transmission system planning will be relocated from the Transmission Control Center (TCC) to Asset Management by the first quarter as well.</w:t>
      </w:r>
    </w:p>
    <w:p w:rsidR="00AE554B" w:rsidRDefault="00AE554B" w:rsidP="005E6B12">
      <w:pPr>
        <w:pStyle w:val="Heading40"/>
      </w:pPr>
      <w:bookmarkStart w:id="135" w:name="_Toc442617411"/>
      <w:r>
        <w:t>Transmission Planning Process</w:t>
      </w:r>
      <w:bookmarkEnd w:id="135"/>
    </w:p>
    <w:p w:rsidR="00AE554B" w:rsidRPr="006D1B9D" w:rsidRDefault="00AE554B" w:rsidP="00701DCF">
      <w:pPr>
        <w:rPr>
          <w:rFonts w:cs="Arial"/>
          <w:szCs w:val="24"/>
        </w:rPr>
      </w:pPr>
      <w:r>
        <w:rPr>
          <w:rFonts w:cs="Arial"/>
          <w:szCs w:val="24"/>
        </w:rPr>
        <w:t xml:space="preserve">The Transmission Planning Process document establishes the methodology for identifying and prioritizing </w:t>
      </w:r>
      <w:r w:rsidRPr="003C0E43">
        <w:rPr>
          <w:rFonts w:cs="Arial"/>
          <w:szCs w:val="24"/>
        </w:rPr>
        <w:t xml:space="preserve">projects for inclusion into the 5 year capital plan.  This is used to develop capital needs for inclusion in the budget process.  By September of each </w:t>
      </w:r>
      <w:r w:rsidRPr="003C0E43">
        <w:rPr>
          <w:rFonts w:cs="Arial"/>
          <w:szCs w:val="24"/>
        </w:rPr>
        <w:lastRenderedPageBreak/>
        <w:t>year the budget is completed and includes the five year capital plan which is adjusted annually based on the latest transmission planning study results</w:t>
      </w:r>
      <w:r>
        <w:rPr>
          <w:rFonts w:cs="Arial"/>
          <w:szCs w:val="24"/>
        </w:rPr>
        <w:t>.</w:t>
      </w:r>
    </w:p>
    <w:p w:rsidR="00AE554B" w:rsidRDefault="00AE554B" w:rsidP="00701DCF">
      <w:pPr>
        <w:rPr>
          <w:rFonts w:cs="Arial"/>
          <w:szCs w:val="24"/>
        </w:rPr>
      </w:pPr>
      <w:r>
        <w:rPr>
          <w:rFonts w:cs="Arial"/>
          <w:szCs w:val="24"/>
        </w:rPr>
        <w:t>An electric system analysis and planning application is used by Transmission Planning for modeling and planning the PPL EU transmission system.  The results of the steady state and dynamic studies are used to identify necessary additions or improvements to the transmission system in order to meet NERC, Reliability First (RF), and PJM requirements.  Written Principals and Practices documents provide direction for the studies.  Alternatives matrices are developed to identify potential solutions to system deficiencies identified in the studies.  The Asset Planning process is used to review, prioritize, approve, engineer, and construct transmission and substations projects. The Director, Asset Management is the phase gate owner for the Planning Phase.</w:t>
      </w:r>
    </w:p>
    <w:p w:rsidR="00AE554B" w:rsidRDefault="00AE554B" w:rsidP="00701DCF">
      <w:pPr>
        <w:rPr>
          <w:rFonts w:cs="Arial"/>
          <w:szCs w:val="24"/>
        </w:rPr>
      </w:pPr>
      <w:r>
        <w:rPr>
          <w:rFonts w:cs="Arial"/>
          <w:szCs w:val="24"/>
        </w:rPr>
        <w:t>Transmission Planning studies its 69 kV to 500 kV system using loads from the EMS and load projections from customers directly connected to the transmission system.  PPL EU has also been studying issues with high voltage experienced under light load conditions.  Overall load growth is flat while total demand is increasing. The biggest issue is aging infrastructure and reliability performance for the next ten years. Transmission Planning performs the planning horizon system loading studies while   Operations performs the operating horizon loading studies.  A portion of the stability studies are outsourced.  Transmission Planning also performs modeling of Independent Power Producer (IPP) impacts on the PPL EU system and develops interconnection agreement documentation.</w:t>
      </w:r>
    </w:p>
    <w:p w:rsidR="00AE554B" w:rsidRPr="00425FF2" w:rsidRDefault="00AE554B" w:rsidP="00701DCF">
      <w:pPr>
        <w:rPr>
          <w:rFonts w:cs="Arial"/>
          <w:szCs w:val="24"/>
        </w:rPr>
      </w:pPr>
      <w:r w:rsidRPr="005E6B12">
        <w:rPr>
          <w:b/>
        </w:rPr>
        <w:t>Capital Plan</w:t>
      </w:r>
      <w:r w:rsidR="005E6B12" w:rsidRPr="005E6B12">
        <w:rPr>
          <w:b/>
        </w:rPr>
        <w:t>.</w:t>
      </w:r>
      <w:r w:rsidR="005E6B12">
        <w:t xml:space="preserve">  </w:t>
      </w:r>
      <w:r w:rsidRPr="00425FF2">
        <w:rPr>
          <w:rFonts w:cs="Arial"/>
          <w:szCs w:val="24"/>
        </w:rPr>
        <w:t>All capital initiatives for the Transmission system are initiated by Transmission Planning.  The staff owns and coordinates the individual projects and programs embedded into super projects.  A super project is a compilation of individual projects and programs impacting a specific transmission line or substation that can be combined into one overall project for planning, design, and construction. There are currently over 50 super projects made up of around 475 projects and program elements scheduled to be completed over the next seven to eight years.  The programs are merged into the super projects in a spreadsheet based on the priority rankings.</w:t>
      </w:r>
    </w:p>
    <w:p w:rsidR="00AE554B" w:rsidRPr="00425FF2" w:rsidRDefault="00AE554B" w:rsidP="00701DCF">
      <w:pPr>
        <w:rPr>
          <w:rFonts w:cs="Arial"/>
          <w:szCs w:val="24"/>
        </w:rPr>
      </w:pPr>
      <w:r w:rsidRPr="00425FF2">
        <w:rPr>
          <w:rFonts w:cs="Arial"/>
          <w:szCs w:val="24"/>
        </w:rPr>
        <w:t>Projects are prioritized based on asset condition, IPP connections, regulatory requirements, reliability, and other program issues.  The prioritized projects are then scheduled based on the overall annual capital funding for capital projects established by PPL EU.  A database is being developed to track more project attributes to facilitate more flexible reporting to meet varying needs.</w:t>
      </w:r>
      <w:r w:rsidRPr="00425FF2">
        <w:rPr>
          <w:rFonts w:cs="Arial"/>
          <w:szCs w:val="24"/>
          <w:vertAlign w:val="superscript"/>
        </w:rPr>
        <w:t xml:space="preserve"> </w:t>
      </w:r>
    </w:p>
    <w:p w:rsidR="00AE554B" w:rsidRDefault="00AE554B" w:rsidP="00701DCF">
      <w:pPr>
        <w:rPr>
          <w:rFonts w:cs="Arial"/>
          <w:szCs w:val="24"/>
        </w:rPr>
      </w:pPr>
      <w:r w:rsidRPr="00425FF2">
        <w:rPr>
          <w:rFonts w:cs="Arial"/>
          <w:szCs w:val="24"/>
        </w:rPr>
        <w:t xml:space="preserve">The Construction Work Outage Sequence (CWOS) application is used to manage outage planning by developing a Feasibility Outage Plan, beginning at the initial Asset Planning phase.  The Feasibility Outage Plan includes a high level project sequence and a list of elements that will require an outage during the construction.  The final CWOS plan for the project is prepared at the completion of the Engineering Phase of the project and the final outage sequence is entered into the </w:t>
      </w:r>
      <w:r w:rsidRPr="00425FF2">
        <w:t>Outage Request Coordination and Analysis system</w:t>
      </w:r>
      <w:r w:rsidRPr="00425FF2">
        <w:rPr>
          <w:rFonts w:cs="Arial"/>
          <w:szCs w:val="24"/>
        </w:rPr>
        <w:t xml:space="preserve"> (ORCA) in order to receive final approval for the planned outages prior to start of construction</w:t>
      </w:r>
      <w:r>
        <w:rPr>
          <w:rFonts w:cs="Arial"/>
          <w:szCs w:val="24"/>
        </w:rPr>
        <w:t>.</w:t>
      </w:r>
      <w:r w:rsidRPr="00440B39">
        <w:t xml:space="preserve"> </w:t>
      </w:r>
    </w:p>
    <w:p w:rsidR="00AE554B" w:rsidRPr="00492242" w:rsidRDefault="00AE554B" w:rsidP="00701DCF">
      <w:pPr>
        <w:rPr>
          <w:rFonts w:cs="Arial"/>
          <w:szCs w:val="24"/>
        </w:rPr>
      </w:pPr>
      <w:proofErr w:type="gramStart"/>
      <w:r w:rsidRPr="005E6B12">
        <w:rPr>
          <w:b/>
        </w:rPr>
        <w:t>Reliability Improvements</w:t>
      </w:r>
      <w:r w:rsidR="005E6B12" w:rsidRPr="005E6B12">
        <w:rPr>
          <w:b/>
        </w:rPr>
        <w:t>.</w:t>
      </w:r>
      <w:proofErr w:type="gramEnd"/>
      <w:r w:rsidR="005E6B12">
        <w:t xml:space="preserve">  </w:t>
      </w:r>
      <w:r>
        <w:rPr>
          <w:rFonts w:cs="Arial"/>
          <w:szCs w:val="24"/>
        </w:rPr>
        <w:t xml:space="preserve">The MOLBAB smart switch installations are intended to facilitate outage restoration by adding sectionalizing to the 69 kV and 138 kV systems.  </w:t>
      </w:r>
      <w:r>
        <w:rPr>
          <w:rFonts w:cs="Arial"/>
          <w:szCs w:val="24"/>
        </w:rPr>
        <w:lastRenderedPageBreak/>
        <w:t xml:space="preserve">Approximately 285 are installed with 1,050 more planned to be in service by 2021.  These switches will facilitate fault isolation and quicker restoration of most customers fed by the 69 kV </w:t>
      </w:r>
      <w:proofErr w:type="gramStart"/>
      <w:r>
        <w:rPr>
          <w:rFonts w:cs="Arial"/>
          <w:szCs w:val="24"/>
        </w:rPr>
        <w:t>system</w:t>
      </w:r>
      <w:proofErr w:type="gramEnd"/>
      <w:r>
        <w:rPr>
          <w:rFonts w:cs="Arial"/>
          <w:szCs w:val="24"/>
        </w:rPr>
        <w:t>.  The line sensors installed at each switch location communicate via cellular service to the control center and are expected to support automated fault isolation and customer restoration in the future.</w:t>
      </w:r>
    </w:p>
    <w:p w:rsidR="00AE554B" w:rsidRDefault="00AE554B" w:rsidP="00701DCF">
      <w:pPr>
        <w:rPr>
          <w:rFonts w:cs="Arial"/>
          <w:szCs w:val="24"/>
        </w:rPr>
      </w:pPr>
      <w:r>
        <w:rPr>
          <w:rFonts w:cs="Arial"/>
          <w:szCs w:val="24"/>
        </w:rPr>
        <w:t xml:space="preserve">PPL EU T&amp;S is transitioning from wood to steel poles for improved longevity, reliability, and reduced maintenance expense over the next ten years.  The 69 kV </w:t>
      </w:r>
      <w:proofErr w:type="gramStart"/>
      <w:r>
        <w:rPr>
          <w:rFonts w:cs="Arial"/>
          <w:szCs w:val="24"/>
        </w:rPr>
        <w:t>system</w:t>
      </w:r>
      <w:proofErr w:type="gramEnd"/>
      <w:r>
        <w:rPr>
          <w:rFonts w:cs="Arial"/>
          <w:szCs w:val="24"/>
        </w:rPr>
        <w:t xml:space="preserve"> is the main focus of this work and many of the projects are in the five year capital plan.</w:t>
      </w:r>
    </w:p>
    <w:p w:rsidR="00AE554B" w:rsidRDefault="00AE554B" w:rsidP="00701DCF">
      <w:pPr>
        <w:rPr>
          <w:rFonts w:cs="Arial"/>
          <w:szCs w:val="24"/>
        </w:rPr>
      </w:pPr>
      <w:proofErr w:type="gramStart"/>
      <w:r w:rsidRPr="005E6B12">
        <w:rPr>
          <w:b/>
        </w:rPr>
        <w:t>Project Development</w:t>
      </w:r>
      <w:r w:rsidR="005E6B12" w:rsidRPr="005E6B12">
        <w:rPr>
          <w:b/>
        </w:rPr>
        <w:t>.</w:t>
      </w:r>
      <w:proofErr w:type="gramEnd"/>
      <w:r w:rsidR="005E6B12">
        <w:t xml:space="preserve">  </w:t>
      </w:r>
      <w:r>
        <w:rPr>
          <w:rFonts w:cs="Arial"/>
          <w:szCs w:val="24"/>
        </w:rPr>
        <w:t>Transmission Planning prepares Purpose and Necessity (P&amp;N) documents for each proposed project.  CMX is used to forecast project schedule and cash flow.  Transmission Planning meets weekly with T&amp;S Project Management to review costs and schedules.</w:t>
      </w:r>
    </w:p>
    <w:p w:rsidR="00AE554B" w:rsidRDefault="00AE554B" w:rsidP="00701DCF">
      <w:pPr>
        <w:rPr>
          <w:rFonts w:cs="Arial"/>
          <w:szCs w:val="24"/>
        </w:rPr>
      </w:pPr>
      <w:r>
        <w:rPr>
          <w:rFonts w:cs="Arial"/>
          <w:szCs w:val="24"/>
        </w:rPr>
        <w:t xml:space="preserve">The level of detail in the P&amp;N packages increased significantly during 2015.  P&amp;N pages used to be about four or five pages in length and now are 30 to 40 pages.  The level of effort has increased in project planning to help solidify the five year capital plan and reduce implementation risk.  The P&amp;N packages are placed in SharePoint for assess by other groups and are maintained over the life of the project.  The P&amp;N documents summarize the individual projects within a super project.  </w:t>
      </w:r>
    </w:p>
    <w:p w:rsidR="00AE554B" w:rsidRDefault="00AE554B" w:rsidP="005E6B12">
      <w:pPr>
        <w:pStyle w:val="Heading40"/>
      </w:pPr>
      <w:bookmarkStart w:id="136" w:name="_Toc442617413"/>
      <w:r>
        <w:t>Transmission and Substation Engineering</w:t>
      </w:r>
      <w:bookmarkEnd w:id="136"/>
    </w:p>
    <w:p w:rsidR="00AE554B" w:rsidRDefault="00AE554B" w:rsidP="00701DCF">
      <w:pPr>
        <w:rPr>
          <w:rFonts w:cs="Arial"/>
          <w:szCs w:val="24"/>
        </w:rPr>
      </w:pPr>
      <w:r>
        <w:rPr>
          <w:rFonts w:cs="Arial"/>
          <w:szCs w:val="24"/>
        </w:rPr>
        <w:t>T&amp;S Engineering has developed principles, practices, and process documentation covering relaying and substation design, as-built drawing process, testing and commissioning procedures, and engineering drawing checklists for use in design work.</w:t>
      </w:r>
    </w:p>
    <w:p w:rsidR="00AE554B" w:rsidRDefault="00AE554B" w:rsidP="00701DCF">
      <w:pPr>
        <w:rPr>
          <w:rFonts w:cs="Arial"/>
          <w:szCs w:val="24"/>
        </w:rPr>
      </w:pPr>
      <w:r>
        <w:rPr>
          <w:rFonts w:cs="Arial"/>
          <w:szCs w:val="24"/>
        </w:rPr>
        <w:t xml:space="preserve">A point to point connectivity model of the transmission system is maintained in the geographic information system (GIS) by T&amp;S Engineering. </w:t>
      </w:r>
      <w:r w:rsidRPr="0006210B">
        <w:rPr>
          <w:rFonts w:cs="Arial"/>
          <w:szCs w:val="24"/>
        </w:rPr>
        <w:t xml:space="preserve"> </w:t>
      </w:r>
      <w:r>
        <w:rPr>
          <w:rFonts w:cs="Arial"/>
          <w:szCs w:val="24"/>
        </w:rPr>
        <w:t>A computer aided design and drafting application is used for line and substation design.</w:t>
      </w:r>
    </w:p>
    <w:p w:rsidR="00AE554B" w:rsidRDefault="00AE554B" w:rsidP="00701DCF">
      <w:pPr>
        <w:rPr>
          <w:rFonts w:cs="Arial"/>
          <w:szCs w:val="24"/>
        </w:rPr>
      </w:pPr>
      <w:r>
        <w:rPr>
          <w:rFonts w:cs="Arial"/>
          <w:szCs w:val="24"/>
        </w:rPr>
        <w:t>T&amp;S Engineering gets involved in projects once they receive Gate 0 approval.  Engineering Change Notices (ECNs) are created in the Fusion document management system and are used to initiate engineering work on projects.  The project design is then started based on the design need date.  The group is typically looking ahead about three months to see what projects in the five year plan are getting ready to start.  The expenditure requests (ERs) provide details on the project scope, budget, and timing.  The ERs have become more detailed since 2014 which facilitates identifying the level of required electrical, civil, structural, and drafting needs.</w:t>
      </w:r>
    </w:p>
    <w:p w:rsidR="00AE554B" w:rsidRDefault="00AE554B" w:rsidP="00701DCF">
      <w:pPr>
        <w:rPr>
          <w:rFonts w:cs="Arial"/>
          <w:szCs w:val="24"/>
        </w:rPr>
      </w:pPr>
      <w:r>
        <w:rPr>
          <w:rFonts w:cs="Arial"/>
          <w:szCs w:val="24"/>
        </w:rPr>
        <w:t>The normal engineering work flow is to receive a job from T&amp;S Asset Management, establish a work order in the work management system, and design the job.  The project cost estimate and preliminary schedule are determined at the 30% engineering point.  The bill of materials is released to Supply Chain when the project is approved for construction although long lead time items will be triggered for ordering at the 30% design point.</w:t>
      </w:r>
    </w:p>
    <w:p w:rsidR="00AE554B" w:rsidRDefault="00AE554B" w:rsidP="00701DCF">
      <w:pPr>
        <w:rPr>
          <w:rFonts w:cs="Arial"/>
          <w:szCs w:val="24"/>
        </w:rPr>
      </w:pPr>
      <w:r w:rsidRPr="00DE2962">
        <w:rPr>
          <w:rFonts w:cs="Arial"/>
          <w:szCs w:val="24"/>
        </w:rPr>
        <w:t>Compatible unit CIDs are used to order materials</w:t>
      </w:r>
      <w:r>
        <w:rPr>
          <w:rFonts w:cs="Arial"/>
          <w:szCs w:val="24"/>
        </w:rPr>
        <w:t xml:space="preserve"> for projects.</w:t>
      </w:r>
      <w:r w:rsidRPr="00DE2962">
        <w:rPr>
          <w:rFonts w:cs="Arial"/>
          <w:szCs w:val="24"/>
        </w:rPr>
        <w:t xml:space="preserve">  For transmission lines, </w:t>
      </w:r>
      <w:r w:rsidRPr="00AD77E2">
        <w:rPr>
          <w:rFonts w:cs="Arial"/>
          <w:szCs w:val="24"/>
        </w:rPr>
        <w:t xml:space="preserve">the CIDs are also entered into the geospatial plan and profile database to prepare asset details.  </w:t>
      </w:r>
      <w:r w:rsidRPr="00AD77E2">
        <w:rPr>
          <w:rFonts w:cs="Calibri"/>
        </w:rPr>
        <w:t xml:space="preserve">T&amp;S Engineering currently references and extracts compatible units (CIDs) </w:t>
      </w:r>
      <w:r w:rsidRPr="00AD77E2">
        <w:rPr>
          <w:rFonts w:cs="Calibri"/>
        </w:rPr>
        <w:lastRenderedPageBreak/>
        <w:t xml:space="preserve">from its legacy Bill of Material application during the design process; available CIDs are extracted, as required, and submitted as part of each </w:t>
      </w:r>
      <w:r>
        <w:rPr>
          <w:rFonts w:cs="Calibri"/>
        </w:rPr>
        <w:t>p</w:t>
      </w:r>
      <w:r w:rsidRPr="00AD77E2">
        <w:rPr>
          <w:rFonts w:cs="Calibri"/>
        </w:rPr>
        <w:t>roject Bill of Material.  .</w:t>
      </w:r>
    </w:p>
    <w:p w:rsidR="00AE554B" w:rsidRDefault="00AE554B" w:rsidP="00701DCF">
      <w:pPr>
        <w:rPr>
          <w:rFonts w:cs="Arial"/>
          <w:szCs w:val="24"/>
        </w:rPr>
      </w:pPr>
      <w:r>
        <w:rPr>
          <w:rFonts w:cs="Arial"/>
          <w:szCs w:val="24"/>
        </w:rPr>
        <w:t>T&amp;S Engineering maintains a schedule of projects in the design phase that tracks staff assignments, schedule, milestone dates, and design and drafting status.</w:t>
      </w:r>
      <w:r w:rsidRPr="00D87360">
        <w:rPr>
          <w:rFonts w:cs="Arial"/>
          <w:szCs w:val="24"/>
        </w:rPr>
        <w:t xml:space="preserve"> </w:t>
      </w:r>
      <w:r>
        <w:rPr>
          <w:rFonts w:cs="Arial"/>
          <w:szCs w:val="24"/>
        </w:rPr>
        <w:t xml:space="preserve"> The schedule is a spreadsheet export from the project scheduling and resource management application and the asset management application.  Historical data is used to project workload and to select the design consultants.  Ninety-five percent of the design work is contracted and five percent is performed in-house.  The in-house work is mostly emergent repair work.</w:t>
      </w:r>
    </w:p>
    <w:p w:rsidR="00AE554B" w:rsidRDefault="00AE554B" w:rsidP="00701DCF">
      <w:pPr>
        <w:rPr>
          <w:rFonts w:cs="Arial"/>
          <w:szCs w:val="24"/>
        </w:rPr>
      </w:pPr>
      <w:r>
        <w:rPr>
          <w:rFonts w:cs="Arial"/>
          <w:szCs w:val="24"/>
        </w:rPr>
        <w:t>T&amp;S Engineering participates in the TEAM and TAM meetings for assigned projects.  Asset Management prepares the initial project cost estimate and Substation Engineering will provide updated cost estimates during the design phase via the Change Log Process.  The initial estimates are getting more accurate as employees gain experience in applying unit cost and labor estimates based upon the job scope.  Schedule adherence is good during the design phase.</w:t>
      </w:r>
    </w:p>
    <w:p w:rsidR="00AE554B" w:rsidRDefault="00AE554B" w:rsidP="00701DCF">
      <w:pPr>
        <w:rPr>
          <w:rFonts w:cs="Arial"/>
          <w:szCs w:val="24"/>
        </w:rPr>
      </w:pPr>
      <w:proofErr w:type="gramStart"/>
      <w:r w:rsidRPr="005E6B12">
        <w:rPr>
          <w:b/>
        </w:rPr>
        <w:t>Transmission Line Engineering</w:t>
      </w:r>
      <w:r w:rsidR="005E6B12" w:rsidRPr="005E6B12">
        <w:rPr>
          <w:b/>
        </w:rPr>
        <w:t>.</w:t>
      </w:r>
      <w:proofErr w:type="gramEnd"/>
      <w:r w:rsidR="005E6B12">
        <w:t xml:space="preserve">  </w:t>
      </w:r>
      <w:r>
        <w:rPr>
          <w:rFonts w:cs="Arial"/>
          <w:szCs w:val="24"/>
        </w:rPr>
        <w:t>There are approximately 50 to 60 transmission projects underway.  There is a core team of approximately 23 PPL employees for line design work supplemented with consultants.  Approximately 80% of the work is performed by consultants and 20% in-house.</w:t>
      </w:r>
    </w:p>
    <w:p w:rsidR="00AE554B" w:rsidRDefault="00AE554B" w:rsidP="00701DCF">
      <w:pPr>
        <w:rPr>
          <w:rFonts w:cs="Arial"/>
          <w:szCs w:val="24"/>
        </w:rPr>
      </w:pPr>
      <w:r>
        <w:rPr>
          <w:rFonts w:cs="Arial"/>
          <w:szCs w:val="24"/>
        </w:rPr>
        <w:t>A typical transmission line job package includes a description of the job; plan and profile drawings; the construction order detailing the work, specifications, and materials for each work location; and a materials list.  Completed designs are stored in Fusion document management system so they can be accessed by project management and construction.</w:t>
      </w:r>
    </w:p>
    <w:p w:rsidR="00AE554B" w:rsidRPr="00DE2962" w:rsidRDefault="00AE554B" w:rsidP="00701DCF">
      <w:pPr>
        <w:rPr>
          <w:rFonts w:cs="Arial"/>
          <w:szCs w:val="24"/>
        </w:rPr>
      </w:pPr>
      <w:proofErr w:type="gramStart"/>
      <w:r w:rsidRPr="005E6B12">
        <w:rPr>
          <w:b/>
        </w:rPr>
        <w:t>Substation Engineering</w:t>
      </w:r>
      <w:r w:rsidR="005E6B12" w:rsidRPr="005E6B12">
        <w:rPr>
          <w:b/>
        </w:rPr>
        <w:t>.</w:t>
      </w:r>
      <w:proofErr w:type="gramEnd"/>
      <w:r w:rsidR="005E6B12">
        <w:t xml:space="preserve">  </w:t>
      </w:r>
      <w:r w:rsidRPr="00DE2962">
        <w:rPr>
          <w:rFonts w:cs="Arial"/>
          <w:szCs w:val="24"/>
        </w:rPr>
        <w:t xml:space="preserve">There </w:t>
      </w:r>
      <w:r>
        <w:rPr>
          <w:rFonts w:cs="Arial"/>
          <w:szCs w:val="24"/>
        </w:rPr>
        <w:t>were</w:t>
      </w:r>
      <w:r w:rsidRPr="00DE2962">
        <w:rPr>
          <w:rFonts w:cs="Arial"/>
          <w:szCs w:val="24"/>
        </w:rPr>
        <w:t xml:space="preserve"> about 30 </w:t>
      </w:r>
      <w:r>
        <w:rPr>
          <w:rFonts w:cs="Arial"/>
          <w:szCs w:val="24"/>
        </w:rPr>
        <w:t>large</w:t>
      </w:r>
      <w:r w:rsidRPr="00DE2962">
        <w:rPr>
          <w:rFonts w:cs="Arial"/>
          <w:szCs w:val="24"/>
        </w:rPr>
        <w:t xml:space="preserve"> super projects and </w:t>
      </w:r>
      <w:r>
        <w:rPr>
          <w:rFonts w:cs="Arial"/>
          <w:szCs w:val="24"/>
        </w:rPr>
        <w:t>approximately</w:t>
      </w:r>
      <w:r w:rsidRPr="00DE2962">
        <w:rPr>
          <w:rFonts w:cs="Arial"/>
          <w:szCs w:val="24"/>
        </w:rPr>
        <w:t xml:space="preserve"> 15 smaller projects underway in Substation Engineering</w:t>
      </w:r>
      <w:r>
        <w:rPr>
          <w:rFonts w:cs="Arial"/>
          <w:szCs w:val="24"/>
        </w:rPr>
        <w:t xml:space="preserve"> as of December 2015</w:t>
      </w:r>
      <w:r w:rsidRPr="00DE2962">
        <w:rPr>
          <w:rFonts w:cs="Arial"/>
          <w:szCs w:val="24"/>
        </w:rPr>
        <w:t xml:space="preserve">.  There are also approximately 150 to 200 work orders associated with program work.  During the project development phase the program work will be reviewed to identify work to be included in the </w:t>
      </w:r>
      <w:r>
        <w:rPr>
          <w:rFonts w:cs="Arial"/>
          <w:szCs w:val="24"/>
        </w:rPr>
        <w:t>construction request for proposal</w:t>
      </w:r>
      <w:r w:rsidRPr="00DE2962">
        <w:rPr>
          <w:rFonts w:cs="Arial"/>
          <w:szCs w:val="24"/>
        </w:rPr>
        <w:t xml:space="preserve"> for the project.</w:t>
      </w:r>
    </w:p>
    <w:p w:rsidR="00AE554B" w:rsidRDefault="00AE554B" w:rsidP="00701DCF">
      <w:pPr>
        <w:rPr>
          <w:rFonts w:cs="Arial"/>
          <w:szCs w:val="24"/>
        </w:rPr>
      </w:pPr>
      <w:r w:rsidRPr="00DE2962">
        <w:rPr>
          <w:rFonts w:cs="Arial"/>
          <w:szCs w:val="24"/>
        </w:rPr>
        <w:t>Substation Engineering is maintaining internal expertise to oversee the consultant design quality.  Designs are currently prepared based on a lump sum b</w:t>
      </w:r>
      <w:r>
        <w:rPr>
          <w:rFonts w:cs="Arial"/>
          <w:szCs w:val="24"/>
        </w:rPr>
        <w:t>i</w:t>
      </w:r>
      <w:r w:rsidRPr="00DE2962">
        <w:rPr>
          <w:rFonts w:cs="Arial"/>
          <w:szCs w:val="24"/>
        </w:rPr>
        <w:t>d for most projects or time and expense on the bigger jobs.  The use of standardized designs for the substations may allow Substation Engineering to use unit pricing for some future work.</w:t>
      </w:r>
    </w:p>
    <w:p w:rsidR="00AE554B" w:rsidRDefault="00AE554B" w:rsidP="00701DCF">
      <w:pPr>
        <w:rPr>
          <w:rFonts w:cs="Arial"/>
          <w:szCs w:val="24"/>
        </w:rPr>
      </w:pPr>
      <w:r>
        <w:rPr>
          <w:rFonts w:cs="Arial"/>
          <w:szCs w:val="24"/>
        </w:rPr>
        <w:t>Several existing substations have been scanned with LIDAR (light imaging and ranging) to determine the feasibility for modeling existing substations in 3D to support design work for additions or modifications.  A vendor then develops the 3D model for PPL EU.</w:t>
      </w:r>
      <w:r w:rsidRPr="00884BBA">
        <w:rPr>
          <w:rFonts w:cs="Arial"/>
          <w:szCs w:val="24"/>
        </w:rPr>
        <w:t xml:space="preserve"> </w:t>
      </w:r>
      <w:r>
        <w:rPr>
          <w:rFonts w:cs="Arial"/>
          <w:szCs w:val="24"/>
        </w:rPr>
        <w:t>Using the 3D computer aided design and drafting application for the expansion of a substation or siting a mobile substation connection at an existing substation is feasible; however, it will not save time for most equipment change out work or minor additions.</w:t>
      </w:r>
    </w:p>
    <w:p w:rsidR="00AE554B" w:rsidRPr="006D1B9D" w:rsidRDefault="00AE554B" w:rsidP="00701DCF">
      <w:pPr>
        <w:rPr>
          <w:rFonts w:cs="Arial"/>
          <w:szCs w:val="24"/>
        </w:rPr>
      </w:pPr>
      <w:r>
        <w:rPr>
          <w:rFonts w:cs="Arial"/>
          <w:szCs w:val="24"/>
        </w:rPr>
        <w:t xml:space="preserve">Substation Engineering provides civil, structural, and drafting support for transmission, substations, and distribution lines including the low tension network.  Over 90% of the civil, structural, and drafting support time is for transmission line and transmission </w:t>
      </w:r>
      <w:r>
        <w:rPr>
          <w:rFonts w:cs="Arial"/>
          <w:szCs w:val="24"/>
        </w:rPr>
        <w:lastRenderedPageBreak/>
        <w:t>substation work.  Drafting also provides support to distribution standards as needed for construction standards.</w:t>
      </w:r>
    </w:p>
    <w:p w:rsidR="00AE554B" w:rsidRDefault="00AE554B" w:rsidP="00701DCF">
      <w:pPr>
        <w:rPr>
          <w:rFonts w:cs="Arial"/>
          <w:szCs w:val="24"/>
        </w:rPr>
      </w:pPr>
      <w:proofErr w:type="gramStart"/>
      <w:r w:rsidRPr="005E6B12">
        <w:rPr>
          <w:b/>
        </w:rPr>
        <w:t>Fiber Optics Expansion Program</w:t>
      </w:r>
      <w:r w:rsidR="005E6B12" w:rsidRPr="005E6B12">
        <w:rPr>
          <w:b/>
        </w:rPr>
        <w:t>.</w:t>
      </w:r>
      <w:proofErr w:type="gramEnd"/>
      <w:r w:rsidR="005E6B12">
        <w:t xml:space="preserve">  </w:t>
      </w:r>
      <w:r>
        <w:rPr>
          <w:rFonts w:cs="Arial"/>
          <w:szCs w:val="24"/>
        </w:rPr>
        <w:t xml:space="preserve">T&amp;S Asset Management is leading a multi-tiered project to add approximately 150 miles of fiber to the existing 1,400 miles in order to complete a fiber connection to all transmission substations.  The fiber is used for protection system communications, SCADA, security monitoring, and general communications purposes.  This project is planned for completion in 2017 and will </w:t>
      </w:r>
      <w:r w:rsidRPr="003C0E43">
        <w:rPr>
          <w:rFonts w:cs="Arial"/>
          <w:szCs w:val="24"/>
        </w:rPr>
        <w:t>connect all 67 transmission substations and about 75% of the distribution substations that are near the fiber loops.  The fiber optic installations are primarily utilizing overhead ground</w:t>
      </w:r>
      <w:r>
        <w:rPr>
          <w:rFonts w:cs="Arial"/>
          <w:szCs w:val="24"/>
        </w:rPr>
        <w:t xml:space="preserve"> wire fiber.</w:t>
      </w:r>
    </w:p>
    <w:p w:rsidR="00AE554B" w:rsidRDefault="00AE554B" w:rsidP="00701DCF">
      <w:pPr>
        <w:rPr>
          <w:rFonts w:cs="Arial"/>
          <w:szCs w:val="24"/>
        </w:rPr>
      </w:pPr>
      <w:proofErr w:type="gramStart"/>
      <w:r w:rsidRPr="005E6B12">
        <w:rPr>
          <w:b/>
        </w:rPr>
        <w:t>Facility Ratings</w:t>
      </w:r>
      <w:r w:rsidR="005E6B12" w:rsidRPr="005E6B12">
        <w:rPr>
          <w:b/>
        </w:rPr>
        <w:t>.</w:t>
      </w:r>
      <w:proofErr w:type="gramEnd"/>
      <w:r w:rsidR="005E6B12">
        <w:t xml:space="preserve">  </w:t>
      </w:r>
      <w:r>
        <w:rPr>
          <w:rFonts w:cs="Arial"/>
          <w:szCs w:val="24"/>
        </w:rPr>
        <w:t>T&amp;S Asset Management maintains the facility ratings database.  Substation Engineering provides a line rating report using the PJM path rating methodology in compliance with the NERC FAC-008 Facility Ratings standard.  The report summarizes the changes to each component in the current path, assigned ratings, and any new path rating resulting from the changes along with the limiting element.  Transmission Engineering evaluates the transmission lines using a computer program to determine the maximum allowable conductor temperature based on permissible sag.  The resulting line and equipment ratings are used in the operation of the electric transmission system</w:t>
      </w:r>
    </w:p>
    <w:p w:rsidR="00AE554B" w:rsidRDefault="00AE554B" w:rsidP="005E6B12">
      <w:pPr>
        <w:pStyle w:val="Heading40"/>
      </w:pPr>
      <w:bookmarkStart w:id="137" w:name="_Toc442617414"/>
      <w:r>
        <w:t>Project Management</w:t>
      </w:r>
      <w:bookmarkEnd w:id="137"/>
    </w:p>
    <w:p w:rsidR="00AE554B" w:rsidRDefault="00AE554B" w:rsidP="00701DCF">
      <w:pPr>
        <w:rPr>
          <w:rFonts w:cs="Arial"/>
          <w:szCs w:val="24"/>
        </w:rPr>
      </w:pPr>
      <w:r>
        <w:rPr>
          <w:rFonts w:cs="Arial"/>
          <w:szCs w:val="24"/>
        </w:rPr>
        <w:t>T&amp;S Project Management takes over projects at gate 0 of the TOM process and monitors quality and deliverables throughout the process.  There are deliverables and checklists for each gate including customer, safety, and communications interfaces.  T&amp;S Project Management stays actively engaged with each group having a role in the TOM process.</w:t>
      </w:r>
    </w:p>
    <w:p w:rsidR="00AE554B" w:rsidRDefault="00AE554B" w:rsidP="00701DCF">
      <w:r>
        <w:rPr>
          <w:rFonts w:cs="Arial"/>
          <w:szCs w:val="24"/>
        </w:rPr>
        <w:t xml:space="preserve">If a major issue arises during a project, the </w:t>
      </w:r>
      <w:r w:rsidRPr="00DA6775">
        <w:rPr>
          <w:rFonts w:cs="Arial"/>
        </w:rPr>
        <w:t>Corporate Corrective Action Tracking System</w:t>
      </w:r>
      <w:r>
        <w:rPr>
          <w:rFonts w:cs="Arial"/>
        </w:rPr>
        <w:t xml:space="preserve"> </w:t>
      </w:r>
      <w:r>
        <w:rPr>
          <w:rFonts w:cs="Arial"/>
          <w:szCs w:val="24"/>
        </w:rPr>
        <w:t xml:space="preserve">(CCATs) process will be used to </w:t>
      </w:r>
      <w:r w:rsidRPr="00DA6775">
        <w:rPr>
          <w:rFonts w:cs="Arial"/>
          <w:szCs w:val="24"/>
        </w:rPr>
        <w:t>document and track the review, analysis, and recommendations or corrective action</w:t>
      </w:r>
      <w:r>
        <w:rPr>
          <w:rFonts w:cs="Arial"/>
          <w:szCs w:val="24"/>
        </w:rPr>
        <w:t>.</w:t>
      </w:r>
    </w:p>
    <w:p w:rsidR="00AE554B" w:rsidRDefault="00AE554B" w:rsidP="00701DCF">
      <w:pPr>
        <w:rPr>
          <w:rFonts w:cs="Arial"/>
          <w:szCs w:val="24"/>
        </w:rPr>
      </w:pPr>
      <w:proofErr w:type="gramStart"/>
      <w:r w:rsidRPr="005E6B12">
        <w:rPr>
          <w:b/>
        </w:rPr>
        <w:t>Project Schedule and Cost Tracking</w:t>
      </w:r>
      <w:r w:rsidR="005E6B12" w:rsidRPr="005E6B12">
        <w:rPr>
          <w:b/>
        </w:rPr>
        <w:t>.</w:t>
      </w:r>
      <w:proofErr w:type="gramEnd"/>
      <w:r w:rsidR="005E6B12">
        <w:t xml:space="preserve">  </w:t>
      </w:r>
      <w:r>
        <w:rPr>
          <w:rFonts w:cs="Arial"/>
          <w:szCs w:val="24"/>
        </w:rPr>
        <w:t>T&amp;S Project Management uses Cost Management Excellence (CMX) project scheduling and resource management, and financial planning and modeling applications to track and manage transmission capital projects.  CMX and the project management application are managed by the T&amp;S Project Management Project Controls group.</w:t>
      </w:r>
    </w:p>
    <w:p w:rsidR="00AE554B" w:rsidRDefault="00AE554B" w:rsidP="00701DCF">
      <w:pPr>
        <w:rPr>
          <w:rFonts w:cs="Arial"/>
          <w:szCs w:val="24"/>
        </w:rPr>
      </w:pPr>
      <w:r>
        <w:rPr>
          <w:rFonts w:cs="Arial"/>
          <w:szCs w:val="24"/>
        </w:rPr>
        <w:t>The CMX application is an internally developed web-based spreadsheet that pulls information from the financial model for budget and actual cost information.  The financial planning and modeling application is the source for budget information that is imported into CMX.  CMX forecasts costs and timing and gets more granular as a project progresses.  T&amp;S Asset Management uses the CMX information to update the annual budget plan</w:t>
      </w:r>
      <w:r>
        <w:t>.</w:t>
      </w:r>
    </w:p>
    <w:p w:rsidR="00AE554B" w:rsidRDefault="00AE554B" w:rsidP="00701DCF">
      <w:pPr>
        <w:rPr>
          <w:rFonts w:cs="Arial"/>
          <w:szCs w:val="24"/>
        </w:rPr>
      </w:pPr>
      <w:r>
        <w:rPr>
          <w:rFonts w:cs="Arial"/>
          <w:szCs w:val="24"/>
        </w:rPr>
        <w:t>The project schedule is stable and defined once projects pass Gate 1.  The quality of deliverables at each gate is monitored, including permit accuracy, proper ROW documents, and accurate preliminary engineering work.  Changes to project schedule or cost are reviewed in the TOM Change Control process.</w:t>
      </w:r>
    </w:p>
    <w:p w:rsidR="00AE554B" w:rsidRDefault="00AE554B" w:rsidP="00701DCF">
      <w:pPr>
        <w:rPr>
          <w:rFonts w:cs="Arial"/>
          <w:szCs w:val="24"/>
        </w:rPr>
      </w:pPr>
      <w:r>
        <w:rPr>
          <w:rFonts w:cs="Arial"/>
          <w:szCs w:val="24"/>
        </w:rPr>
        <w:lastRenderedPageBreak/>
        <w:t>There currently are over 50 super projects in the TOM process with a project manager assigned to each.  Capital work classified as “projects” are typically related to the construction or rebuilding of transmission lines or substations.    Greenfield substations have a project life cycle of one to five years depending on land acquisition needs.  Rebuilds of transmission lines typically have a two year life cycle and new transmission lines usually take three to five years based on ROW acquisition.</w:t>
      </w:r>
    </w:p>
    <w:p w:rsidR="00AE554B" w:rsidRDefault="00AE554B" w:rsidP="00701DCF">
      <w:pPr>
        <w:rPr>
          <w:rFonts w:cs="Arial"/>
          <w:szCs w:val="24"/>
        </w:rPr>
      </w:pPr>
      <w:r>
        <w:rPr>
          <w:rFonts w:cs="Arial"/>
          <w:szCs w:val="24"/>
        </w:rPr>
        <w:t>Capital work classified as “programs” generally represent system improvement efforts designed to repair, improve, or replace aged or failing components installed in the system. Program work scheduled for up to one year out is bundled with the projects to consolidate contracting and outage planning efforts.  The transmission line program work, such as wood pole replacement, surge arrestor installation, and MOLBAB installations are set up as super projects by region.  Circuit breaker, substation transformer, and protective relay replacements are assigned to a project manager by component on a system-wide basis.  Approximately $100 million of the $687 million capital budget is for program work.  The remainder is for project work.</w:t>
      </w:r>
    </w:p>
    <w:p w:rsidR="00AE554B" w:rsidRDefault="00AE554B" w:rsidP="00701DCF">
      <w:pPr>
        <w:rPr>
          <w:rFonts w:cs="Arial"/>
          <w:szCs w:val="24"/>
        </w:rPr>
      </w:pPr>
      <w:r>
        <w:rPr>
          <w:rFonts w:cs="Arial"/>
          <w:szCs w:val="24"/>
        </w:rPr>
        <w:t>The schedulers maintain the project schedule in the project scheduling and resource management application based on input from the project manager during the project life cycle.  Contractors are responsible for about 60% of the workload and supplement the in-house project management, scheduler, cost analyst, and quality control staff.</w:t>
      </w:r>
    </w:p>
    <w:p w:rsidR="00AE554B" w:rsidRDefault="00AE554B" w:rsidP="00701DCF">
      <w:pPr>
        <w:rPr>
          <w:rFonts w:cs="Arial"/>
          <w:szCs w:val="24"/>
        </w:rPr>
      </w:pPr>
      <w:r>
        <w:rPr>
          <w:rFonts w:cs="Arial"/>
          <w:szCs w:val="24"/>
        </w:rPr>
        <w:t xml:space="preserve">A new </w:t>
      </w:r>
      <w:r w:rsidRPr="00AD6470">
        <w:rPr>
          <w:rFonts w:cs="Arial"/>
          <w:szCs w:val="24"/>
        </w:rPr>
        <w:t xml:space="preserve">process </w:t>
      </w:r>
      <w:r>
        <w:rPr>
          <w:rFonts w:cs="Arial"/>
          <w:szCs w:val="24"/>
        </w:rPr>
        <w:t xml:space="preserve">was implemented </w:t>
      </w:r>
      <w:r w:rsidRPr="00AD6470">
        <w:rPr>
          <w:rFonts w:cs="Arial"/>
          <w:szCs w:val="24"/>
        </w:rPr>
        <w:t xml:space="preserve">in mid-2015 to transfer data from CMX to </w:t>
      </w:r>
      <w:r>
        <w:rPr>
          <w:rFonts w:cs="Arial"/>
          <w:szCs w:val="24"/>
        </w:rPr>
        <w:t>the financial planning and modeling application</w:t>
      </w:r>
      <w:r w:rsidRPr="00AD6470">
        <w:rPr>
          <w:rFonts w:cs="Arial"/>
          <w:szCs w:val="24"/>
        </w:rPr>
        <w:t xml:space="preserve"> in order to combine it with milestone dates from </w:t>
      </w:r>
      <w:r>
        <w:rPr>
          <w:rFonts w:cs="Arial"/>
          <w:szCs w:val="24"/>
        </w:rPr>
        <w:t>the project scheduling and resource management application</w:t>
      </w:r>
      <w:r w:rsidRPr="00AD6470">
        <w:rPr>
          <w:rFonts w:cs="Arial"/>
          <w:szCs w:val="24"/>
        </w:rPr>
        <w:t xml:space="preserve"> and create a </w:t>
      </w:r>
      <w:r>
        <w:rPr>
          <w:rFonts w:cs="Arial"/>
          <w:szCs w:val="24"/>
        </w:rPr>
        <w:t>spreadsheet</w:t>
      </w:r>
      <w:r w:rsidRPr="00AD6470">
        <w:rPr>
          <w:rFonts w:cs="Arial"/>
          <w:szCs w:val="24"/>
        </w:rPr>
        <w:t xml:space="preserve"> that is used to show the gate status of each project, spending to date, and projected spending.</w:t>
      </w:r>
    </w:p>
    <w:p w:rsidR="00AE554B" w:rsidRDefault="00AE554B" w:rsidP="00701DCF">
      <w:pPr>
        <w:rPr>
          <w:rFonts w:cs="Arial"/>
          <w:szCs w:val="24"/>
        </w:rPr>
      </w:pPr>
      <w:r>
        <w:rPr>
          <w:rFonts w:cs="Arial"/>
          <w:szCs w:val="24"/>
        </w:rPr>
        <w:t>A clearing initiative is planned for 2016 to shift from tracking hours to dollars for managing clearing accounts for transmission, distribution, and the general budgets in order to simplify the clearing process.  A module in the project scheduling and resource management application will replace CMX for this process.  The module will serve as the financial portfolio view on a daily basis.  The module will also be used to automate a number of manual steps in the process supporting scheduling and planning.  The goal is to eliminate several databases and change the staff focus from data management to data analysis.  A dashboard will be developed to manage project risk issues that impact the budget or revenues.</w:t>
      </w:r>
    </w:p>
    <w:p w:rsidR="00AE554B" w:rsidRDefault="00AE554B" w:rsidP="00701DCF">
      <w:pPr>
        <w:rPr>
          <w:rFonts w:cs="Arial"/>
          <w:szCs w:val="24"/>
        </w:rPr>
      </w:pPr>
      <w:proofErr w:type="gramStart"/>
      <w:r w:rsidRPr="005E6B12">
        <w:rPr>
          <w:b/>
        </w:rPr>
        <w:t>Project Initiation</w:t>
      </w:r>
      <w:r w:rsidR="005E6B12" w:rsidRPr="005E6B12">
        <w:rPr>
          <w:b/>
        </w:rPr>
        <w:t>.</w:t>
      </w:r>
      <w:proofErr w:type="gramEnd"/>
      <w:r w:rsidR="005E6B12">
        <w:t xml:space="preserve">  </w:t>
      </w:r>
      <w:r>
        <w:rPr>
          <w:rFonts w:cs="Arial"/>
          <w:szCs w:val="24"/>
        </w:rPr>
        <w:t>Transmission Engineering initiates the material ordering process and the project managers subsequently track material delivery, receipt, and cash flow.  Most material for transmission jobs is acquired through Anixter Solutions except for transformers and circuit breakers which are ordered from another vendor by T&amp;S Standards and Methods.  The material needs are established in the asset management application and are output into 3PL (an internally developed application) to provide the bill of materials to Anixter Solutions and the contractor.  Specifications for any custom steel poles or structures are provided by design engineering to Anixter for use in ordering the poles.  The contractor is responsible for ordering the materials from Anixter, receiving the material, and storing it before use.</w:t>
      </w:r>
    </w:p>
    <w:p w:rsidR="00AE554B" w:rsidRDefault="00AE554B" w:rsidP="00701DCF">
      <w:pPr>
        <w:rPr>
          <w:rFonts w:cs="Arial"/>
          <w:szCs w:val="24"/>
        </w:rPr>
      </w:pPr>
      <w:r>
        <w:rPr>
          <w:rFonts w:cs="Arial"/>
          <w:szCs w:val="24"/>
        </w:rPr>
        <w:lastRenderedPageBreak/>
        <w:t>There are two T&amp;S Construction Management groups with the PPL EU service area split generally north and south.  The groups are responsible for supervising contractors performing transmission and transmission substation construction and maintenance work.</w:t>
      </w:r>
    </w:p>
    <w:p w:rsidR="00AE554B" w:rsidRDefault="00AE554B" w:rsidP="00701DCF">
      <w:pPr>
        <w:rPr>
          <w:rFonts w:cs="Arial"/>
          <w:szCs w:val="24"/>
        </w:rPr>
      </w:pPr>
      <w:r>
        <w:rPr>
          <w:rFonts w:cs="Arial"/>
          <w:szCs w:val="24"/>
        </w:rPr>
        <w:t xml:space="preserve">Construction Supervisors in Construction Management are assigned a specific geographic work area and in the field, request outages from the TCC through outage request applications, oversee the field construction contractors, assure materials are delivered for the work, review change orders, and schedule reviews with the project managers.  Each supervisor typically is working on two to ten projects at a time and is assisted by Construction Coordinators. </w:t>
      </w:r>
      <w:r w:rsidRPr="004D2603">
        <w:rPr>
          <w:rFonts w:cs="Arial"/>
          <w:szCs w:val="24"/>
        </w:rPr>
        <w:t xml:space="preserve"> </w:t>
      </w:r>
      <w:r>
        <w:rPr>
          <w:rFonts w:cs="Arial"/>
          <w:szCs w:val="24"/>
        </w:rPr>
        <w:t>Construction Coordinator is an entry level position to develop the skills and experience to be a construction supervisor.</w:t>
      </w:r>
    </w:p>
    <w:p w:rsidR="00AE554B" w:rsidRDefault="00AE554B" w:rsidP="00701DCF">
      <w:pPr>
        <w:rPr>
          <w:rFonts w:cs="Arial"/>
          <w:szCs w:val="24"/>
        </w:rPr>
      </w:pPr>
      <w:r>
        <w:rPr>
          <w:rFonts w:cs="Arial"/>
          <w:szCs w:val="24"/>
        </w:rPr>
        <w:t xml:space="preserve">The Construction Supervisors monitor contractor work practices and conditions based on the PPL contractor safety requirements and the Contractor’s safety manual and participate in tail board meetings.  The supervisors have all completed the voluntary </w:t>
      </w:r>
      <w:r w:rsidRPr="002C4219">
        <w:rPr>
          <w:color w:val="000000"/>
          <w:szCs w:val="24"/>
          <w:shd w:val="clear" w:color="auto" w:fill="FFFFFF"/>
        </w:rPr>
        <w:t>Occupational Safety and Health Administration</w:t>
      </w:r>
      <w:r>
        <w:rPr>
          <w:rFonts w:cs="Arial"/>
          <w:szCs w:val="24"/>
        </w:rPr>
        <w:t xml:space="preserve"> (OSHA) thirty hour training program on </w:t>
      </w:r>
      <w:r w:rsidRPr="00A01CEC">
        <w:rPr>
          <w:rFonts w:cs="Arial"/>
          <w:szCs w:val="24"/>
        </w:rPr>
        <w:t>recognition, avoidance, abatement, and prevention of safety and health hazards</w:t>
      </w:r>
      <w:r>
        <w:rPr>
          <w:rFonts w:cs="Arial"/>
          <w:szCs w:val="24"/>
        </w:rPr>
        <w:t>.  PPL is working to make the contractors more accountable for safe work practices and performance.  A more robust set of performance indicators was developed during 2014 and 2015 including contractor safety performance.</w:t>
      </w:r>
    </w:p>
    <w:p w:rsidR="00AE554B" w:rsidRDefault="00AE554B" w:rsidP="00701DCF">
      <w:r>
        <w:t>There are approximately twenty main contractors used for PPL transmission work called contractors of choice.  Each contractor has its own set of safety rules and work procedures, along with differing field leadership, which represents a challenge in overseeing safe work practices.  Recent changes to OSHA rules allow the utility to set basic safety expectations for contractors.</w:t>
      </w:r>
    </w:p>
    <w:p w:rsidR="00AE554B" w:rsidRDefault="00AE554B" w:rsidP="00701DCF">
      <w:pPr>
        <w:rPr>
          <w:rFonts w:cs="Arial"/>
          <w:szCs w:val="24"/>
        </w:rPr>
      </w:pPr>
      <w:r>
        <w:rPr>
          <w:rFonts w:cs="Arial"/>
          <w:szCs w:val="24"/>
        </w:rPr>
        <w:t>There are also about 15 contract construction supervisors supporting specific programs such as the smart switch installations, lightning arrestor installations, and fiber installations.  These supervisors focus on projects that are comprised of a large number of small jobs.  Some programs are also managed directly by the contractor and inspected by the quality inspectors.  The volume of program work was causing a problem in providing adequate construction supervision due to the ramp up of capital work.  Therefore, a person in T&amp;S Project Management is now responsible for oversight of programs and coordinates with the contract construction supervisors.</w:t>
      </w:r>
    </w:p>
    <w:p w:rsidR="00AE554B" w:rsidRDefault="00AE554B" w:rsidP="00701DCF">
      <w:r>
        <w:t>Contractor work and payments are tracked by work order number or contract release number in the asset management system.  The Construction Supervisor is responsible for reviewing the accuracy of the billed work with actual construction in the field and then routing the invoice to the Project Manager for approval.  The asset management system retains the record of which company performed the construction work in case any warranty concerns arise.</w:t>
      </w:r>
    </w:p>
    <w:p w:rsidR="00AE554B" w:rsidRDefault="00AE554B" w:rsidP="00701DCF">
      <w:r>
        <w:t>Construction Management plans to transition to more of a construction manager role by shifting more responsibility on the contractors to perform the jobs with less field supervision.</w:t>
      </w:r>
    </w:p>
    <w:p w:rsidR="00AE554B" w:rsidRDefault="00AE554B" w:rsidP="00701DCF">
      <w:pPr>
        <w:rPr>
          <w:rFonts w:cs="Arial"/>
          <w:szCs w:val="24"/>
        </w:rPr>
      </w:pPr>
      <w:proofErr w:type="gramStart"/>
      <w:r w:rsidRPr="005E6B12">
        <w:rPr>
          <w:b/>
        </w:rPr>
        <w:t>Project Risk Management</w:t>
      </w:r>
      <w:r w:rsidR="005E6B12" w:rsidRPr="005E6B12">
        <w:rPr>
          <w:b/>
        </w:rPr>
        <w:t>.</w:t>
      </w:r>
      <w:proofErr w:type="gramEnd"/>
      <w:r w:rsidR="005E6B12">
        <w:t xml:space="preserve">  </w:t>
      </w:r>
      <w:r>
        <w:rPr>
          <w:rFonts w:cs="Arial"/>
          <w:szCs w:val="24"/>
        </w:rPr>
        <w:t xml:space="preserve">The Risk Management Policy and Procedure is owned by T&amp;S Project Management.  Risks to timely project completion and cost are identified </w:t>
      </w:r>
      <w:r>
        <w:rPr>
          <w:rFonts w:cs="Arial"/>
          <w:szCs w:val="24"/>
        </w:rPr>
        <w:lastRenderedPageBreak/>
        <w:t>and managed during the life of the project.  Risk management steps have been integrated into the TOM gate process.  A Risk Register is prepared by T&amp;S Project Management and maintained for each project that summarizes the probability and impact of potential threats to successful project execution.  The Risk Register is developed during the project development phase.  More complex projects will also have a specific Risk Management Plan developed by T&amp;S Project Management during the construction planning phase.</w:t>
      </w:r>
    </w:p>
    <w:p w:rsidR="00AE554B" w:rsidRDefault="00AE554B" w:rsidP="00701DCF">
      <w:pPr>
        <w:rPr>
          <w:rFonts w:cs="Arial"/>
          <w:szCs w:val="24"/>
        </w:rPr>
      </w:pPr>
      <w:r>
        <w:rPr>
          <w:rFonts w:cs="Arial"/>
          <w:szCs w:val="24"/>
        </w:rPr>
        <w:t>Quality control is provided by six contract quality inspectors, one for each region, that are managed by a Quality Manager in Construction Management.  The Quality Manager is a new position created in March 2015.</w:t>
      </w:r>
      <w:r w:rsidRPr="00E712E3">
        <w:rPr>
          <w:rFonts w:cs="Arial"/>
          <w:szCs w:val="24"/>
        </w:rPr>
        <w:t xml:space="preserve"> </w:t>
      </w:r>
      <w:r>
        <w:rPr>
          <w:rFonts w:cs="Arial"/>
          <w:szCs w:val="24"/>
        </w:rPr>
        <w:t xml:space="preserve"> The quality inspectors perform detailed reviews of the constructed facilities as compared to the job plans and construction standards.  The results of quality reviews are provided to the Project Manager.</w:t>
      </w:r>
    </w:p>
    <w:p w:rsidR="00910525" w:rsidRDefault="00910525" w:rsidP="00910525">
      <w:pPr>
        <w:pStyle w:val="Heading40"/>
      </w:pPr>
      <w:r>
        <w:t>Construction and Maintenance</w:t>
      </w:r>
    </w:p>
    <w:p w:rsidR="00AE554B" w:rsidRDefault="00AE554B" w:rsidP="00701DCF">
      <w:pPr>
        <w:rPr>
          <w:rFonts w:cs="Arial"/>
          <w:szCs w:val="24"/>
        </w:rPr>
      </w:pPr>
      <w:proofErr w:type="gramStart"/>
      <w:r w:rsidRPr="005E6B12">
        <w:rPr>
          <w:b/>
        </w:rPr>
        <w:t>Construction</w:t>
      </w:r>
      <w:r w:rsidR="005E6B12" w:rsidRPr="005E6B12">
        <w:rPr>
          <w:b/>
        </w:rPr>
        <w:t>.</w:t>
      </w:r>
      <w:proofErr w:type="gramEnd"/>
      <w:r w:rsidR="005E6B12">
        <w:t xml:space="preserve">  </w:t>
      </w:r>
      <w:r>
        <w:rPr>
          <w:rFonts w:cs="Arial"/>
          <w:szCs w:val="24"/>
        </w:rPr>
        <w:t>All transmission line work and most substation construction work is contracted out and managed by the Project T&amp;S Management and T&amp;S Maintenance groups.  Substation maintenance activities and smaller equipment replacement work is performed by Distribution Operations crews.</w:t>
      </w:r>
    </w:p>
    <w:p w:rsidR="00AE554B" w:rsidRDefault="00AE554B" w:rsidP="00701DCF">
      <w:pPr>
        <w:rPr>
          <w:rFonts w:cs="Arial"/>
          <w:szCs w:val="24"/>
        </w:rPr>
      </w:pPr>
      <w:r>
        <w:rPr>
          <w:rFonts w:cs="Arial"/>
          <w:szCs w:val="24"/>
        </w:rPr>
        <w:t xml:space="preserve">The </w:t>
      </w:r>
      <w:r w:rsidRPr="005336CC">
        <w:rPr>
          <w:rFonts w:cs="Arial"/>
          <w:szCs w:val="24"/>
        </w:rPr>
        <w:t xml:space="preserve">T&amp;S Maintenance </w:t>
      </w:r>
      <w:r>
        <w:rPr>
          <w:rFonts w:cs="Arial"/>
          <w:szCs w:val="24"/>
        </w:rPr>
        <w:t xml:space="preserve">Senior Engineer group has a staff of three contractors who are dedicated to overseeing </w:t>
      </w:r>
      <w:proofErr w:type="spellStart"/>
      <w:proofErr w:type="gramStart"/>
      <w:r>
        <w:rPr>
          <w:rFonts w:cs="Arial"/>
          <w:szCs w:val="24"/>
        </w:rPr>
        <w:t>greenfield</w:t>
      </w:r>
      <w:proofErr w:type="spellEnd"/>
      <w:proofErr w:type="gramEnd"/>
      <w:r>
        <w:rPr>
          <w:rFonts w:cs="Arial"/>
          <w:szCs w:val="24"/>
        </w:rPr>
        <w:t xml:space="preserve"> projects and performing acceptance testing and commissioning for new equipment.</w:t>
      </w:r>
    </w:p>
    <w:p w:rsidR="00AE554B" w:rsidRDefault="00AE554B" w:rsidP="00701DCF">
      <w:pPr>
        <w:rPr>
          <w:rFonts w:cs="Arial"/>
          <w:szCs w:val="24"/>
        </w:rPr>
      </w:pPr>
      <w:proofErr w:type="gramStart"/>
      <w:r w:rsidRPr="005E6B12">
        <w:rPr>
          <w:b/>
        </w:rPr>
        <w:t>Maintenance</w:t>
      </w:r>
      <w:r w:rsidR="005E6B12" w:rsidRPr="005E6B12">
        <w:rPr>
          <w:b/>
        </w:rPr>
        <w:t>.</w:t>
      </w:r>
      <w:proofErr w:type="gramEnd"/>
      <w:r w:rsidR="005E6B12">
        <w:t xml:space="preserve">  </w:t>
      </w:r>
      <w:r>
        <w:rPr>
          <w:rFonts w:cs="Arial"/>
          <w:szCs w:val="24"/>
        </w:rPr>
        <w:t>In addition to condition-based monitoring of substation transformers, each piece of equipment has a time based maintenance cycle that triggers work orders created by the substation equipment asset management system.  The results of the inspection or maintenance are recorded back into the asset management system and reviewed by a maintenance engineer who works with the field force.  The T&amp;S Maintenance Engineering group is currently implementing a rules-based module in the substation maintenance management application to support more complex condition-based assessment processes.  The module is being piloted on approximately a dozen circuit breakers based on breaker operation counts, fault operations, and dissolved gas analysis.</w:t>
      </w:r>
    </w:p>
    <w:p w:rsidR="00AE554B" w:rsidRPr="006D1B9D" w:rsidRDefault="00AE554B" w:rsidP="00701DCF">
      <w:pPr>
        <w:rPr>
          <w:rFonts w:cs="Arial"/>
          <w:szCs w:val="24"/>
        </w:rPr>
      </w:pPr>
      <w:r>
        <w:rPr>
          <w:rFonts w:cs="Arial"/>
          <w:szCs w:val="24"/>
        </w:rPr>
        <w:t>The maintenance cycles are built into, and maintained in, the substation maintenance management application for each type of equipment based on manufacturer recommendations and PPL EU experience with the maintenance procedures.  Utility benchmarking experience is also used to adjust PM cycles and programs.</w:t>
      </w:r>
    </w:p>
    <w:p w:rsidR="00AE554B" w:rsidRPr="00492242" w:rsidRDefault="00AE554B" w:rsidP="00701DCF">
      <w:pPr>
        <w:rPr>
          <w:rFonts w:cs="Arial"/>
          <w:szCs w:val="24"/>
        </w:rPr>
      </w:pPr>
      <w:r w:rsidRPr="005336CC">
        <w:rPr>
          <w:rFonts w:cs="Arial"/>
          <w:szCs w:val="24"/>
        </w:rPr>
        <w:t xml:space="preserve">T&amp;S Maintenance </w:t>
      </w:r>
      <w:r>
        <w:rPr>
          <w:rFonts w:cs="Arial"/>
          <w:szCs w:val="24"/>
        </w:rPr>
        <w:t xml:space="preserve">Engineering </w:t>
      </w:r>
      <w:r w:rsidRPr="005336CC">
        <w:rPr>
          <w:rFonts w:cs="Arial"/>
          <w:szCs w:val="24"/>
        </w:rPr>
        <w:t xml:space="preserve">has begun </w:t>
      </w:r>
      <w:r>
        <w:rPr>
          <w:rFonts w:cs="Arial"/>
          <w:szCs w:val="24"/>
        </w:rPr>
        <w:t>using</w:t>
      </w:r>
      <w:r w:rsidRPr="005336CC">
        <w:rPr>
          <w:rFonts w:cs="Arial"/>
          <w:szCs w:val="24"/>
        </w:rPr>
        <w:t xml:space="preserve"> 3</w:t>
      </w:r>
      <w:r w:rsidRPr="005336CC">
        <w:rPr>
          <w:rFonts w:cs="Arial"/>
          <w:szCs w:val="24"/>
          <w:vertAlign w:val="superscript"/>
        </w:rPr>
        <w:t>rd</w:t>
      </w:r>
      <w:r w:rsidRPr="005336CC">
        <w:rPr>
          <w:rFonts w:cs="Arial"/>
          <w:szCs w:val="24"/>
        </w:rPr>
        <w:t xml:space="preserve"> party testing services to analyze old</w:t>
      </w:r>
      <w:r>
        <w:rPr>
          <w:rFonts w:cs="Arial"/>
          <w:szCs w:val="24"/>
        </w:rPr>
        <w:t xml:space="preserve"> equipment removed from the field and use the information to tailor the PM programs for remaining equipment in service.  The goal is to decrease corrective maintenance by improving PM activities based on the ability to identify emerging issues with installed equipment.</w:t>
      </w:r>
    </w:p>
    <w:p w:rsidR="00AE554B" w:rsidRDefault="00AE554B" w:rsidP="00701DCF">
      <w:pPr>
        <w:rPr>
          <w:rFonts w:cs="Arial"/>
          <w:szCs w:val="24"/>
        </w:rPr>
      </w:pPr>
      <w:r>
        <w:rPr>
          <w:rFonts w:cs="Arial"/>
          <w:szCs w:val="24"/>
        </w:rPr>
        <w:t xml:space="preserve">An annual planned maintenance (PM) work load plan is developed from the substation maintenance management application.  T&amp;S Asset Management develops the budget based on </w:t>
      </w:r>
      <w:proofErr w:type="spellStart"/>
      <w:r>
        <w:rPr>
          <w:rFonts w:cs="Arial"/>
          <w:szCs w:val="24"/>
        </w:rPr>
        <w:t>hour</w:t>
      </w:r>
      <w:proofErr w:type="spellEnd"/>
      <w:r>
        <w:rPr>
          <w:rFonts w:cs="Arial"/>
          <w:szCs w:val="24"/>
        </w:rPr>
        <w:t xml:space="preserve"> projections for the planned work that are prepared by T&amp;S Maintenance Engineering.  These work orders are then triggered in the maintenance management </w:t>
      </w:r>
      <w:r>
        <w:rPr>
          <w:rFonts w:cs="Arial"/>
          <w:szCs w:val="24"/>
        </w:rPr>
        <w:lastRenderedPageBreak/>
        <w:t>application for the next budget cycle.  The PM program is managed by required completion date which may be defined as within the year, quarter, or month.  A similar process is used for telecommunications work.</w:t>
      </w:r>
    </w:p>
    <w:p w:rsidR="00AE554B" w:rsidRDefault="00AE554B" w:rsidP="00701DCF">
      <w:pPr>
        <w:rPr>
          <w:rFonts w:cs="Arial"/>
          <w:szCs w:val="24"/>
        </w:rPr>
      </w:pPr>
      <w:r>
        <w:rPr>
          <w:rFonts w:cs="Arial"/>
          <w:szCs w:val="24"/>
        </w:rPr>
        <w:t>T&amp;S Asset Management provides direction on equipment replacements as established in replacement programs, such as the substation transformer replacement program and circuit breaker replacement program, based on failure trends, increased maintenance needs, or condition assessments.  Work orders are initiated in the substation maintenance management application for replacement of failing and failed equipment.  The engineers prepare jobs for parts replacement, aged equipment replacement, and support capital work.  The engineers will identify related equipment in the substation bay requiring replacement at the same time and provide the information to T&amp;S Project Management for inclusion in the project.</w:t>
      </w:r>
    </w:p>
    <w:p w:rsidR="00AE554B" w:rsidRDefault="00AE554B" w:rsidP="00701DCF">
      <w:pPr>
        <w:rPr>
          <w:rFonts w:cs="Arial"/>
          <w:szCs w:val="24"/>
        </w:rPr>
      </w:pPr>
      <w:r>
        <w:rPr>
          <w:rFonts w:cs="Arial"/>
          <w:szCs w:val="24"/>
        </w:rPr>
        <w:t xml:space="preserve">The only NERC PRC-005 Protection and Control standard-related testing and maintenance performed by T&amp;S Maintenance Engineering is substation battery testing. </w:t>
      </w:r>
      <w:r w:rsidRPr="008F06B6">
        <w:rPr>
          <w:rFonts w:cs="Arial"/>
          <w:szCs w:val="24"/>
        </w:rPr>
        <w:t xml:space="preserve"> </w:t>
      </w:r>
      <w:r>
        <w:rPr>
          <w:rFonts w:cs="Arial"/>
          <w:szCs w:val="24"/>
        </w:rPr>
        <w:t>Relay testing and maintenance is performed by the Distribution Engineering group and that group is responsible for the majority of NERC PRC-005 protection system testing and maintenance.</w:t>
      </w:r>
    </w:p>
    <w:p w:rsidR="00AE554B" w:rsidRDefault="00AE554B" w:rsidP="00701DCF">
      <w:pPr>
        <w:rPr>
          <w:rFonts w:cs="Arial"/>
          <w:szCs w:val="24"/>
        </w:rPr>
      </w:pPr>
      <w:r>
        <w:rPr>
          <w:rFonts w:cs="Arial"/>
          <w:szCs w:val="24"/>
        </w:rPr>
        <w:t>The overall T&amp;S Maintenance Engineering work load is 15% to 20% commissioning, 40% planned maintenance and 40% corrective maintenance.</w:t>
      </w:r>
    </w:p>
    <w:p w:rsidR="00AE554B" w:rsidRPr="00395D18" w:rsidRDefault="00AE554B" w:rsidP="00701DCF">
      <w:pPr>
        <w:rPr>
          <w:rFonts w:cs="Arial"/>
          <w:szCs w:val="24"/>
        </w:rPr>
      </w:pPr>
      <w:proofErr w:type="gramStart"/>
      <w:r w:rsidRPr="005E6B12">
        <w:rPr>
          <w:b/>
        </w:rPr>
        <w:t>Transmission Line Inspection</w:t>
      </w:r>
      <w:r w:rsidR="005E6B12" w:rsidRPr="005E6B12">
        <w:rPr>
          <w:b/>
        </w:rPr>
        <w:t>.</w:t>
      </w:r>
      <w:proofErr w:type="gramEnd"/>
      <w:r w:rsidR="005E6B12">
        <w:t xml:space="preserve">  </w:t>
      </w:r>
      <w:r w:rsidRPr="00395D18">
        <w:rPr>
          <w:rFonts w:cs="Arial"/>
          <w:szCs w:val="24"/>
        </w:rPr>
        <w:t>Line inspection</w:t>
      </w:r>
      <w:r>
        <w:rPr>
          <w:rFonts w:cs="Arial"/>
          <w:szCs w:val="24"/>
        </w:rPr>
        <w:t>s are performed using</w:t>
      </w:r>
      <w:r w:rsidRPr="00395D18">
        <w:rPr>
          <w:rFonts w:cs="Arial"/>
          <w:szCs w:val="24"/>
        </w:rPr>
        <w:t xml:space="preserve"> helicopters as well as an </w:t>
      </w:r>
      <w:r w:rsidRPr="00395D18">
        <w:rPr>
          <w:rFonts w:cs="Calibri"/>
          <w:szCs w:val="24"/>
        </w:rPr>
        <w:t>Unmanned Aerial System (UAS)</w:t>
      </w:r>
      <w:r>
        <w:rPr>
          <w:rFonts w:cs="Calibri"/>
          <w:szCs w:val="24"/>
        </w:rPr>
        <w:t>; i.e., drone</w:t>
      </w:r>
      <w:r w:rsidRPr="00395D18">
        <w:rPr>
          <w:rFonts w:cs="Arial"/>
          <w:szCs w:val="24"/>
        </w:rPr>
        <w:t>.  The helicopters perform aerial inspection of all of the 69</w:t>
      </w:r>
      <w:r>
        <w:rPr>
          <w:rFonts w:cs="Arial"/>
          <w:szCs w:val="24"/>
        </w:rPr>
        <w:t xml:space="preserve"> </w:t>
      </w:r>
      <w:r w:rsidRPr="00395D18">
        <w:rPr>
          <w:rFonts w:cs="Arial"/>
          <w:szCs w:val="24"/>
        </w:rPr>
        <w:t>kV and</w:t>
      </w:r>
      <w:r>
        <w:rPr>
          <w:rFonts w:cs="Arial"/>
          <w:szCs w:val="24"/>
        </w:rPr>
        <w:t xml:space="preserve"> higher voltage </w:t>
      </w:r>
      <w:r w:rsidRPr="00395D18">
        <w:rPr>
          <w:rFonts w:cs="Arial"/>
          <w:szCs w:val="24"/>
        </w:rPr>
        <w:t>lines each year</w:t>
      </w:r>
      <w:r>
        <w:rPr>
          <w:rFonts w:cs="Arial"/>
          <w:szCs w:val="24"/>
        </w:rPr>
        <w:t xml:space="preserve"> with a</w:t>
      </w:r>
      <w:r w:rsidRPr="00395D18">
        <w:rPr>
          <w:rFonts w:cs="Arial"/>
          <w:szCs w:val="24"/>
        </w:rPr>
        <w:t xml:space="preserve">ll other transmission lines flown at least every four years.  </w:t>
      </w:r>
      <w:r>
        <w:rPr>
          <w:rFonts w:cs="Arial"/>
          <w:szCs w:val="24"/>
        </w:rPr>
        <w:t xml:space="preserve">T&amp;S </w:t>
      </w:r>
      <w:r w:rsidRPr="00395D18">
        <w:rPr>
          <w:rFonts w:cs="Arial"/>
          <w:szCs w:val="24"/>
        </w:rPr>
        <w:t xml:space="preserve">Asset Management acquired a </w:t>
      </w:r>
      <w:r>
        <w:rPr>
          <w:rFonts w:cs="Arial"/>
          <w:szCs w:val="24"/>
        </w:rPr>
        <w:t>UAS</w:t>
      </w:r>
      <w:r w:rsidRPr="00395D18">
        <w:rPr>
          <w:rFonts w:cs="Arial"/>
          <w:szCs w:val="24"/>
        </w:rPr>
        <w:t xml:space="preserve"> and received </w:t>
      </w:r>
      <w:r>
        <w:rPr>
          <w:rFonts w:cs="Arial"/>
          <w:szCs w:val="24"/>
        </w:rPr>
        <w:t>Federal Aviation Administration (</w:t>
      </w:r>
      <w:r w:rsidRPr="00395D18">
        <w:rPr>
          <w:rFonts w:cs="Arial"/>
          <w:szCs w:val="24"/>
        </w:rPr>
        <w:t>FAA</w:t>
      </w:r>
      <w:r>
        <w:rPr>
          <w:rFonts w:cs="Arial"/>
          <w:szCs w:val="24"/>
        </w:rPr>
        <w:t>)</w:t>
      </w:r>
      <w:r w:rsidRPr="00395D18">
        <w:rPr>
          <w:rFonts w:cs="Arial"/>
          <w:szCs w:val="24"/>
        </w:rPr>
        <w:t xml:space="preserve"> approval for its use</w:t>
      </w:r>
      <w:r>
        <w:rPr>
          <w:rFonts w:cs="Arial"/>
          <w:szCs w:val="24"/>
        </w:rPr>
        <w:t xml:space="preserve"> in mid-2015</w:t>
      </w:r>
      <w:r w:rsidRPr="00395D18">
        <w:rPr>
          <w:rFonts w:cs="Arial"/>
          <w:szCs w:val="24"/>
        </w:rPr>
        <w:t xml:space="preserve">.  A licensed pilot </w:t>
      </w:r>
      <w:r>
        <w:rPr>
          <w:rFonts w:cs="Arial"/>
          <w:szCs w:val="24"/>
        </w:rPr>
        <w:t>was</w:t>
      </w:r>
      <w:r w:rsidRPr="00395D18">
        <w:rPr>
          <w:rFonts w:cs="Arial"/>
          <w:szCs w:val="24"/>
        </w:rPr>
        <w:t xml:space="preserve"> contracted to operate the </w:t>
      </w:r>
      <w:r>
        <w:rPr>
          <w:rFonts w:cs="Arial"/>
          <w:szCs w:val="24"/>
        </w:rPr>
        <w:t>UAS</w:t>
      </w:r>
      <w:r w:rsidRPr="00395D18">
        <w:rPr>
          <w:rFonts w:cs="Arial"/>
          <w:szCs w:val="24"/>
        </w:rPr>
        <w:t xml:space="preserve"> for the evaluation phase</w:t>
      </w:r>
      <w:r>
        <w:rPr>
          <w:rFonts w:cs="Arial"/>
          <w:szCs w:val="24"/>
        </w:rPr>
        <w:t xml:space="preserve"> and it is expected that drones may be able to lower the cost of transmission line inspections</w:t>
      </w:r>
      <w:r w:rsidRPr="00395D18">
        <w:rPr>
          <w:rFonts w:cs="Arial"/>
          <w:szCs w:val="24"/>
        </w:rPr>
        <w:t>.</w:t>
      </w:r>
    </w:p>
    <w:p w:rsidR="00AE554B" w:rsidRDefault="00AE554B" w:rsidP="00701DCF">
      <w:r>
        <w:t>PPL has identified several benefits for use of the UAS technology on its system:</w:t>
      </w:r>
    </w:p>
    <w:p w:rsidR="00AE554B" w:rsidRDefault="00AE554B" w:rsidP="00701DCF">
      <w:pPr>
        <w:pStyle w:val="Bullet"/>
      </w:pPr>
      <w:r>
        <w:t>Greater versatility than conventional aircraft</w:t>
      </w:r>
    </w:p>
    <w:p w:rsidR="00AE554B" w:rsidRDefault="00AE554B" w:rsidP="00701DCF">
      <w:pPr>
        <w:pStyle w:val="Bullet"/>
      </w:pPr>
      <w:r>
        <w:t>Superior safety for personnel</w:t>
      </w:r>
    </w:p>
    <w:p w:rsidR="00AE554B" w:rsidRDefault="00AE554B" w:rsidP="00701DCF">
      <w:pPr>
        <w:pStyle w:val="Bullet"/>
      </w:pPr>
      <w:r>
        <w:t xml:space="preserve">Quickly deployable </w:t>
      </w:r>
    </w:p>
    <w:p w:rsidR="00AE554B" w:rsidRDefault="00AE554B" w:rsidP="00701DCF">
      <w:pPr>
        <w:pStyle w:val="Bullet"/>
      </w:pPr>
      <w:r>
        <w:t>Lower impact to surrounding environment and property owners</w:t>
      </w:r>
    </w:p>
    <w:p w:rsidR="00AE554B" w:rsidRDefault="00AE554B" w:rsidP="00701DCF">
      <w:pPr>
        <w:pStyle w:val="Bullet"/>
      </w:pPr>
      <w:r>
        <w:t>Potential for higher quality inspection data</w:t>
      </w:r>
    </w:p>
    <w:p w:rsidR="00AE554B" w:rsidRPr="00395D18" w:rsidRDefault="00AE554B" w:rsidP="00701DCF">
      <w:pPr>
        <w:pStyle w:val="Normal-aftertable"/>
      </w:pPr>
      <w:r w:rsidRPr="000B2000">
        <w:rPr>
          <w:color w:val="000000" w:themeColor="text1"/>
        </w:rPr>
        <w:t xml:space="preserve">PPL EU reported that, during the pilot phase, the initial cost per structure of the UAS was $333 versus a typical helicopter cost of $45.  This includes labor, vehicle costs, fuel, maintenance as well as administrative and post flight processing costs.  As the pilot gained experience, efficiencies were gained and, by year-end 2015, the UA pilot inspection costs were </w:t>
      </w:r>
      <w:r>
        <w:rPr>
          <w:color w:val="000000" w:themeColor="text1"/>
        </w:rPr>
        <w:t xml:space="preserve">per structure was $137, or </w:t>
      </w:r>
      <w:r w:rsidRPr="000B2000">
        <w:rPr>
          <w:color w:val="000000" w:themeColor="text1"/>
        </w:rPr>
        <w:t>about three times the cost of a conventional helicopter patrol.  PPL reported that the costs have dropped because of improved flight times, as well as the reduction of staffing requirements from three operators to two.  Due to current FAA regulations, there are a limited number of places the UAS can be legally flown.</w:t>
      </w:r>
      <w:r>
        <w:rPr>
          <w:color w:val="000000" w:themeColor="text1"/>
        </w:rPr>
        <w:t xml:space="preserve"> </w:t>
      </w:r>
      <w:r w:rsidRPr="000B2000">
        <w:rPr>
          <w:color w:val="000000" w:themeColor="text1"/>
        </w:rPr>
        <w:t xml:space="preserve"> This is largely due to a “non-participant” zone which requires that the UAS be operated at least 500 feet away from people, homes, and </w:t>
      </w:r>
      <w:r w:rsidRPr="000B2000">
        <w:rPr>
          <w:color w:val="000000" w:themeColor="text1"/>
        </w:rPr>
        <w:lastRenderedPageBreak/>
        <w:t xml:space="preserve">businesses that are not involved in the flight. </w:t>
      </w:r>
      <w:r>
        <w:rPr>
          <w:color w:val="000000" w:themeColor="text1"/>
        </w:rPr>
        <w:t xml:space="preserve"> </w:t>
      </w:r>
      <w:r w:rsidRPr="000B2000">
        <w:rPr>
          <w:color w:val="000000" w:themeColor="text1"/>
        </w:rPr>
        <w:t xml:space="preserve">In total </w:t>
      </w:r>
      <w:r>
        <w:rPr>
          <w:color w:val="000000" w:themeColor="text1"/>
        </w:rPr>
        <w:t xml:space="preserve">UAS can operate </w:t>
      </w:r>
      <w:r w:rsidRPr="000B2000">
        <w:rPr>
          <w:color w:val="000000" w:themeColor="text1"/>
        </w:rPr>
        <w:t xml:space="preserve">within the </w:t>
      </w:r>
      <w:r w:rsidRPr="003C6065">
        <w:rPr>
          <w:color w:val="000000" w:themeColor="text1"/>
        </w:rPr>
        <w:t>current FAA rules on approximately 39% of the PPL transmission system</w:t>
      </w:r>
      <w:r w:rsidRPr="003C6065">
        <w:t>.</w:t>
      </w:r>
    </w:p>
    <w:p w:rsidR="005E6B12" w:rsidRDefault="00AE554B" w:rsidP="005E6B12">
      <w:pPr>
        <w:pStyle w:val="Heading40"/>
      </w:pPr>
      <w:bookmarkStart w:id="138" w:name="_Toc442617416"/>
      <w:r w:rsidRPr="005E6B12">
        <w:t>Transmission Control Center</w:t>
      </w:r>
      <w:bookmarkEnd w:id="138"/>
      <w:r w:rsidR="005E6B12">
        <w:t xml:space="preserve"> </w:t>
      </w:r>
    </w:p>
    <w:p w:rsidR="00AE554B" w:rsidRDefault="00AE554B" w:rsidP="00701DCF">
      <w:pPr>
        <w:rPr>
          <w:rFonts w:cs="Arial"/>
          <w:szCs w:val="24"/>
        </w:rPr>
      </w:pPr>
      <w:r>
        <w:rPr>
          <w:rFonts w:cs="Arial"/>
          <w:szCs w:val="24"/>
        </w:rPr>
        <w:t xml:space="preserve">The Transmission Control Center (TCC) is in a secure facility purpose built to serve as a PPL EU data center and operations center with appropriate physical security controls and building systems.  The TCC relocated to its present facility in February 2014 after a Reliability First audit of the new facility.  </w:t>
      </w:r>
      <w:r>
        <w:t xml:space="preserve">Reliability </w:t>
      </w:r>
      <w:proofErr w:type="gramStart"/>
      <w:r>
        <w:t>First</w:t>
      </w:r>
      <w:proofErr w:type="gramEnd"/>
      <w:r>
        <w:t xml:space="preserve"> is one of eight NERC Regional Entities responsible for monitoring compliance with reliability standards in operation and protection of the North American Bulk Electric System (BES).</w:t>
      </w:r>
    </w:p>
    <w:p w:rsidR="00AE554B" w:rsidRDefault="00AE554B" w:rsidP="00701DCF">
      <w:pPr>
        <w:rPr>
          <w:rFonts w:cs="Arial"/>
          <w:szCs w:val="24"/>
        </w:rPr>
      </w:pPr>
      <w:r>
        <w:rPr>
          <w:rFonts w:cs="Arial"/>
          <w:szCs w:val="24"/>
        </w:rPr>
        <w:t xml:space="preserve">The TCC is an open floor concept with large digital displays mounted on the walls.  A number of displays can be shown including a switching schematic, a load flow schematic, and a geographic schematic of the transmission system.  </w:t>
      </w:r>
      <w:r w:rsidRPr="00D337D1">
        <w:rPr>
          <w:rFonts w:cs="Arial"/>
          <w:szCs w:val="24"/>
        </w:rPr>
        <w:t>All TCC operating procedures and policies are maintained electronically along with</w:t>
      </w:r>
      <w:r>
        <w:rPr>
          <w:rFonts w:cs="Arial"/>
          <w:szCs w:val="24"/>
        </w:rPr>
        <w:t xml:space="preserve"> select</w:t>
      </w:r>
      <w:r w:rsidRPr="00D337D1">
        <w:rPr>
          <w:rFonts w:cs="Arial"/>
          <w:szCs w:val="24"/>
        </w:rPr>
        <w:t xml:space="preserve"> hard copies at the TCC for </w:t>
      </w:r>
      <w:r>
        <w:rPr>
          <w:rFonts w:cs="Arial"/>
          <w:szCs w:val="24"/>
        </w:rPr>
        <w:t>transmission system operator (</w:t>
      </w:r>
      <w:r w:rsidRPr="00D337D1">
        <w:rPr>
          <w:rFonts w:cs="Arial"/>
          <w:szCs w:val="24"/>
        </w:rPr>
        <w:t>TSO</w:t>
      </w:r>
      <w:r>
        <w:rPr>
          <w:rFonts w:cs="Arial"/>
          <w:szCs w:val="24"/>
        </w:rPr>
        <w:t>)</w:t>
      </w:r>
      <w:r w:rsidRPr="00D337D1">
        <w:rPr>
          <w:rFonts w:cs="Arial"/>
          <w:szCs w:val="24"/>
        </w:rPr>
        <w:t xml:space="preserve"> use.</w:t>
      </w:r>
    </w:p>
    <w:p w:rsidR="00AE554B" w:rsidRPr="001539C2" w:rsidRDefault="00AE554B" w:rsidP="00701DCF">
      <w:pPr>
        <w:rPr>
          <w:rFonts w:cs="Arial"/>
          <w:szCs w:val="24"/>
        </w:rPr>
      </w:pPr>
      <w:r>
        <w:rPr>
          <w:rFonts w:cs="Arial"/>
          <w:szCs w:val="24"/>
        </w:rPr>
        <w:t xml:space="preserve">PPL EU is a member of PJM.  The </w:t>
      </w:r>
      <w:r w:rsidRPr="00F56AAF">
        <w:rPr>
          <w:rFonts w:cs="Arial"/>
          <w:szCs w:val="24"/>
        </w:rPr>
        <w:t>PJM Interconnection is a regional transmission organization (RTO) that coordinates the movement of wholesale electricity in all or parts of Delaware, Illinois, Indiana, Kentucky, Maryland, Michigan, New Jersey, North Carolina, Ohio, Pennsylvania, Tennessee, Virginia, West Virginia and the District of Columbia.</w:t>
      </w:r>
      <w:r w:rsidRPr="00B87CE7">
        <w:rPr>
          <w:rFonts w:cs="Arial"/>
          <w:szCs w:val="24"/>
        </w:rPr>
        <w:t xml:space="preserve"> </w:t>
      </w:r>
      <w:r>
        <w:rPr>
          <w:rFonts w:cs="Arial"/>
          <w:szCs w:val="24"/>
        </w:rPr>
        <w:t xml:space="preserve"> PJM obtains the black start resources for PPL EU as the Transmission Operator (TOP) and PPL EU participates in bi-annual PJM black start drills and also tests its backup control center functionality bi-annually.</w:t>
      </w:r>
    </w:p>
    <w:p w:rsidR="00AE554B" w:rsidRDefault="00AE554B" w:rsidP="00701DCF">
      <w:pPr>
        <w:rPr>
          <w:rFonts w:cs="Arial"/>
          <w:szCs w:val="24"/>
        </w:rPr>
      </w:pPr>
      <w:proofErr w:type="gramStart"/>
      <w:r w:rsidRPr="005E6B12">
        <w:rPr>
          <w:b/>
        </w:rPr>
        <w:t>TCC Operations</w:t>
      </w:r>
      <w:r w:rsidR="005E6B12" w:rsidRPr="005E6B12">
        <w:rPr>
          <w:b/>
        </w:rPr>
        <w:t>.</w:t>
      </w:r>
      <w:proofErr w:type="gramEnd"/>
      <w:r w:rsidR="005E6B12">
        <w:t xml:space="preserve">  </w:t>
      </w:r>
      <w:r>
        <w:rPr>
          <w:rFonts w:cs="Arial"/>
          <w:szCs w:val="24"/>
        </w:rPr>
        <w:t>During the day, there is Senior Transmission Operator that provides oversight for situational awareness and direction to the remaining four TSOs.  One of the TSOs is assigned to the PJM/500 kV desk.  The TSO on the PJM/500 kV desk interfaces with PJM on daily coordination of operations and major outage events.</w:t>
      </w:r>
    </w:p>
    <w:p w:rsidR="00AE554B" w:rsidRDefault="00AE554B" w:rsidP="00701DCF">
      <w:pPr>
        <w:rPr>
          <w:rFonts w:cs="Arial"/>
          <w:szCs w:val="24"/>
        </w:rPr>
      </w:pPr>
      <w:r>
        <w:rPr>
          <w:rFonts w:cs="Arial"/>
          <w:szCs w:val="24"/>
        </w:rPr>
        <w:t>The remaining three TSOs each are assigned to one of the three PPL EU Super Regions.  Three overflow desks are also setup, providing a total of eight fully functioning TSO desks in the TCC.  The overflow desks can be used in a major transmission outage event to facilitate restoration activities.  An additional desk is configured normally for training by the TSOs and is located in the Transmission Operations simulation room.  If needed, the workstation can be reconfigured for real time monitoring and operation.  IT also has a desk in the control center for monitoring the applications and addressing any performance issues.</w:t>
      </w:r>
    </w:p>
    <w:p w:rsidR="00AE554B" w:rsidRDefault="00AE554B" w:rsidP="00701DCF">
      <w:pPr>
        <w:rPr>
          <w:rFonts w:cs="Arial"/>
          <w:szCs w:val="24"/>
        </w:rPr>
      </w:pPr>
      <w:r>
        <w:rPr>
          <w:rFonts w:cs="Arial"/>
          <w:szCs w:val="24"/>
        </w:rPr>
        <w:t>Real Time Contingency Analysis assesses the</w:t>
      </w:r>
      <w:r>
        <w:t xml:space="preserve"> ability of the transmission system to withstand credible component failures by evaluating the impact of over 600 scenarios on the current system configuration.  </w:t>
      </w:r>
      <w:r>
        <w:rPr>
          <w:rFonts w:cs="Arial"/>
          <w:szCs w:val="24"/>
        </w:rPr>
        <w:t xml:space="preserve">The time to run contingency analysis has been improved in 2015 from every ten minutes to every five minutes.  If the analysis indicates a potential issue, the TSO works with PJM to resolve the issue within the 30 minute NERC window.  </w:t>
      </w:r>
    </w:p>
    <w:p w:rsidR="00AE554B" w:rsidRDefault="00AE554B" w:rsidP="00701DCF">
      <w:pPr>
        <w:rPr>
          <w:rFonts w:cs="Arial"/>
          <w:szCs w:val="24"/>
        </w:rPr>
      </w:pPr>
      <w:r w:rsidRPr="005E6B12">
        <w:rPr>
          <w:b/>
        </w:rPr>
        <w:t>EMS Updates and PJM Interfaces</w:t>
      </w:r>
      <w:r w:rsidR="005E6B12" w:rsidRPr="005E6B12">
        <w:rPr>
          <w:b/>
        </w:rPr>
        <w:t>.</w:t>
      </w:r>
      <w:r w:rsidR="005E6B12">
        <w:t xml:space="preserve">  </w:t>
      </w:r>
      <w:r>
        <w:rPr>
          <w:rFonts w:cs="Arial"/>
          <w:szCs w:val="24"/>
        </w:rPr>
        <w:t xml:space="preserve">The two engineers in the Power Dispatch Supervising Engineer group interface with PJM and neighboring utilities, and manage the Energy Management System (EMS) changes, including model updates, requesting stability studies, and resolution of modeling issues and participate on the PJM Data </w:t>
      </w:r>
      <w:r>
        <w:rPr>
          <w:rFonts w:cs="Arial"/>
          <w:szCs w:val="24"/>
        </w:rPr>
        <w:lastRenderedPageBreak/>
        <w:t xml:space="preserve">Management Subcommittee.  The engineers work on the day shift to support system modeling studies.  The Supervising Engineer group also works with T&amp;S Asset Management on proposed projects to resolve issues identified in the long range planning studies.  The group also uses the facility ratings database to develop system operating limits (SOLs) for use by PPL EU TSOs and PJM. </w:t>
      </w:r>
    </w:p>
    <w:p w:rsidR="00AE554B" w:rsidRDefault="00AE554B" w:rsidP="00701DCF">
      <w:pPr>
        <w:rPr>
          <w:rFonts w:cs="Arial"/>
          <w:szCs w:val="24"/>
        </w:rPr>
      </w:pPr>
      <w:r>
        <w:rPr>
          <w:rFonts w:cs="Arial"/>
          <w:szCs w:val="24"/>
        </w:rPr>
        <w:t xml:space="preserve">PJM uses a </w:t>
      </w:r>
      <w:r w:rsidRPr="00F56AAF">
        <w:rPr>
          <w:rFonts w:cs="Arial"/>
          <w:szCs w:val="24"/>
        </w:rPr>
        <w:t>Dispatcher Application and Reporting Tool</w:t>
      </w:r>
      <w:r>
        <w:rPr>
          <w:rFonts w:cs="Arial"/>
          <w:szCs w:val="24"/>
        </w:rPr>
        <w:t xml:space="preserve"> (</w:t>
      </w:r>
      <w:r w:rsidRPr="00F56AAF">
        <w:rPr>
          <w:rFonts w:cs="Arial"/>
          <w:szCs w:val="24"/>
        </w:rPr>
        <w:t>eDART</w:t>
      </w:r>
      <w:r>
        <w:rPr>
          <w:rFonts w:cs="Arial"/>
          <w:szCs w:val="24"/>
        </w:rPr>
        <w:t>)</w:t>
      </w:r>
      <w:r w:rsidRPr="00F56AAF">
        <w:rPr>
          <w:rFonts w:cs="Arial"/>
          <w:szCs w:val="24"/>
        </w:rPr>
        <w:t xml:space="preserve"> </w:t>
      </w:r>
      <w:r>
        <w:rPr>
          <w:rFonts w:cs="Arial"/>
          <w:szCs w:val="24"/>
        </w:rPr>
        <w:t xml:space="preserve">for transmission operators to submit outage and switching requests.  The TSOs prepare the clearance orders and review the requests proposed for PPL EU work.  These are reviewed by the TSOs using human performance principles to assure safety and accuracy of the orders and eDART requests.  The TCC process is to first resolve safety concerns, then reliability issues, and then look at productivity issues for each order processed.  The PPL EU 69 kV system is not classified as part of the Bulk Electric System (BES) but portions of the 69kV system are monitored by PJM.  All planned outages on the 138 kV through 500 kV </w:t>
      </w:r>
      <w:proofErr w:type="gramStart"/>
      <w:r>
        <w:rPr>
          <w:rFonts w:cs="Arial"/>
          <w:szCs w:val="24"/>
        </w:rPr>
        <w:t>system</w:t>
      </w:r>
      <w:proofErr w:type="gramEnd"/>
      <w:r>
        <w:rPr>
          <w:rFonts w:cs="Arial"/>
          <w:szCs w:val="24"/>
        </w:rPr>
        <w:t xml:space="preserve"> (Bulk Electric System (BES)) are submitted via eDART to PJM.  Planned outages on the BES system must be requested as per PJM Submittal guidelines as detailed in PJM Manual 3.  69 kV facilities that are monitored by PJM follow the same PJM advance notification guidelines.</w:t>
      </w:r>
    </w:p>
    <w:p w:rsidR="00AE554B" w:rsidRDefault="00AE554B" w:rsidP="00701DCF">
      <w:pPr>
        <w:rPr>
          <w:rFonts w:cs="Arial"/>
          <w:szCs w:val="24"/>
        </w:rPr>
      </w:pPr>
      <w:proofErr w:type="gramStart"/>
      <w:r w:rsidRPr="005E6B12">
        <w:rPr>
          <w:b/>
        </w:rPr>
        <w:t>Energy Management System</w:t>
      </w:r>
      <w:r w:rsidR="005E6B12" w:rsidRPr="005E6B12">
        <w:rPr>
          <w:b/>
        </w:rPr>
        <w:t>.</w:t>
      </w:r>
      <w:proofErr w:type="gramEnd"/>
      <w:r w:rsidR="005E6B12">
        <w:t xml:space="preserve">  </w:t>
      </w:r>
      <w:r>
        <w:rPr>
          <w:rFonts w:cs="Arial"/>
          <w:szCs w:val="24"/>
        </w:rPr>
        <w:t xml:space="preserve">The current version of EMS software is nearing the end of its useful life and is </w:t>
      </w:r>
      <w:r w:rsidRPr="001E6FA8">
        <w:rPr>
          <w:rFonts w:cs="Arial"/>
          <w:szCs w:val="24"/>
        </w:rPr>
        <w:t xml:space="preserve">planned to be replaced </w:t>
      </w:r>
      <w:r>
        <w:rPr>
          <w:rFonts w:cs="Arial"/>
          <w:szCs w:val="24"/>
        </w:rPr>
        <w:t xml:space="preserve">by </w:t>
      </w:r>
      <w:r w:rsidRPr="001E6FA8">
        <w:rPr>
          <w:rFonts w:cs="Arial"/>
          <w:szCs w:val="24"/>
        </w:rPr>
        <w:t xml:space="preserve">2018.  </w:t>
      </w:r>
      <w:r>
        <w:rPr>
          <w:rFonts w:cs="Arial"/>
          <w:szCs w:val="24"/>
        </w:rPr>
        <w:t>The vendor has extended the maintenance agreement until the system is updated.  The EMS is used to control the transmission system including the new MOLBAB switches being installed on the 69 kV system to improve sectionalizing and fault isolation.  IT provides on-site EMS support.</w:t>
      </w:r>
    </w:p>
    <w:p w:rsidR="00AE554B" w:rsidRDefault="00AE554B" w:rsidP="00701DCF">
      <w:pPr>
        <w:rPr>
          <w:rFonts w:cs="Arial"/>
          <w:szCs w:val="24"/>
        </w:rPr>
      </w:pPr>
      <w:r>
        <w:rPr>
          <w:rFonts w:cs="Arial"/>
          <w:szCs w:val="24"/>
        </w:rPr>
        <w:t xml:space="preserve">The sectionalizing being installed on the 69 kV </w:t>
      </w:r>
      <w:proofErr w:type="gramStart"/>
      <w:r>
        <w:rPr>
          <w:rFonts w:cs="Arial"/>
          <w:szCs w:val="24"/>
        </w:rPr>
        <w:t>system</w:t>
      </w:r>
      <w:proofErr w:type="gramEnd"/>
      <w:r>
        <w:rPr>
          <w:rFonts w:cs="Arial"/>
          <w:szCs w:val="24"/>
        </w:rPr>
        <w:t xml:space="preserve"> is currently in manual operating mode.  A future goal is to evaluate the automation of the switching by utilizing fault location sensors and network connectivity to automatically isolate a fault and restore service around the faulted line section.</w:t>
      </w:r>
    </w:p>
    <w:p w:rsidR="00AE554B" w:rsidRDefault="00AE554B" w:rsidP="00701DCF">
      <w:pPr>
        <w:rPr>
          <w:rFonts w:cs="Arial"/>
          <w:szCs w:val="24"/>
        </w:rPr>
      </w:pPr>
      <w:proofErr w:type="gramStart"/>
      <w:r w:rsidRPr="005E6B12">
        <w:rPr>
          <w:b/>
        </w:rPr>
        <w:t>Daily Outage Coordination</w:t>
      </w:r>
      <w:r w:rsidR="005E6B12" w:rsidRPr="005E6B12">
        <w:rPr>
          <w:b/>
        </w:rPr>
        <w:t>.</w:t>
      </w:r>
      <w:proofErr w:type="gramEnd"/>
      <w:r w:rsidR="005E6B12">
        <w:t xml:space="preserve">  </w:t>
      </w:r>
      <w:r>
        <w:t xml:space="preserve">There is a morning operations call run by the Distribution Control Center (DCC) that includes a review of unplanned transmission outages.  Each unplanned outage is reviewed by an appropriate work group to identify the root cause which is categorized as a human performance or equipment failure event.  NERC PRC-004 </w:t>
      </w:r>
      <w:proofErr w:type="spellStart"/>
      <w:r>
        <w:t>Misoperation</w:t>
      </w:r>
      <w:proofErr w:type="spellEnd"/>
      <w:r>
        <w:t xml:space="preserve"> standard analysis and reporting responsibilities are performed in accordance with a documented PPL EU procedure.  There is a matrix and supporting document for reporting outages to the PUC, PJM and Reliability First (RF).</w:t>
      </w:r>
    </w:p>
    <w:p w:rsidR="00AE554B" w:rsidRPr="00440B39" w:rsidRDefault="00AE554B" w:rsidP="00701DCF">
      <w:proofErr w:type="gramStart"/>
      <w:r w:rsidRPr="00584294">
        <w:rPr>
          <w:b/>
        </w:rPr>
        <w:t>NERC CIP Version 5Compliance</w:t>
      </w:r>
      <w:r w:rsidR="00584294" w:rsidRPr="00584294">
        <w:rPr>
          <w:b/>
        </w:rPr>
        <w:t>.</w:t>
      </w:r>
      <w:proofErr w:type="gramEnd"/>
      <w:r w:rsidR="00584294">
        <w:t xml:space="preserve">  </w:t>
      </w:r>
      <w:r w:rsidRPr="001B4CA2">
        <w:rPr>
          <w:rFonts w:cs="Arial"/>
          <w:color w:val="000000"/>
          <w:szCs w:val="24"/>
        </w:rPr>
        <w:t xml:space="preserve">A major effort underway by </w:t>
      </w:r>
      <w:r>
        <w:rPr>
          <w:rFonts w:cs="Arial"/>
          <w:color w:val="000000"/>
          <w:szCs w:val="24"/>
        </w:rPr>
        <w:t>Relay Engineering</w:t>
      </w:r>
      <w:r w:rsidRPr="001B4CA2">
        <w:rPr>
          <w:rFonts w:cs="Arial"/>
          <w:color w:val="000000"/>
          <w:szCs w:val="24"/>
        </w:rPr>
        <w:t xml:space="preserve">, related to NERC CIP compliance, is to upgrade the protocols in the microprocessor protection systems to the </w:t>
      </w:r>
      <w:r w:rsidRPr="001B4CA2">
        <w:rPr>
          <w:rFonts w:cs="Arial"/>
          <w:color w:val="000000"/>
          <w:szCs w:val="24"/>
          <w:shd w:val="clear" w:color="auto" w:fill="FFFFFF"/>
        </w:rPr>
        <w:t xml:space="preserve">International </w:t>
      </w:r>
      <w:proofErr w:type="spellStart"/>
      <w:r w:rsidRPr="001B4CA2">
        <w:rPr>
          <w:rFonts w:cs="Arial"/>
          <w:color w:val="000000"/>
          <w:szCs w:val="24"/>
          <w:shd w:val="clear" w:color="auto" w:fill="FFFFFF"/>
        </w:rPr>
        <w:t>Electrotechnical</w:t>
      </w:r>
      <w:proofErr w:type="spellEnd"/>
      <w:r w:rsidRPr="001B4CA2">
        <w:rPr>
          <w:rFonts w:cs="Arial"/>
          <w:color w:val="000000"/>
          <w:szCs w:val="24"/>
          <w:shd w:val="clear" w:color="auto" w:fill="FFFFFF"/>
        </w:rPr>
        <w:t xml:space="preserve"> Commission</w:t>
      </w:r>
      <w:r w:rsidRPr="001B4CA2">
        <w:rPr>
          <w:rFonts w:cs="Arial"/>
          <w:bCs/>
          <w:color w:val="000000"/>
          <w:szCs w:val="24"/>
          <w:shd w:val="clear" w:color="auto" w:fill="FFFFFF"/>
        </w:rPr>
        <w:t xml:space="preserve"> (IEC) 61850</w:t>
      </w:r>
      <w:r w:rsidRPr="001B4CA2">
        <w:rPr>
          <w:rFonts w:cs="Arial"/>
          <w:color w:val="000000"/>
          <w:szCs w:val="24"/>
          <w:shd w:val="clear" w:color="auto" w:fill="FFFFFF"/>
        </w:rPr>
        <w:t xml:space="preserve"> standard</w:t>
      </w:r>
      <w:r w:rsidRPr="00440B39">
        <w:t xml:space="preserve"> and to upgrade the protection system firmware to the latest security version</w:t>
      </w:r>
      <w:r w:rsidRPr="001B4CA2">
        <w:rPr>
          <w:rFonts w:cs="Arial"/>
          <w:color w:val="000000"/>
          <w:szCs w:val="24"/>
          <w:shd w:val="clear" w:color="auto" w:fill="FFFFFF"/>
        </w:rPr>
        <w:t>.  IEC 61850 is a standard for the design of</w:t>
      </w:r>
      <w:r w:rsidRPr="00440B39">
        <w:t xml:space="preserve"> substation automation.  Remote access is not used to interrogate the microprocessor protection systems.  PPL EU uses a custom built cellular package to remotely interrogate older electromechanical relaying. </w:t>
      </w:r>
    </w:p>
    <w:p w:rsidR="00AE554B" w:rsidRDefault="00AE554B" w:rsidP="00701DCF">
      <w:pPr>
        <w:rPr>
          <w:rFonts w:cs="Arial"/>
          <w:szCs w:val="24"/>
        </w:rPr>
      </w:pPr>
      <w:r>
        <w:rPr>
          <w:rFonts w:cs="Arial"/>
          <w:szCs w:val="24"/>
        </w:rPr>
        <w:t xml:space="preserve">Transmission Planning has also developed a list of critical assets under the CIP version 5 standards for application of the requirements.  Relay Engineering is involved due to the remote access capabilities to microprocessor based relays and SCADA systems.  </w:t>
      </w:r>
      <w:r>
        <w:rPr>
          <w:rFonts w:cs="Arial"/>
          <w:szCs w:val="24"/>
        </w:rPr>
        <w:lastRenderedPageBreak/>
        <w:t>T&amp;S Reliability Compliance is working with the relay engineers to educate them on the new CIP requirements.</w:t>
      </w:r>
    </w:p>
    <w:p w:rsidR="00AE554B" w:rsidRDefault="00AE554B" w:rsidP="00701DCF">
      <w:r>
        <w:rPr>
          <w:rFonts w:cs="Arial"/>
          <w:szCs w:val="24"/>
        </w:rPr>
        <w:t xml:space="preserve">The </w:t>
      </w:r>
      <w:r>
        <w:t xml:space="preserve">NERC CIP-014 Physical Security </w:t>
      </w:r>
      <w:r>
        <w:rPr>
          <w:rFonts w:cs="Arial"/>
          <w:szCs w:val="24"/>
        </w:rPr>
        <w:t>standard requires utilities to identify and protect Bulk Electric System (BES) t</w:t>
      </w:r>
      <w:r>
        <w:t xml:space="preserve">ransmission substations, and their associated primary control centers, that if rendered inoperable or damaged as a result of a physical attack could result in widespread instability, uncontrolled separation, or cascading within power system.  </w:t>
      </w:r>
      <w:r>
        <w:rPr>
          <w:rFonts w:cs="Arial"/>
          <w:szCs w:val="24"/>
        </w:rPr>
        <w:t xml:space="preserve">The </w:t>
      </w:r>
      <w:r w:rsidRPr="006D20AA">
        <w:rPr>
          <w:rFonts w:cs="Arial"/>
          <w:szCs w:val="24"/>
        </w:rPr>
        <w:t xml:space="preserve">Principal Engineer </w:t>
      </w:r>
      <w:r>
        <w:rPr>
          <w:rFonts w:cs="Arial"/>
          <w:szCs w:val="24"/>
        </w:rPr>
        <w:t xml:space="preserve">for </w:t>
      </w:r>
      <w:r w:rsidRPr="006D20AA">
        <w:rPr>
          <w:rFonts w:cs="Arial"/>
          <w:szCs w:val="24"/>
        </w:rPr>
        <w:t xml:space="preserve">NERC CIP-014 </w:t>
      </w:r>
      <w:r>
        <w:rPr>
          <w:rFonts w:cs="Arial"/>
          <w:szCs w:val="24"/>
        </w:rPr>
        <w:t xml:space="preserve">is responsible for the compliance effort.  The </w:t>
      </w:r>
      <w:r w:rsidRPr="006D20AA">
        <w:rPr>
          <w:rFonts w:cs="Arial"/>
          <w:szCs w:val="24"/>
        </w:rPr>
        <w:t>Principal Engineer</w:t>
      </w:r>
      <w:r>
        <w:t xml:space="preserve"> is addressing security at 20 PPL EU substations identified as medium impact critical assets.</w:t>
      </w:r>
    </w:p>
    <w:p w:rsidR="00AE554B" w:rsidRDefault="00AE554B" w:rsidP="00701DCF">
      <w:pPr>
        <w:rPr>
          <w:rFonts w:cs="Arial"/>
          <w:szCs w:val="24"/>
        </w:rPr>
      </w:pPr>
      <w:r>
        <w:rPr>
          <w:rFonts w:cs="Arial"/>
          <w:szCs w:val="24"/>
        </w:rPr>
        <w:t>Transmission Planning performed an impact analysis to identify higher impact substations under CIP-014.  Substations, Engineering and Corporate Security are defining appropriate physical security measures for the identified facilities and have developed several specifications for improving perimeter security.</w:t>
      </w:r>
    </w:p>
    <w:p w:rsidR="00AE554B" w:rsidRDefault="00AE554B" w:rsidP="00701DCF">
      <w:pPr>
        <w:rPr>
          <w:rFonts w:cs="Arial"/>
          <w:szCs w:val="24"/>
        </w:rPr>
      </w:pPr>
      <w:r>
        <w:rPr>
          <w:rFonts w:cs="Arial"/>
          <w:szCs w:val="24"/>
        </w:rPr>
        <w:t>The improvements for the substations are focused on establishing an appropriate electronic security perimeter (ESP) and a physical security perimeter (PSP) compliant with the NERC CIP requirements.  The improvements were initiated in 2015 and the</w:t>
      </w:r>
      <w:r w:rsidRPr="00440B39">
        <w:t xml:space="preserve"> ESP and PSP plans have been adjusted as experience has been gained in the implementation process.  </w:t>
      </w:r>
      <w:r>
        <w:rPr>
          <w:rFonts w:cs="Arial"/>
          <w:szCs w:val="24"/>
        </w:rPr>
        <w:t>The goal is to complete implementation of the measures for the 20 substations by the April 1, 2016 effective date of the standards.</w:t>
      </w:r>
    </w:p>
    <w:p w:rsidR="00AE554B" w:rsidRDefault="00AE554B" w:rsidP="008F30B6">
      <w:pPr>
        <w:pStyle w:val="Heading-forToC"/>
      </w:pPr>
      <w:bookmarkStart w:id="139" w:name="_Toc442617418"/>
      <w:bookmarkStart w:id="140" w:name="_Toc464552029"/>
      <w:r w:rsidRPr="004C47E8">
        <w:t>Findings</w:t>
      </w:r>
      <w:bookmarkEnd w:id="139"/>
      <w:bookmarkEnd w:id="140"/>
    </w:p>
    <w:p w:rsidR="00AE554B" w:rsidRPr="00EF388F" w:rsidRDefault="00AE554B" w:rsidP="00B86FA4">
      <w:pPr>
        <w:pStyle w:val="Findings"/>
        <w:numPr>
          <w:ilvl w:val="0"/>
          <w:numId w:val="19"/>
        </w:numPr>
      </w:pPr>
      <w:r w:rsidRPr="00EF388F">
        <w:t xml:space="preserve">The Transmission Operations Model (TOM) establishes a well-defined process for </w:t>
      </w:r>
      <w:r>
        <w:t>project oversight</w:t>
      </w:r>
      <w:r w:rsidRPr="00EF388F">
        <w:t>.</w:t>
      </w:r>
    </w:p>
    <w:p w:rsidR="00AE554B" w:rsidRPr="00EF388F" w:rsidRDefault="00AE554B" w:rsidP="00701DCF">
      <w:r w:rsidRPr="00EF388F">
        <w:t>The active oversight of the complete project life cycle by a cross disciplinary team provides control</w:t>
      </w:r>
      <w:r>
        <w:t xml:space="preserve"> over scope, cost, and schedule</w:t>
      </w:r>
      <w:r w:rsidRPr="00EF388F">
        <w:t>.</w:t>
      </w:r>
      <w:r>
        <w:t xml:space="preserve">  The TEAM meetings review the status of each project on a monthly basis to identify and resolve any barriers.  Projects ready to move to the next stage of implementation are reviewed and approved at the TAM meetings.  A subgroup of the TAM members also serves as the Change Control Board to review and approve any significant requested scope, cost, or schedule changes.</w:t>
      </w:r>
    </w:p>
    <w:p w:rsidR="00AE554B" w:rsidRDefault="00AE554B" w:rsidP="00B86FA4">
      <w:pPr>
        <w:pStyle w:val="Findings"/>
        <w:numPr>
          <w:ilvl w:val="0"/>
          <w:numId w:val="19"/>
        </w:numPr>
      </w:pPr>
      <w:r>
        <w:t>Standardized construction specifications have been developed for Substation Construction projects.</w:t>
      </w:r>
    </w:p>
    <w:p w:rsidR="00AE554B" w:rsidRDefault="00AE554B" w:rsidP="00701DCF">
      <w:r>
        <w:t xml:space="preserve">T&amp;S Standards and Methods </w:t>
      </w:r>
      <w:proofErr w:type="gramStart"/>
      <w:r>
        <w:t>has</w:t>
      </w:r>
      <w:proofErr w:type="gramEnd"/>
      <w:r>
        <w:t xml:space="preserve"> developed specifications for common substation configurations for use with 12 kV through 500 kV substations.  </w:t>
      </w:r>
      <w:r>
        <w:rPr>
          <w:rFonts w:cs="Arial"/>
          <w:szCs w:val="24"/>
        </w:rPr>
        <w:t xml:space="preserve">3D models have also been developed for the seven most common substation configurations expected for the next five years of capital work involving </w:t>
      </w:r>
      <w:proofErr w:type="spellStart"/>
      <w:proofErr w:type="gramStart"/>
      <w:r>
        <w:rPr>
          <w:rFonts w:cs="Arial"/>
          <w:szCs w:val="24"/>
        </w:rPr>
        <w:t>greenfield</w:t>
      </w:r>
      <w:proofErr w:type="spellEnd"/>
      <w:proofErr w:type="gramEnd"/>
      <w:r>
        <w:rPr>
          <w:rFonts w:cs="Arial"/>
          <w:szCs w:val="24"/>
        </w:rPr>
        <w:t xml:space="preserve"> (new) substation construction.  These seven designs will be used for 24 substation projects and are expected to reduce the design phase costs by approximately 40%.</w:t>
      </w:r>
    </w:p>
    <w:p w:rsidR="00AE554B" w:rsidRDefault="00AE554B" w:rsidP="00B86FA4">
      <w:pPr>
        <w:pStyle w:val="Findings"/>
        <w:numPr>
          <w:ilvl w:val="0"/>
          <w:numId w:val="19"/>
        </w:numPr>
      </w:pPr>
      <w:r>
        <w:t>The T&amp;S Asset Management group utilizes robust applications and technologies to manage system assets.</w:t>
      </w:r>
    </w:p>
    <w:p w:rsidR="00AE554B" w:rsidRPr="001539C2" w:rsidRDefault="00AE554B" w:rsidP="00701DCF">
      <w:r>
        <w:t xml:space="preserve">Transmission assets are managed in the line asset management and substation equipment maintenance management applications that provide comprehensive capabilities to monitor asset condition and plan maintenance activities.  T&amp;S Asset Management is piloting the use of </w:t>
      </w:r>
      <w:r w:rsidRPr="00395D18">
        <w:rPr>
          <w:rFonts w:cs="Calibri"/>
          <w:szCs w:val="24"/>
        </w:rPr>
        <w:t>Unmanned Aerial System</w:t>
      </w:r>
      <w:r>
        <w:rPr>
          <w:rFonts w:cs="Calibri"/>
          <w:szCs w:val="24"/>
        </w:rPr>
        <w:t xml:space="preserve"> technology to provide a </w:t>
      </w:r>
      <w:r>
        <w:rPr>
          <w:rFonts w:cs="Calibri"/>
          <w:szCs w:val="24"/>
        </w:rPr>
        <w:lastRenderedPageBreak/>
        <w:t>more flexible and cost effective tool for assessing the condition of remote transmission lines.</w:t>
      </w:r>
    </w:p>
    <w:p w:rsidR="00AE554B" w:rsidRDefault="00AE554B" w:rsidP="00B86FA4">
      <w:pPr>
        <w:pStyle w:val="Findings"/>
        <w:numPr>
          <w:ilvl w:val="0"/>
          <w:numId w:val="19"/>
        </w:numPr>
      </w:pPr>
      <w:r>
        <w:t>T&amp;S has developed and maintains a strong set of performance indicators.</w:t>
      </w:r>
    </w:p>
    <w:p w:rsidR="00AE554B" w:rsidRDefault="00AE554B" w:rsidP="00701DCF">
      <w:r w:rsidRPr="006806F0">
        <w:t>T&amp;S utilize</w:t>
      </w:r>
      <w:r>
        <w:t>d</w:t>
      </w:r>
      <w:r w:rsidRPr="006806F0">
        <w:t xml:space="preserve"> performance indicators monitoring safety, reliability, work execution, and financial management areas</w:t>
      </w:r>
      <w:r>
        <w:t>.  Nineteen T&amp;S performance indicators are included on the corporate scorecard including regulatory compliance, reliability, financial management, and workload metrics.  There are 36</w:t>
      </w:r>
      <w:r w:rsidRPr="006806F0">
        <w:t xml:space="preserve"> </w:t>
      </w:r>
      <w:r>
        <w:t xml:space="preserve">additional </w:t>
      </w:r>
      <w:r w:rsidRPr="006806F0">
        <w:t>measures speci</w:t>
      </w:r>
      <w:r>
        <w:t>fic to T&amp;S work execution and portfolio management covering project milestones, schedule adherence, estimating accuracy, and overall project workload</w:t>
      </w:r>
      <w:r w:rsidRPr="006806F0">
        <w:t xml:space="preserve">.  </w:t>
      </w:r>
      <w:r>
        <w:t>Included</w:t>
      </w:r>
      <w:r w:rsidRPr="006806F0">
        <w:t xml:space="preserve"> metrics have evolved since 2010 with </w:t>
      </w:r>
      <w:r>
        <w:t xml:space="preserve">the </w:t>
      </w:r>
      <w:r w:rsidRPr="006806F0">
        <w:t>work execution measures added in 2012.</w:t>
      </w:r>
      <w:r>
        <w:t xml:space="preserve">  Additional metrics were added in 2014 to monitor the percentage of projects completing each of the TOM gates as scheduled.</w:t>
      </w:r>
    </w:p>
    <w:p w:rsidR="00AE554B" w:rsidRDefault="00AE554B" w:rsidP="00701DCF">
      <w:r>
        <w:t>Two transmission reliability metrics were added to the T&amp;S performance measures in 2013.  The following exhibit summarizes the annual transmission reliability results</w:t>
      </w:r>
    </w:p>
    <w:p w:rsidR="00AE554B" w:rsidRDefault="00AD2223" w:rsidP="00AD2223">
      <w:pPr>
        <w:pStyle w:val="Caption"/>
      </w:pPr>
      <w:bookmarkStart w:id="141" w:name="_Toc464552980"/>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13</w:t>
      </w:r>
      <w:r w:rsidR="00CB2B2A">
        <w:rPr>
          <w:noProof/>
        </w:rPr>
        <w:fldChar w:fldCharType="end"/>
      </w:r>
      <w:r w:rsidR="002F6183">
        <w:br/>
      </w:r>
      <w:r w:rsidR="00AE554B" w:rsidRPr="003E1C85">
        <w:t>PPL EU Tr</w:t>
      </w:r>
      <w:r w:rsidR="00AE554B">
        <w:t xml:space="preserve">ansmission Reliability </w:t>
      </w:r>
      <w:r w:rsidR="00AE554B" w:rsidRPr="003E1C85">
        <w:t>201</w:t>
      </w:r>
      <w:r w:rsidR="00AE554B" w:rsidRPr="00EC6398">
        <w:t>3</w:t>
      </w:r>
      <w:r w:rsidR="00FB46BF">
        <w:t>–</w:t>
      </w:r>
      <w:r w:rsidR="00AE554B" w:rsidRPr="003E1C85">
        <w:t>201</w:t>
      </w:r>
      <w:r w:rsidR="00AE554B">
        <w:t>5</w:t>
      </w:r>
      <w:bookmarkEnd w:id="1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0"/>
        <w:gridCol w:w="1099"/>
        <w:gridCol w:w="1100"/>
        <w:gridCol w:w="1100"/>
      </w:tblGrid>
      <w:tr w:rsidR="00AE554B" w:rsidRPr="007370C9" w:rsidTr="00AE554B">
        <w:trPr>
          <w:cantSplit/>
          <w:trHeight w:val="332"/>
          <w:tblHeader/>
          <w:jc w:val="center"/>
        </w:trPr>
        <w:tc>
          <w:tcPr>
            <w:tcW w:w="3600" w:type="dxa"/>
            <w:shd w:val="clear" w:color="auto" w:fill="A5CD7E"/>
            <w:vAlign w:val="center"/>
          </w:tcPr>
          <w:p w:rsidR="00AE554B" w:rsidRPr="007370C9" w:rsidRDefault="00AE554B" w:rsidP="007370C9">
            <w:pPr>
              <w:spacing w:before="120"/>
              <w:jc w:val="center"/>
              <w:rPr>
                <w:b/>
              </w:rPr>
            </w:pPr>
            <w:r w:rsidRPr="007370C9">
              <w:rPr>
                <w:b/>
              </w:rPr>
              <w:t>Factor</w:t>
            </w:r>
          </w:p>
        </w:tc>
        <w:tc>
          <w:tcPr>
            <w:tcW w:w="1099" w:type="dxa"/>
            <w:shd w:val="clear" w:color="auto" w:fill="A5CD7E"/>
            <w:vAlign w:val="center"/>
          </w:tcPr>
          <w:p w:rsidR="00AE554B" w:rsidRPr="007370C9" w:rsidRDefault="00AE554B" w:rsidP="007370C9">
            <w:pPr>
              <w:spacing w:before="120"/>
              <w:jc w:val="center"/>
              <w:rPr>
                <w:b/>
              </w:rPr>
            </w:pPr>
            <w:r w:rsidRPr="007370C9">
              <w:rPr>
                <w:b/>
              </w:rPr>
              <w:t>2013</w:t>
            </w:r>
          </w:p>
        </w:tc>
        <w:tc>
          <w:tcPr>
            <w:tcW w:w="1100" w:type="dxa"/>
            <w:shd w:val="clear" w:color="auto" w:fill="A5CD7E"/>
            <w:vAlign w:val="center"/>
          </w:tcPr>
          <w:p w:rsidR="00AE554B" w:rsidRPr="007370C9" w:rsidRDefault="00AE554B" w:rsidP="007370C9">
            <w:pPr>
              <w:spacing w:before="120"/>
              <w:jc w:val="center"/>
              <w:rPr>
                <w:b/>
              </w:rPr>
            </w:pPr>
            <w:r w:rsidRPr="007370C9">
              <w:rPr>
                <w:b/>
              </w:rPr>
              <w:t>2014</w:t>
            </w:r>
          </w:p>
        </w:tc>
        <w:tc>
          <w:tcPr>
            <w:tcW w:w="1100" w:type="dxa"/>
            <w:shd w:val="clear" w:color="auto" w:fill="A5CD7E"/>
            <w:vAlign w:val="center"/>
          </w:tcPr>
          <w:p w:rsidR="00AE554B" w:rsidRPr="007370C9" w:rsidRDefault="00AE554B" w:rsidP="007370C9">
            <w:pPr>
              <w:spacing w:before="120"/>
              <w:jc w:val="center"/>
              <w:rPr>
                <w:b/>
              </w:rPr>
            </w:pPr>
            <w:r w:rsidRPr="007370C9">
              <w:rPr>
                <w:b/>
              </w:rPr>
              <w:t xml:space="preserve">2015 </w:t>
            </w:r>
          </w:p>
        </w:tc>
      </w:tr>
      <w:tr w:rsidR="00AE554B" w:rsidRPr="00094B43" w:rsidTr="00701DCF">
        <w:trPr>
          <w:cantSplit/>
          <w:trHeight w:val="332"/>
          <w:jc w:val="center"/>
        </w:trPr>
        <w:tc>
          <w:tcPr>
            <w:tcW w:w="3600" w:type="dxa"/>
            <w:shd w:val="clear" w:color="auto" w:fill="auto"/>
            <w:vAlign w:val="center"/>
          </w:tcPr>
          <w:p w:rsidR="00AE554B" w:rsidRDefault="00AE554B" w:rsidP="00701DCF">
            <w:pPr>
              <w:pStyle w:val="Tabletext"/>
            </w:pPr>
            <w:r>
              <w:t>SAIFI – excluding major storms</w:t>
            </w:r>
          </w:p>
        </w:tc>
        <w:tc>
          <w:tcPr>
            <w:tcW w:w="1099" w:type="dxa"/>
            <w:vAlign w:val="center"/>
          </w:tcPr>
          <w:p w:rsidR="00AE554B" w:rsidRDefault="00AE554B" w:rsidP="00701DCF">
            <w:pPr>
              <w:pStyle w:val="Tabletext"/>
            </w:pPr>
            <w:r>
              <w:t>0.056</w:t>
            </w:r>
          </w:p>
        </w:tc>
        <w:tc>
          <w:tcPr>
            <w:tcW w:w="1100" w:type="dxa"/>
            <w:vAlign w:val="center"/>
          </w:tcPr>
          <w:p w:rsidR="00AE554B" w:rsidRDefault="00AE554B" w:rsidP="00701DCF">
            <w:pPr>
              <w:pStyle w:val="Tabletext"/>
            </w:pPr>
            <w:r>
              <w:t>0.108</w:t>
            </w:r>
          </w:p>
        </w:tc>
        <w:tc>
          <w:tcPr>
            <w:tcW w:w="1100" w:type="dxa"/>
            <w:vAlign w:val="center"/>
          </w:tcPr>
          <w:p w:rsidR="00AE554B" w:rsidRDefault="00AE554B" w:rsidP="00701DCF">
            <w:pPr>
              <w:pStyle w:val="Tabletext"/>
            </w:pPr>
            <w:r>
              <w:t>0.070</w:t>
            </w:r>
          </w:p>
        </w:tc>
      </w:tr>
      <w:tr w:rsidR="00AE554B" w:rsidRPr="00094B43" w:rsidTr="00701DCF">
        <w:trPr>
          <w:cantSplit/>
          <w:trHeight w:val="305"/>
          <w:jc w:val="center"/>
        </w:trPr>
        <w:tc>
          <w:tcPr>
            <w:tcW w:w="3600" w:type="dxa"/>
            <w:shd w:val="clear" w:color="auto" w:fill="auto"/>
            <w:vAlign w:val="center"/>
          </w:tcPr>
          <w:p w:rsidR="00AE554B" w:rsidRDefault="00AE554B" w:rsidP="00701DCF">
            <w:pPr>
              <w:pStyle w:val="Tabletext"/>
            </w:pPr>
            <w:r>
              <w:t>Number of unplanned events</w:t>
            </w:r>
          </w:p>
        </w:tc>
        <w:tc>
          <w:tcPr>
            <w:tcW w:w="1099" w:type="dxa"/>
            <w:vAlign w:val="center"/>
          </w:tcPr>
          <w:p w:rsidR="00AE554B" w:rsidRDefault="00AE554B" w:rsidP="00701DCF">
            <w:pPr>
              <w:pStyle w:val="Tabletext"/>
            </w:pPr>
            <w:r>
              <w:t>203</w:t>
            </w:r>
          </w:p>
        </w:tc>
        <w:tc>
          <w:tcPr>
            <w:tcW w:w="1100" w:type="dxa"/>
            <w:vAlign w:val="center"/>
          </w:tcPr>
          <w:p w:rsidR="00AE554B" w:rsidRDefault="00AE554B" w:rsidP="00701DCF">
            <w:pPr>
              <w:pStyle w:val="Tabletext"/>
            </w:pPr>
            <w:r>
              <w:t>185</w:t>
            </w:r>
          </w:p>
        </w:tc>
        <w:tc>
          <w:tcPr>
            <w:tcW w:w="1100" w:type="dxa"/>
            <w:vAlign w:val="center"/>
          </w:tcPr>
          <w:p w:rsidR="00AE554B" w:rsidRDefault="00AE554B" w:rsidP="00701DCF">
            <w:pPr>
              <w:pStyle w:val="Tabletext"/>
            </w:pPr>
            <w:r>
              <w:t>165</w:t>
            </w:r>
          </w:p>
        </w:tc>
      </w:tr>
      <w:tr w:rsidR="00AE554B" w:rsidRPr="00094B43" w:rsidTr="00701DCF">
        <w:trPr>
          <w:cantSplit/>
          <w:trHeight w:val="215"/>
          <w:jc w:val="center"/>
        </w:trPr>
        <w:tc>
          <w:tcPr>
            <w:tcW w:w="6899" w:type="dxa"/>
            <w:gridSpan w:val="4"/>
            <w:vAlign w:val="center"/>
          </w:tcPr>
          <w:p w:rsidR="00AE554B" w:rsidRPr="00094B43" w:rsidRDefault="00AE554B" w:rsidP="00701DCF">
            <w:pPr>
              <w:pStyle w:val="Tabletext"/>
              <w:jc w:val="left"/>
              <w:rPr>
                <w:rFonts w:cs="Arial"/>
              </w:rPr>
            </w:pPr>
            <w:r w:rsidRPr="00094B43">
              <w:rPr>
                <w:rFonts w:cs="Arial"/>
              </w:rPr>
              <w:t xml:space="preserve">Source: DN </w:t>
            </w:r>
            <w:r>
              <w:rPr>
                <w:rFonts w:cs="Arial"/>
              </w:rPr>
              <w:t>01-026</w:t>
            </w:r>
          </w:p>
        </w:tc>
      </w:tr>
    </w:tbl>
    <w:p w:rsidR="00AE554B" w:rsidRDefault="00AE554B" w:rsidP="00701DCF">
      <w:pPr>
        <w:pStyle w:val="Normal-aftertable"/>
      </w:pPr>
      <w:r w:rsidRPr="007D7B1B">
        <w:t xml:space="preserve">SAIFI, the System Average Interruption Frequency Index, is the average number of times that a system customer is interrupted during a year. It is computed by dividing the total number of customers interrupted in a year </w:t>
      </w:r>
      <w:r>
        <w:t xml:space="preserve">due to a transmission event </w:t>
      </w:r>
      <w:r w:rsidRPr="007D7B1B">
        <w:t>by the average number of customers served during the year.</w:t>
      </w:r>
    </w:p>
    <w:p w:rsidR="00AE554B" w:rsidRDefault="00AE554B" w:rsidP="00701DCF">
      <w:r>
        <w:t>The number of unplanned events is the number of times there was a protection system operation that disconnected part of the transmission system.</w:t>
      </w:r>
    </w:p>
    <w:p w:rsidR="00AE554B" w:rsidRDefault="00AE554B" w:rsidP="00701DCF">
      <w:r>
        <w:t>The limited history reported for these measures is not sufficient to identify a trend.</w:t>
      </w:r>
    </w:p>
    <w:p w:rsidR="00AE554B" w:rsidRPr="002C4789" w:rsidRDefault="00AE554B" w:rsidP="00B86FA4">
      <w:pPr>
        <w:pStyle w:val="Findings"/>
        <w:numPr>
          <w:ilvl w:val="0"/>
          <w:numId w:val="19"/>
        </w:numPr>
      </w:pPr>
      <w:r w:rsidRPr="002C4789">
        <w:t>The TEAM and TAM attendees do not appear to include representation from the IT Department.</w:t>
      </w:r>
    </w:p>
    <w:p w:rsidR="00AE554B" w:rsidRPr="002C4789" w:rsidRDefault="00AE554B" w:rsidP="00701DCF">
      <w:r w:rsidRPr="002C4789">
        <w:t>The TEAM and TAM meeting</w:t>
      </w:r>
      <w:r>
        <w:t>s</w:t>
      </w:r>
      <w:r w:rsidRPr="002C4789">
        <w:t xml:space="preserve"> provide oversight for transmission and substations projects.  </w:t>
      </w:r>
      <w:r>
        <w:t>Based on the information provided during the audit, it is not clear if a representative from IT is included in these meetings.  Substation construction projects often will have technology and cyber security implications and impacts.</w:t>
      </w:r>
    </w:p>
    <w:p w:rsidR="00AE554B" w:rsidRPr="00CC79F1" w:rsidRDefault="00AE554B" w:rsidP="00B86FA4">
      <w:pPr>
        <w:pStyle w:val="Findings"/>
        <w:numPr>
          <w:ilvl w:val="0"/>
          <w:numId w:val="19"/>
        </w:numPr>
      </w:pPr>
      <w:r w:rsidRPr="00CC79F1">
        <w:t xml:space="preserve">A number of the transmission and substation </w:t>
      </w:r>
      <w:r>
        <w:t xml:space="preserve">specifications and </w:t>
      </w:r>
      <w:r w:rsidRPr="00CC79F1">
        <w:t>construction s</w:t>
      </w:r>
      <w:r>
        <w:t>tandards</w:t>
      </w:r>
      <w:r w:rsidRPr="00CC79F1">
        <w:t xml:space="preserve"> appear to be </w:t>
      </w:r>
      <w:r>
        <w:t>out of date</w:t>
      </w:r>
      <w:r w:rsidRPr="00CC79F1">
        <w:t>.</w:t>
      </w:r>
    </w:p>
    <w:p w:rsidR="00AE554B" w:rsidRDefault="00AE554B" w:rsidP="00701DCF">
      <w:r>
        <w:t>Construction Management reported that t</w:t>
      </w:r>
      <w:r>
        <w:rPr>
          <w:rFonts w:cs="Arial"/>
          <w:szCs w:val="24"/>
        </w:rPr>
        <w:t xml:space="preserve">here are some gaps in the transmission standards and out of date standards.  A review of the transmission specifications and construction standards yielded several documents that were 20 to 40 years old and may reflect obsolete materials.  </w:t>
      </w:r>
      <w:r>
        <w:t xml:space="preserve">T&amp;S Standards and Methods </w:t>
      </w:r>
      <w:proofErr w:type="gramStart"/>
      <w:r>
        <w:t>expects</w:t>
      </w:r>
      <w:proofErr w:type="gramEnd"/>
      <w:r>
        <w:t xml:space="preserve"> to complete a </w:t>
      </w:r>
      <w:r>
        <w:lastRenderedPageBreak/>
        <w:t>comprehensive review and update of the Transmission Engineering Instructions and Transmission Construction Standards by yearend 2015.</w:t>
      </w:r>
    </w:p>
    <w:p w:rsidR="00AE554B" w:rsidRDefault="00AE554B" w:rsidP="00B86FA4">
      <w:pPr>
        <w:pStyle w:val="Findings"/>
        <w:numPr>
          <w:ilvl w:val="0"/>
          <w:numId w:val="19"/>
        </w:numPr>
      </w:pPr>
      <w:r w:rsidRPr="00055220">
        <w:t>The Transmission E</w:t>
      </w:r>
      <w:r>
        <w:t>xpansion</w:t>
      </w:r>
      <w:r w:rsidRPr="00055220">
        <w:t xml:space="preserve"> group has not been completely </w:t>
      </w:r>
      <w:r>
        <w:t>integrated into other work units.</w:t>
      </w:r>
    </w:p>
    <w:p w:rsidR="00AE554B" w:rsidRPr="00055220" w:rsidRDefault="00AE554B" w:rsidP="00701DCF">
      <w:r>
        <w:t xml:space="preserve">Transmission Expansion was responsible for the successful completion of the 500 kV Susquehanna-Roseland project.  Moving forward, T&amp;S expects to manage similar size projects within its normal processes.  The Transmission Work Management group in Transmission Expansion was moved to Transmission Asset Management in late 2015.  The remaining function, the </w:t>
      </w:r>
      <w:r w:rsidRPr="00884938">
        <w:rPr>
          <w:rFonts w:cs="Arial"/>
          <w:szCs w:val="24"/>
        </w:rPr>
        <w:t>Transmission Siting/ROW/Permits/Real Estate</w:t>
      </w:r>
      <w:r>
        <w:rPr>
          <w:rFonts w:cs="Arial"/>
          <w:szCs w:val="24"/>
        </w:rPr>
        <w:t xml:space="preserve"> group which is responsible for all right-of-way (ROW), siting, and permitting work for transmission and substation projects has not yet been relocated.  PPL plans to complete the relocation in the first quarter of 2016.</w:t>
      </w:r>
    </w:p>
    <w:p w:rsidR="00AE554B" w:rsidRDefault="00AE554B" w:rsidP="008F30B6">
      <w:pPr>
        <w:pStyle w:val="Heading-forToC"/>
      </w:pPr>
      <w:bookmarkStart w:id="142" w:name="_Toc442617419"/>
      <w:bookmarkStart w:id="143" w:name="_Toc464552030"/>
      <w:r>
        <w:t>Recommendations</w:t>
      </w:r>
      <w:bookmarkEnd w:id="142"/>
      <w:bookmarkEnd w:id="143"/>
    </w:p>
    <w:p w:rsidR="00AE554B" w:rsidRPr="00464077" w:rsidRDefault="00AE554B" w:rsidP="00B86FA4">
      <w:pPr>
        <w:pStyle w:val="Findings"/>
        <w:numPr>
          <w:ilvl w:val="0"/>
          <w:numId w:val="20"/>
        </w:numPr>
      </w:pPr>
      <w:r w:rsidRPr="00464077">
        <w:t>Include a representative from the IT Department in TEAM and TAM meetings as needed.  (</w:t>
      </w:r>
      <w:r>
        <w:t xml:space="preserve">See </w:t>
      </w:r>
      <w:r w:rsidRPr="00464077">
        <w:t xml:space="preserve">Finding </w:t>
      </w:r>
      <w:r>
        <w:t>5</w:t>
      </w:r>
      <w:r w:rsidRPr="00464077">
        <w:t>)</w:t>
      </w:r>
    </w:p>
    <w:p w:rsidR="00AE554B" w:rsidRDefault="00AE554B" w:rsidP="00701DCF">
      <w:r>
        <w:t>A representative from IT should be included in the TEAM and TAM meetings when projects that include significant information technology or cyber security implications will be discussed.  Decisions on scope changes or schedule could impact IT operations and systems.  Cyber security implications could be discussed as part of the decision process.</w:t>
      </w:r>
    </w:p>
    <w:p w:rsidR="00AE554B" w:rsidRPr="00464077" w:rsidRDefault="00AE554B" w:rsidP="00B86FA4">
      <w:pPr>
        <w:pStyle w:val="Findings"/>
        <w:numPr>
          <w:ilvl w:val="0"/>
          <w:numId w:val="20"/>
        </w:numPr>
      </w:pPr>
      <w:r w:rsidRPr="00464077">
        <w:t>Adopt a two or three year review cycle for all Transmission Engineering Instructions and Transmission Construction Standards.  (</w:t>
      </w:r>
      <w:r>
        <w:t xml:space="preserve">See </w:t>
      </w:r>
      <w:r w:rsidRPr="00464077">
        <w:t xml:space="preserve">Finding </w:t>
      </w:r>
      <w:r>
        <w:t>6</w:t>
      </w:r>
      <w:r w:rsidRPr="00464077">
        <w:t>)</w:t>
      </w:r>
    </w:p>
    <w:p w:rsidR="00AE554B" w:rsidRDefault="00AE554B" w:rsidP="00701DCF">
      <w:r>
        <w:t>Adopting a cycle for comprehensive review and updating of the specifications and standards will help minimize errors, delays, and improper field installations.  Accurate and up to date standards are critical when there is heavy reliance on outside resources for design and construction.</w:t>
      </w:r>
    </w:p>
    <w:p w:rsidR="00AE554B" w:rsidRDefault="00AE554B" w:rsidP="00B86FA4">
      <w:pPr>
        <w:pStyle w:val="Findings"/>
        <w:numPr>
          <w:ilvl w:val="0"/>
          <w:numId w:val="20"/>
        </w:numPr>
      </w:pPr>
      <w:r>
        <w:t>Transfer the remaining Transmission Expansion functions to T&amp;S Project Management or T&amp;S Asset Management.  (See Finding 7)</w:t>
      </w:r>
    </w:p>
    <w:p w:rsidR="00AE554B" w:rsidRDefault="00AE554B" w:rsidP="00701DCF">
      <w:r>
        <w:t xml:space="preserve">The remaining function of the Transmission Expansion group should be transferred into T&amp;S Project Management or, alternatively, into T&amp;S Asset Management to provide more direct project support.  The </w:t>
      </w:r>
      <w:r w:rsidRPr="00884938">
        <w:rPr>
          <w:rFonts w:cs="Arial"/>
          <w:szCs w:val="24"/>
        </w:rPr>
        <w:t>Transmission Siting/ROW/Permits/Real Estate</w:t>
      </w:r>
      <w:r>
        <w:rPr>
          <w:rFonts w:cs="Arial"/>
          <w:szCs w:val="24"/>
        </w:rPr>
        <w:t xml:space="preserve"> activities are key components of each phase of the project life cycle and can impact schedule adherence if not closely integrated into the planning and execution processes.</w:t>
      </w:r>
    </w:p>
    <w:p w:rsidR="00AE554B" w:rsidRPr="0028714E" w:rsidRDefault="00AE554B" w:rsidP="004F00E5">
      <w:pPr>
        <w:pStyle w:val="Heading2"/>
        <w:numPr>
          <w:ilvl w:val="0"/>
          <w:numId w:val="98"/>
        </w:numPr>
      </w:pPr>
      <w:bookmarkStart w:id="144" w:name="_Toc442617420"/>
      <w:bookmarkStart w:id="145" w:name="_Toc464552031"/>
      <w:r w:rsidRPr="0028714E">
        <w:t>Distribution Operations</w:t>
      </w:r>
      <w:bookmarkEnd w:id="144"/>
      <w:bookmarkEnd w:id="145"/>
    </w:p>
    <w:p w:rsidR="00977CA4" w:rsidRDefault="00977CA4" w:rsidP="008F30B6">
      <w:pPr>
        <w:pStyle w:val="Heading-forToC"/>
      </w:pPr>
      <w:bookmarkStart w:id="146" w:name="_Toc464552032"/>
      <w:r>
        <w:t>Background</w:t>
      </w:r>
      <w:bookmarkEnd w:id="146"/>
    </w:p>
    <w:p w:rsidR="00AE554B" w:rsidRDefault="00AE554B" w:rsidP="00701DCF">
      <w:r>
        <w:rPr>
          <w:rFonts w:cs="Arial"/>
          <w:szCs w:val="24"/>
        </w:rPr>
        <w:t xml:space="preserve">The overall mission of Distribution Operations is to provide safe, reliable service to customers.  </w:t>
      </w:r>
      <w:r w:rsidRPr="00376F10">
        <w:t xml:space="preserve">PPL </w:t>
      </w:r>
      <w:r>
        <w:t xml:space="preserve">EU </w:t>
      </w:r>
      <w:r w:rsidRPr="00376F10">
        <w:t>has 3</w:t>
      </w:r>
      <w:r>
        <w:t>5</w:t>
      </w:r>
      <w:r w:rsidRPr="00376F10">
        <w:t>3 distribution substations, 37,211 circuit miles of overhead distribution lines</w:t>
      </w:r>
      <w:r>
        <w:t xml:space="preserve"> ranging from 4 to 23 kV</w:t>
      </w:r>
      <w:r w:rsidRPr="00376F10">
        <w:t xml:space="preserve">, and 8,320 circuit miles of </w:t>
      </w:r>
      <w:r>
        <w:t xml:space="preserve">12 kV </w:t>
      </w:r>
      <w:r w:rsidRPr="00376F10">
        <w:t>underground distribution lines.</w:t>
      </w:r>
    </w:p>
    <w:p w:rsidR="00AE554B" w:rsidRDefault="00AE554B" w:rsidP="00977CA4">
      <w:pPr>
        <w:pStyle w:val="Heading40"/>
      </w:pPr>
      <w:bookmarkStart w:id="147" w:name="_Toc442617421"/>
      <w:r>
        <w:lastRenderedPageBreak/>
        <w:t>Operation and Maintenance and Capital Spending</w:t>
      </w:r>
    </w:p>
    <w:p w:rsidR="00AE554B" w:rsidRPr="00DA03DF" w:rsidRDefault="00AE554B" w:rsidP="00701DCF">
      <w:r w:rsidRPr="00DA03DF">
        <w:t>The following exhibit summarizes Distribution operations</w:t>
      </w:r>
      <w:r>
        <w:t xml:space="preserve"> and maintenance (O&amp;M) spending</w:t>
      </w:r>
      <w:r w:rsidRPr="00DA03DF">
        <w:t>.</w:t>
      </w:r>
    </w:p>
    <w:p w:rsidR="00AE554B" w:rsidRPr="00DA03DF" w:rsidRDefault="00AD2223" w:rsidP="00AD2223">
      <w:pPr>
        <w:pStyle w:val="Caption"/>
      </w:pPr>
      <w:bookmarkStart w:id="148" w:name="_Toc464552981"/>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14</w:t>
      </w:r>
      <w:r w:rsidR="00CB2B2A">
        <w:rPr>
          <w:noProof/>
        </w:rPr>
        <w:fldChar w:fldCharType="end"/>
      </w:r>
      <w:r w:rsidR="002F6183">
        <w:br/>
      </w:r>
      <w:r w:rsidR="00AE554B" w:rsidRPr="00270EB1">
        <w:t>PPL EU Distribution O&amp;M Spending 2011–2015</w:t>
      </w:r>
      <w:bookmarkEnd w:id="1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tblPr>
      <w:tblGrid>
        <w:gridCol w:w="4999"/>
        <w:gridCol w:w="990"/>
        <w:gridCol w:w="900"/>
        <w:gridCol w:w="867"/>
        <w:gridCol w:w="851"/>
        <w:gridCol w:w="851"/>
      </w:tblGrid>
      <w:tr w:rsidR="00AE554B" w:rsidRPr="007370C9" w:rsidTr="00910525">
        <w:trPr>
          <w:trHeight w:val="20"/>
          <w:tblHeader/>
          <w:jc w:val="center"/>
        </w:trPr>
        <w:tc>
          <w:tcPr>
            <w:tcW w:w="4999" w:type="dxa"/>
            <w:shd w:val="clear" w:color="auto" w:fill="A5CD7E"/>
            <w:vAlign w:val="center"/>
          </w:tcPr>
          <w:p w:rsidR="00AE554B" w:rsidRPr="007370C9" w:rsidRDefault="00AE554B" w:rsidP="007370C9">
            <w:pPr>
              <w:spacing w:before="120"/>
              <w:jc w:val="center"/>
              <w:rPr>
                <w:b/>
              </w:rPr>
            </w:pPr>
            <w:r w:rsidRPr="007370C9">
              <w:rPr>
                <w:b/>
              </w:rPr>
              <w:t>Factor</w:t>
            </w:r>
          </w:p>
        </w:tc>
        <w:tc>
          <w:tcPr>
            <w:tcW w:w="990" w:type="dxa"/>
            <w:shd w:val="clear" w:color="auto" w:fill="A5CD7E"/>
            <w:vAlign w:val="center"/>
          </w:tcPr>
          <w:p w:rsidR="00AE554B" w:rsidRPr="007370C9" w:rsidRDefault="00AE554B" w:rsidP="007370C9">
            <w:pPr>
              <w:spacing w:before="120"/>
              <w:jc w:val="center"/>
              <w:rPr>
                <w:b/>
              </w:rPr>
            </w:pPr>
            <w:r w:rsidRPr="007370C9">
              <w:rPr>
                <w:b/>
              </w:rPr>
              <w:t>2011</w:t>
            </w:r>
          </w:p>
        </w:tc>
        <w:tc>
          <w:tcPr>
            <w:tcW w:w="900" w:type="dxa"/>
            <w:shd w:val="clear" w:color="auto" w:fill="A5CD7E"/>
            <w:vAlign w:val="center"/>
          </w:tcPr>
          <w:p w:rsidR="00AE554B" w:rsidRPr="007370C9" w:rsidRDefault="00AE554B" w:rsidP="007370C9">
            <w:pPr>
              <w:spacing w:before="120"/>
              <w:jc w:val="center"/>
              <w:rPr>
                <w:b/>
              </w:rPr>
            </w:pPr>
            <w:r w:rsidRPr="007370C9">
              <w:rPr>
                <w:b/>
              </w:rPr>
              <w:t>2012</w:t>
            </w:r>
          </w:p>
        </w:tc>
        <w:tc>
          <w:tcPr>
            <w:tcW w:w="867" w:type="dxa"/>
            <w:shd w:val="clear" w:color="auto" w:fill="A5CD7E"/>
            <w:vAlign w:val="center"/>
          </w:tcPr>
          <w:p w:rsidR="00AE554B" w:rsidRPr="007370C9" w:rsidRDefault="00AE554B" w:rsidP="007370C9">
            <w:pPr>
              <w:spacing w:before="120"/>
              <w:jc w:val="center"/>
              <w:rPr>
                <w:b/>
              </w:rPr>
            </w:pPr>
            <w:r w:rsidRPr="007370C9">
              <w:rPr>
                <w:b/>
              </w:rPr>
              <w:t>2013</w:t>
            </w:r>
          </w:p>
        </w:tc>
        <w:tc>
          <w:tcPr>
            <w:tcW w:w="851" w:type="dxa"/>
            <w:shd w:val="clear" w:color="auto" w:fill="A5CD7E"/>
            <w:vAlign w:val="center"/>
          </w:tcPr>
          <w:p w:rsidR="00AE554B" w:rsidRPr="007370C9" w:rsidRDefault="00AE554B" w:rsidP="007370C9">
            <w:pPr>
              <w:spacing w:before="120"/>
              <w:jc w:val="center"/>
              <w:rPr>
                <w:b/>
              </w:rPr>
            </w:pPr>
            <w:r w:rsidRPr="007370C9">
              <w:rPr>
                <w:b/>
              </w:rPr>
              <w:t>2014</w:t>
            </w:r>
          </w:p>
        </w:tc>
        <w:tc>
          <w:tcPr>
            <w:tcW w:w="851" w:type="dxa"/>
            <w:shd w:val="clear" w:color="auto" w:fill="A5CD7E"/>
            <w:vAlign w:val="center"/>
          </w:tcPr>
          <w:p w:rsidR="00AE554B" w:rsidRPr="007370C9" w:rsidRDefault="00AE554B" w:rsidP="007370C9">
            <w:pPr>
              <w:spacing w:before="120"/>
              <w:jc w:val="center"/>
              <w:rPr>
                <w:b/>
              </w:rPr>
            </w:pPr>
            <w:r w:rsidRPr="007370C9">
              <w:rPr>
                <w:b/>
              </w:rPr>
              <w:t xml:space="preserve">2015 </w:t>
            </w:r>
          </w:p>
        </w:tc>
      </w:tr>
      <w:tr w:rsidR="00AE554B" w:rsidRPr="00DA03DF" w:rsidTr="00910525">
        <w:trPr>
          <w:trHeight w:val="20"/>
          <w:jc w:val="center"/>
        </w:trPr>
        <w:tc>
          <w:tcPr>
            <w:tcW w:w="4999" w:type="dxa"/>
            <w:shd w:val="clear" w:color="auto" w:fill="auto"/>
            <w:vAlign w:val="center"/>
          </w:tcPr>
          <w:p w:rsidR="00AE554B" w:rsidRPr="00DA03DF" w:rsidRDefault="00AE554B" w:rsidP="00701DCF">
            <w:pPr>
              <w:pStyle w:val="Tabletext"/>
            </w:pPr>
            <w:r w:rsidRPr="00DA03DF">
              <w:t>Distribution Operation Expenses</w:t>
            </w:r>
            <w:r w:rsidR="006458AD">
              <w:t xml:space="preserve"> (millions)</w:t>
            </w:r>
          </w:p>
        </w:tc>
        <w:tc>
          <w:tcPr>
            <w:tcW w:w="990" w:type="dxa"/>
            <w:vAlign w:val="center"/>
          </w:tcPr>
          <w:p w:rsidR="00AE554B" w:rsidRPr="00DA03DF" w:rsidRDefault="006458AD" w:rsidP="006458AD">
            <w:pPr>
              <w:pStyle w:val="Tabletext"/>
              <w:jc w:val="right"/>
              <w:rPr>
                <w:rFonts w:cs="Arial"/>
              </w:rPr>
            </w:pPr>
            <w:r>
              <w:rPr>
                <w:rFonts w:cs="Arial"/>
              </w:rPr>
              <w:t>$</w:t>
            </w:r>
            <w:r w:rsidR="00AE554B" w:rsidRPr="00DA03DF">
              <w:rPr>
                <w:rFonts w:cs="Arial"/>
              </w:rPr>
              <w:t>85.9</w:t>
            </w:r>
          </w:p>
        </w:tc>
        <w:tc>
          <w:tcPr>
            <w:tcW w:w="900" w:type="dxa"/>
            <w:vAlign w:val="center"/>
          </w:tcPr>
          <w:p w:rsidR="00AE554B" w:rsidRPr="00DA03DF" w:rsidRDefault="006458AD" w:rsidP="006458AD">
            <w:pPr>
              <w:pStyle w:val="Tabletext"/>
              <w:jc w:val="right"/>
            </w:pPr>
            <w:r>
              <w:rPr>
                <w:rFonts w:cs="Arial"/>
              </w:rPr>
              <w:t>$</w:t>
            </w:r>
            <w:r w:rsidR="00AE554B" w:rsidRPr="00DA03DF">
              <w:t>82.0</w:t>
            </w:r>
          </w:p>
        </w:tc>
        <w:tc>
          <w:tcPr>
            <w:tcW w:w="867" w:type="dxa"/>
            <w:vAlign w:val="center"/>
          </w:tcPr>
          <w:p w:rsidR="00AE554B" w:rsidRPr="00DA03DF" w:rsidRDefault="006458AD" w:rsidP="006458AD">
            <w:pPr>
              <w:pStyle w:val="Tabletext"/>
              <w:jc w:val="right"/>
            </w:pPr>
            <w:r>
              <w:rPr>
                <w:rFonts w:cs="Arial"/>
              </w:rPr>
              <w:t>$</w:t>
            </w:r>
            <w:r w:rsidR="00AE554B" w:rsidRPr="00DA03DF">
              <w:t>77.0</w:t>
            </w:r>
          </w:p>
        </w:tc>
        <w:tc>
          <w:tcPr>
            <w:tcW w:w="851" w:type="dxa"/>
            <w:vAlign w:val="center"/>
          </w:tcPr>
          <w:p w:rsidR="00AE554B" w:rsidRPr="00DA03DF" w:rsidRDefault="006458AD" w:rsidP="006458AD">
            <w:pPr>
              <w:pStyle w:val="Tabletext"/>
              <w:jc w:val="right"/>
            </w:pPr>
            <w:r>
              <w:rPr>
                <w:rFonts w:cs="Arial"/>
              </w:rPr>
              <w:t>$</w:t>
            </w:r>
            <w:r w:rsidR="00AE554B" w:rsidRPr="00DA03DF">
              <w:t>80.6</w:t>
            </w:r>
          </w:p>
        </w:tc>
        <w:tc>
          <w:tcPr>
            <w:tcW w:w="851" w:type="dxa"/>
            <w:vAlign w:val="center"/>
          </w:tcPr>
          <w:p w:rsidR="00AE554B" w:rsidRPr="00DA03DF" w:rsidRDefault="006458AD" w:rsidP="006458AD">
            <w:pPr>
              <w:pStyle w:val="Tabletext"/>
              <w:jc w:val="right"/>
            </w:pPr>
            <w:r>
              <w:rPr>
                <w:rFonts w:cs="Arial"/>
              </w:rPr>
              <w:t>$</w:t>
            </w:r>
            <w:r w:rsidR="00AE554B">
              <w:t>79.1</w:t>
            </w:r>
          </w:p>
        </w:tc>
      </w:tr>
      <w:tr w:rsidR="00AE554B" w:rsidRPr="00DA03DF" w:rsidTr="00910525">
        <w:trPr>
          <w:trHeight w:val="20"/>
          <w:jc w:val="center"/>
        </w:trPr>
        <w:tc>
          <w:tcPr>
            <w:tcW w:w="4999" w:type="dxa"/>
            <w:shd w:val="clear" w:color="auto" w:fill="auto"/>
            <w:vAlign w:val="center"/>
          </w:tcPr>
          <w:p w:rsidR="00AE554B" w:rsidRPr="00DA03DF" w:rsidRDefault="00AE554B" w:rsidP="00701DCF">
            <w:pPr>
              <w:pStyle w:val="Tabletext"/>
            </w:pPr>
            <w:r w:rsidRPr="00DA03DF">
              <w:t>Distribution Maintenance Expenses</w:t>
            </w:r>
            <w:r w:rsidR="006458AD">
              <w:t xml:space="preserve"> (millions)</w:t>
            </w:r>
          </w:p>
        </w:tc>
        <w:tc>
          <w:tcPr>
            <w:tcW w:w="990" w:type="dxa"/>
            <w:vAlign w:val="center"/>
          </w:tcPr>
          <w:p w:rsidR="00AE554B" w:rsidRPr="00DA03DF" w:rsidRDefault="006458AD" w:rsidP="006458AD">
            <w:pPr>
              <w:pStyle w:val="Tabletext"/>
              <w:jc w:val="right"/>
            </w:pPr>
            <w:r>
              <w:rPr>
                <w:rFonts w:cs="Arial"/>
              </w:rPr>
              <w:t>$</w:t>
            </w:r>
            <w:r w:rsidR="00AE554B" w:rsidRPr="00DA03DF">
              <w:t>66.4</w:t>
            </w:r>
          </w:p>
        </w:tc>
        <w:tc>
          <w:tcPr>
            <w:tcW w:w="900" w:type="dxa"/>
            <w:vAlign w:val="center"/>
          </w:tcPr>
          <w:p w:rsidR="00AE554B" w:rsidRPr="00DA03DF" w:rsidRDefault="006458AD" w:rsidP="006458AD">
            <w:pPr>
              <w:pStyle w:val="Tabletext"/>
              <w:jc w:val="right"/>
            </w:pPr>
            <w:r>
              <w:rPr>
                <w:rFonts w:cs="Arial"/>
              </w:rPr>
              <w:t>$</w:t>
            </w:r>
            <w:r w:rsidR="00AE554B" w:rsidRPr="00DA03DF">
              <w:t>75.3</w:t>
            </w:r>
          </w:p>
        </w:tc>
        <w:tc>
          <w:tcPr>
            <w:tcW w:w="867" w:type="dxa"/>
            <w:vAlign w:val="center"/>
          </w:tcPr>
          <w:p w:rsidR="00AE554B" w:rsidRPr="00DA03DF" w:rsidRDefault="006458AD" w:rsidP="006458AD">
            <w:pPr>
              <w:pStyle w:val="Tabletext"/>
              <w:jc w:val="right"/>
            </w:pPr>
            <w:r>
              <w:rPr>
                <w:rFonts w:cs="Arial"/>
              </w:rPr>
              <w:t>$</w:t>
            </w:r>
            <w:r w:rsidR="00AE554B" w:rsidRPr="00DA03DF">
              <w:t>89.3</w:t>
            </w:r>
          </w:p>
        </w:tc>
        <w:tc>
          <w:tcPr>
            <w:tcW w:w="851" w:type="dxa"/>
            <w:vAlign w:val="center"/>
          </w:tcPr>
          <w:p w:rsidR="00AE554B" w:rsidRPr="00DA03DF" w:rsidRDefault="006458AD" w:rsidP="006458AD">
            <w:pPr>
              <w:pStyle w:val="Tabletext"/>
              <w:jc w:val="right"/>
            </w:pPr>
            <w:r>
              <w:rPr>
                <w:rFonts w:cs="Arial"/>
              </w:rPr>
              <w:t>$</w:t>
            </w:r>
            <w:r w:rsidR="00AE554B" w:rsidRPr="00DA03DF">
              <w:t>95.5</w:t>
            </w:r>
          </w:p>
        </w:tc>
        <w:tc>
          <w:tcPr>
            <w:tcW w:w="851" w:type="dxa"/>
            <w:vAlign w:val="center"/>
          </w:tcPr>
          <w:p w:rsidR="00AE554B" w:rsidRPr="00DA03DF" w:rsidRDefault="006458AD" w:rsidP="006458AD">
            <w:pPr>
              <w:pStyle w:val="Tabletext"/>
              <w:jc w:val="right"/>
            </w:pPr>
            <w:r>
              <w:rPr>
                <w:rFonts w:cs="Arial"/>
              </w:rPr>
              <w:t>$</w:t>
            </w:r>
            <w:r w:rsidR="00AE554B">
              <w:t>97.7</w:t>
            </w:r>
          </w:p>
        </w:tc>
      </w:tr>
      <w:tr w:rsidR="00AE554B" w:rsidRPr="00DA03DF" w:rsidTr="00910525">
        <w:trPr>
          <w:trHeight w:val="20"/>
          <w:jc w:val="center"/>
        </w:trPr>
        <w:tc>
          <w:tcPr>
            <w:tcW w:w="4999" w:type="dxa"/>
            <w:shd w:val="clear" w:color="auto" w:fill="auto"/>
            <w:vAlign w:val="center"/>
          </w:tcPr>
          <w:p w:rsidR="00AE554B" w:rsidRPr="00DA03DF" w:rsidRDefault="00AE554B" w:rsidP="00701DCF">
            <w:pPr>
              <w:pStyle w:val="Tabletext"/>
            </w:pPr>
            <w:r w:rsidRPr="00DA03DF">
              <w:t>Total Distribution O&amp;M</w:t>
            </w:r>
            <w:r w:rsidR="006458AD">
              <w:t xml:space="preserve"> (millions)</w:t>
            </w:r>
          </w:p>
        </w:tc>
        <w:tc>
          <w:tcPr>
            <w:tcW w:w="990" w:type="dxa"/>
            <w:vAlign w:val="center"/>
          </w:tcPr>
          <w:p w:rsidR="00AE554B" w:rsidRPr="00DA03DF" w:rsidRDefault="006458AD" w:rsidP="006458AD">
            <w:pPr>
              <w:pStyle w:val="Tabletext"/>
              <w:jc w:val="right"/>
            </w:pPr>
            <w:r>
              <w:rPr>
                <w:rFonts w:cs="Arial"/>
              </w:rPr>
              <w:t>$</w:t>
            </w:r>
            <w:r w:rsidR="00AE554B" w:rsidRPr="00DA03DF">
              <w:t>152.3</w:t>
            </w:r>
          </w:p>
        </w:tc>
        <w:tc>
          <w:tcPr>
            <w:tcW w:w="900" w:type="dxa"/>
            <w:vAlign w:val="center"/>
          </w:tcPr>
          <w:p w:rsidR="00AE554B" w:rsidRPr="00DA03DF" w:rsidRDefault="006458AD" w:rsidP="006458AD">
            <w:pPr>
              <w:pStyle w:val="Tabletext"/>
              <w:jc w:val="right"/>
            </w:pPr>
            <w:r>
              <w:rPr>
                <w:rFonts w:cs="Arial"/>
              </w:rPr>
              <w:t>$</w:t>
            </w:r>
            <w:r w:rsidR="00AE554B" w:rsidRPr="00DA03DF">
              <w:t>157.3</w:t>
            </w:r>
          </w:p>
        </w:tc>
        <w:tc>
          <w:tcPr>
            <w:tcW w:w="867" w:type="dxa"/>
            <w:vAlign w:val="center"/>
          </w:tcPr>
          <w:p w:rsidR="00AE554B" w:rsidRPr="00DA03DF" w:rsidRDefault="006458AD" w:rsidP="006458AD">
            <w:pPr>
              <w:pStyle w:val="Tabletext"/>
              <w:jc w:val="right"/>
            </w:pPr>
            <w:r>
              <w:rPr>
                <w:rFonts w:cs="Arial"/>
              </w:rPr>
              <w:t>$</w:t>
            </w:r>
            <w:r w:rsidR="00AE554B" w:rsidRPr="00DA03DF">
              <w:t>166.3</w:t>
            </w:r>
          </w:p>
        </w:tc>
        <w:tc>
          <w:tcPr>
            <w:tcW w:w="851" w:type="dxa"/>
            <w:vAlign w:val="center"/>
          </w:tcPr>
          <w:p w:rsidR="00AE554B" w:rsidRPr="00DA03DF" w:rsidRDefault="006458AD" w:rsidP="006458AD">
            <w:pPr>
              <w:pStyle w:val="Tabletext"/>
              <w:jc w:val="right"/>
            </w:pPr>
            <w:r>
              <w:rPr>
                <w:rFonts w:cs="Arial"/>
              </w:rPr>
              <w:t>$</w:t>
            </w:r>
            <w:r w:rsidR="00AE554B" w:rsidRPr="00DA03DF">
              <w:t>176.1</w:t>
            </w:r>
          </w:p>
        </w:tc>
        <w:tc>
          <w:tcPr>
            <w:tcW w:w="851" w:type="dxa"/>
            <w:vAlign w:val="center"/>
          </w:tcPr>
          <w:p w:rsidR="00AE554B" w:rsidRPr="00DA03DF" w:rsidRDefault="006458AD" w:rsidP="006458AD">
            <w:pPr>
              <w:pStyle w:val="Tabletext"/>
              <w:jc w:val="right"/>
            </w:pPr>
            <w:r>
              <w:rPr>
                <w:rFonts w:cs="Arial"/>
              </w:rPr>
              <w:t>$</w:t>
            </w:r>
            <w:r w:rsidR="00AE554B">
              <w:t>176.8</w:t>
            </w:r>
          </w:p>
        </w:tc>
      </w:tr>
      <w:tr w:rsidR="00AE554B" w:rsidRPr="00094B43" w:rsidTr="00910525">
        <w:trPr>
          <w:trHeight w:val="20"/>
          <w:jc w:val="center"/>
        </w:trPr>
        <w:tc>
          <w:tcPr>
            <w:tcW w:w="9458" w:type="dxa"/>
            <w:gridSpan w:val="6"/>
            <w:vAlign w:val="center"/>
          </w:tcPr>
          <w:p w:rsidR="00AE554B" w:rsidRPr="00094B43" w:rsidRDefault="00AE554B" w:rsidP="00701DCF">
            <w:pPr>
              <w:pStyle w:val="Tabletext"/>
              <w:jc w:val="left"/>
              <w:rPr>
                <w:rFonts w:cs="Arial"/>
              </w:rPr>
            </w:pPr>
            <w:r w:rsidRPr="00DA03DF">
              <w:rPr>
                <w:rFonts w:cs="Arial"/>
              </w:rPr>
              <w:t>Source: PUC Annual Reports</w:t>
            </w:r>
          </w:p>
        </w:tc>
      </w:tr>
    </w:tbl>
    <w:p w:rsidR="00AE554B" w:rsidRDefault="00AE554B" w:rsidP="00701DCF">
      <w:pPr>
        <w:pStyle w:val="Normal-aftertable"/>
      </w:pPr>
      <w:proofErr w:type="gramStart"/>
      <w:r>
        <w:t>Distribution O&amp;M from 2011 through 2015 increased by approximately 16%.</w:t>
      </w:r>
      <w:proofErr w:type="gramEnd"/>
      <w:r>
        <w:t xml:space="preserve">  The increase in distribution maintenance expenses were largely driven by increases in FERC accounts 592 – Maintenance of Station Equipment and 593 – Maintenance of Overhead Lines which reflect increases in substation equipment maintenance, line maintenance, and vegetation management spending.</w:t>
      </w:r>
    </w:p>
    <w:p w:rsidR="00AE554B" w:rsidRDefault="00AE554B" w:rsidP="00701DCF">
      <w:r>
        <w:t>The following exhibit shows Distribution capital spending from 2011 to 2015:</w:t>
      </w:r>
    </w:p>
    <w:p w:rsidR="00AE554B" w:rsidRPr="003E1C85" w:rsidRDefault="00AD2223" w:rsidP="00AD2223">
      <w:pPr>
        <w:pStyle w:val="Caption"/>
      </w:pPr>
      <w:bookmarkStart w:id="149" w:name="_Toc464552982"/>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15</w:t>
      </w:r>
      <w:r w:rsidR="00CB2B2A">
        <w:rPr>
          <w:noProof/>
        </w:rPr>
        <w:fldChar w:fldCharType="end"/>
      </w:r>
      <w:r w:rsidR="002F6183">
        <w:br/>
      </w:r>
      <w:r w:rsidR="00AE554B" w:rsidRPr="003E1C85">
        <w:t xml:space="preserve">PPL EU </w:t>
      </w:r>
      <w:r w:rsidR="00AE554B">
        <w:t>Distribution Capital Spending</w:t>
      </w:r>
      <w:r w:rsidR="00AE554B" w:rsidRPr="003E1C85">
        <w:t xml:space="preserve"> 201</w:t>
      </w:r>
      <w:r w:rsidR="00AE554B">
        <w:t>1–</w:t>
      </w:r>
      <w:r w:rsidR="00AE554B" w:rsidRPr="003E1C85">
        <w:t>201</w:t>
      </w:r>
      <w:r w:rsidR="00AE554B">
        <w:t>5</w:t>
      </w:r>
      <w:bookmarkEnd w:id="1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tblPr>
      <w:tblGrid>
        <w:gridCol w:w="4077"/>
        <w:gridCol w:w="1067"/>
        <w:gridCol w:w="1067"/>
        <w:gridCol w:w="1067"/>
        <w:gridCol w:w="1067"/>
        <w:gridCol w:w="1068"/>
      </w:tblGrid>
      <w:tr w:rsidR="00AE554B" w:rsidRPr="007370C9" w:rsidTr="00910525">
        <w:trPr>
          <w:cantSplit/>
          <w:trHeight w:val="20"/>
          <w:tblHeader/>
          <w:jc w:val="center"/>
        </w:trPr>
        <w:tc>
          <w:tcPr>
            <w:tcW w:w="4077" w:type="dxa"/>
            <w:shd w:val="clear" w:color="auto" w:fill="A5CD7E"/>
            <w:vAlign w:val="center"/>
          </w:tcPr>
          <w:p w:rsidR="00AE554B" w:rsidRPr="007370C9" w:rsidRDefault="00AE554B" w:rsidP="007370C9">
            <w:pPr>
              <w:spacing w:before="120"/>
              <w:jc w:val="center"/>
              <w:rPr>
                <w:b/>
              </w:rPr>
            </w:pPr>
            <w:r w:rsidRPr="007370C9">
              <w:rPr>
                <w:b/>
              </w:rPr>
              <w:t>Factor</w:t>
            </w:r>
          </w:p>
        </w:tc>
        <w:tc>
          <w:tcPr>
            <w:tcW w:w="1067" w:type="dxa"/>
            <w:shd w:val="clear" w:color="auto" w:fill="A5CD7E"/>
            <w:vAlign w:val="center"/>
          </w:tcPr>
          <w:p w:rsidR="00AE554B" w:rsidRPr="007370C9" w:rsidRDefault="00AE554B" w:rsidP="007370C9">
            <w:pPr>
              <w:spacing w:before="120"/>
              <w:jc w:val="center"/>
              <w:rPr>
                <w:b/>
              </w:rPr>
            </w:pPr>
            <w:r w:rsidRPr="007370C9">
              <w:rPr>
                <w:b/>
              </w:rPr>
              <w:t>2011</w:t>
            </w:r>
          </w:p>
        </w:tc>
        <w:tc>
          <w:tcPr>
            <w:tcW w:w="1067" w:type="dxa"/>
            <w:shd w:val="clear" w:color="auto" w:fill="A5CD7E"/>
            <w:vAlign w:val="center"/>
          </w:tcPr>
          <w:p w:rsidR="00AE554B" w:rsidRPr="007370C9" w:rsidRDefault="00AE554B" w:rsidP="007370C9">
            <w:pPr>
              <w:spacing w:before="120"/>
              <w:jc w:val="center"/>
              <w:rPr>
                <w:b/>
              </w:rPr>
            </w:pPr>
            <w:r w:rsidRPr="007370C9">
              <w:rPr>
                <w:b/>
              </w:rPr>
              <w:t>2012</w:t>
            </w:r>
          </w:p>
        </w:tc>
        <w:tc>
          <w:tcPr>
            <w:tcW w:w="1067" w:type="dxa"/>
            <w:shd w:val="clear" w:color="auto" w:fill="A5CD7E"/>
            <w:vAlign w:val="center"/>
          </w:tcPr>
          <w:p w:rsidR="00AE554B" w:rsidRPr="007370C9" w:rsidRDefault="00AE554B" w:rsidP="007370C9">
            <w:pPr>
              <w:spacing w:before="120"/>
              <w:jc w:val="center"/>
              <w:rPr>
                <w:b/>
              </w:rPr>
            </w:pPr>
            <w:r w:rsidRPr="007370C9">
              <w:rPr>
                <w:b/>
              </w:rPr>
              <w:t>2013</w:t>
            </w:r>
          </w:p>
        </w:tc>
        <w:tc>
          <w:tcPr>
            <w:tcW w:w="1067" w:type="dxa"/>
            <w:shd w:val="clear" w:color="auto" w:fill="A5CD7E"/>
            <w:vAlign w:val="center"/>
          </w:tcPr>
          <w:p w:rsidR="00AE554B" w:rsidRPr="007370C9" w:rsidRDefault="00AE554B" w:rsidP="007370C9">
            <w:pPr>
              <w:spacing w:before="120"/>
              <w:jc w:val="center"/>
              <w:rPr>
                <w:b/>
              </w:rPr>
            </w:pPr>
            <w:r w:rsidRPr="007370C9">
              <w:rPr>
                <w:b/>
              </w:rPr>
              <w:t>2014</w:t>
            </w:r>
          </w:p>
        </w:tc>
        <w:tc>
          <w:tcPr>
            <w:tcW w:w="1068" w:type="dxa"/>
            <w:shd w:val="clear" w:color="auto" w:fill="A5CD7E"/>
            <w:vAlign w:val="center"/>
          </w:tcPr>
          <w:p w:rsidR="00AE554B" w:rsidRPr="007370C9" w:rsidRDefault="00AE554B" w:rsidP="007370C9">
            <w:pPr>
              <w:spacing w:before="120"/>
              <w:jc w:val="center"/>
              <w:rPr>
                <w:b/>
              </w:rPr>
            </w:pPr>
            <w:r w:rsidRPr="007370C9">
              <w:rPr>
                <w:b/>
              </w:rPr>
              <w:t>2015</w:t>
            </w:r>
          </w:p>
        </w:tc>
      </w:tr>
      <w:tr w:rsidR="00AE554B" w:rsidRPr="00094B43" w:rsidTr="00910525">
        <w:trPr>
          <w:cantSplit/>
          <w:trHeight w:val="20"/>
          <w:jc w:val="center"/>
        </w:trPr>
        <w:tc>
          <w:tcPr>
            <w:tcW w:w="4077" w:type="dxa"/>
            <w:shd w:val="clear" w:color="auto" w:fill="auto"/>
            <w:vAlign w:val="center"/>
          </w:tcPr>
          <w:p w:rsidR="00AE554B" w:rsidRDefault="00AE554B" w:rsidP="00701DCF">
            <w:pPr>
              <w:pStyle w:val="Tabletext"/>
            </w:pPr>
            <w:r>
              <w:t>Distribution Other</w:t>
            </w:r>
            <w:r w:rsidR="006458AD">
              <w:t xml:space="preserve"> (millions)</w:t>
            </w:r>
          </w:p>
        </w:tc>
        <w:tc>
          <w:tcPr>
            <w:tcW w:w="1067" w:type="dxa"/>
            <w:vAlign w:val="center"/>
          </w:tcPr>
          <w:p w:rsidR="00AE554B" w:rsidRDefault="006458AD" w:rsidP="006458AD">
            <w:pPr>
              <w:pStyle w:val="Tabletext"/>
              <w:jc w:val="right"/>
            </w:pPr>
            <w:r>
              <w:rPr>
                <w:rFonts w:cs="Arial"/>
              </w:rPr>
              <w:t>$</w:t>
            </w:r>
            <w:r w:rsidR="00AE554B">
              <w:t>267.2</w:t>
            </w:r>
          </w:p>
        </w:tc>
        <w:tc>
          <w:tcPr>
            <w:tcW w:w="1067" w:type="dxa"/>
            <w:vAlign w:val="center"/>
          </w:tcPr>
          <w:p w:rsidR="00AE554B" w:rsidRDefault="006458AD" w:rsidP="006458AD">
            <w:pPr>
              <w:pStyle w:val="Tabletext"/>
              <w:jc w:val="right"/>
            </w:pPr>
            <w:r>
              <w:rPr>
                <w:rFonts w:cs="Arial"/>
              </w:rPr>
              <w:t>$</w:t>
            </w:r>
            <w:r w:rsidR="00AE554B">
              <w:t>284.0</w:t>
            </w:r>
          </w:p>
        </w:tc>
        <w:tc>
          <w:tcPr>
            <w:tcW w:w="1067" w:type="dxa"/>
            <w:vAlign w:val="center"/>
          </w:tcPr>
          <w:p w:rsidR="00AE554B" w:rsidRDefault="006458AD" w:rsidP="006458AD">
            <w:pPr>
              <w:pStyle w:val="Tabletext"/>
              <w:jc w:val="right"/>
            </w:pPr>
            <w:r>
              <w:rPr>
                <w:rFonts w:cs="Arial"/>
              </w:rPr>
              <w:t>$</w:t>
            </w:r>
            <w:r w:rsidR="00AE554B">
              <w:t>196.3</w:t>
            </w:r>
          </w:p>
        </w:tc>
        <w:tc>
          <w:tcPr>
            <w:tcW w:w="1067" w:type="dxa"/>
            <w:vAlign w:val="center"/>
          </w:tcPr>
          <w:p w:rsidR="00AE554B" w:rsidRDefault="006458AD" w:rsidP="006458AD">
            <w:pPr>
              <w:pStyle w:val="Tabletext"/>
              <w:jc w:val="right"/>
            </w:pPr>
            <w:r>
              <w:rPr>
                <w:rFonts w:cs="Arial"/>
              </w:rPr>
              <w:t>$</w:t>
            </w:r>
            <w:r w:rsidR="00AE554B">
              <w:t>212.4</w:t>
            </w:r>
          </w:p>
        </w:tc>
        <w:tc>
          <w:tcPr>
            <w:tcW w:w="1068" w:type="dxa"/>
            <w:vAlign w:val="center"/>
          </w:tcPr>
          <w:p w:rsidR="00AE554B" w:rsidRDefault="006458AD" w:rsidP="006458AD">
            <w:pPr>
              <w:pStyle w:val="Tabletext"/>
              <w:jc w:val="right"/>
            </w:pPr>
            <w:r>
              <w:rPr>
                <w:rFonts w:cs="Arial"/>
              </w:rPr>
              <w:t>$</w:t>
            </w:r>
            <w:r w:rsidR="00AE554B">
              <w:t>291.3</w:t>
            </w:r>
          </w:p>
        </w:tc>
      </w:tr>
      <w:tr w:rsidR="00AE554B" w:rsidRPr="00094B43" w:rsidTr="00910525">
        <w:trPr>
          <w:cantSplit/>
          <w:trHeight w:val="20"/>
          <w:jc w:val="center"/>
        </w:trPr>
        <w:tc>
          <w:tcPr>
            <w:tcW w:w="4077" w:type="dxa"/>
            <w:shd w:val="clear" w:color="auto" w:fill="auto"/>
            <w:vAlign w:val="center"/>
          </w:tcPr>
          <w:p w:rsidR="00AE554B" w:rsidRDefault="00AE554B" w:rsidP="00701DCF">
            <w:pPr>
              <w:pStyle w:val="Tabletext"/>
            </w:pPr>
            <w:r>
              <w:rPr>
                <w:rFonts w:cs="Arial"/>
              </w:rPr>
              <w:t>Distribution System Improvement Charge</w:t>
            </w:r>
            <w:r w:rsidR="006458AD">
              <w:t xml:space="preserve"> (millions)</w:t>
            </w:r>
          </w:p>
        </w:tc>
        <w:tc>
          <w:tcPr>
            <w:tcW w:w="1067" w:type="dxa"/>
            <w:vAlign w:val="center"/>
          </w:tcPr>
          <w:p w:rsidR="00AE554B" w:rsidRDefault="006458AD" w:rsidP="006458AD">
            <w:pPr>
              <w:pStyle w:val="Tabletext"/>
              <w:jc w:val="right"/>
            </w:pPr>
            <w:r>
              <w:rPr>
                <w:rFonts w:cs="Arial"/>
              </w:rPr>
              <w:t>$</w:t>
            </w:r>
            <w:r w:rsidR="00AE554B">
              <w:t>59.4</w:t>
            </w:r>
          </w:p>
        </w:tc>
        <w:tc>
          <w:tcPr>
            <w:tcW w:w="1067" w:type="dxa"/>
            <w:vAlign w:val="center"/>
          </w:tcPr>
          <w:p w:rsidR="00AE554B" w:rsidRDefault="006458AD" w:rsidP="006458AD">
            <w:pPr>
              <w:pStyle w:val="Tabletext"/>
              <w:jc w:val="right"/>
            </w:pPr>
            <w:r>
              <w:rPr>
                <w:rFonts w:cs="Arial"/>
              </w:rPr>
              <w:t>$</w:t>
            </w:r>
            <w:r w:rsidR="00AE554B">
              <w:t>58.2</w:t>
            </w:r>
          </w:p>
        </w:tc>
        <w:tc>
          <w:tcPr>
            <w:tcW w:w="1067" w:type="dxa"/>
            <w:vAlign w:val="center"/>
          </w:tcPr>
          <w:p w:rsidR="00AE554B" w:rsidRDefault="006458AD" w:rsidP="006458AD">
            <w:pPr>
              <w:pStyle w:val="Tabletext"/>
              <w:jc w:val="right"/>
            </w:pPr>
            <w:r>
              <w:rPr>
                <w:rFonts w:cs="Arial"/>
              </w:rPr>
              <w:t>$</w:t>
            </w:r>
            <w:r w:rsidR="00AE554B">
              <w:t>145.8</w:t>
            </w:r>
          </w:p>
        </w:tc>
        <w:tc>
          <w:tcPr>
            <w:tcW w:w="1067" w:type="dxa"/>
            <w:vAlign w:val="center"/>
          </w:tcPr>
          <w:p w:rsidR="00AE554B" w:rsidRDefault="006458AD" w:rsidP="006458AD">
            <w:pPr>
              <w:pStyle w:val="Tabletext"/>
              <w:jc w:val="right"/>
            </w:pPr>
            <w:r>
              <w:rPr>
                <w:rFonts w:cs="Arial"/>
              </w:rPr>
              <w:t>$</w:t>
            </w:r>
            <w:r w:rsidR="00AE554B">
              <w:t>138.9</w:t>
            </w:r>
          </w:p>
        </w:tc>
        <w:tc>
          <w:tcPr>
            <w:tcW w:w="1068" w:type="dxa"/>
            <w:vAlign w:val="center"/>
          </w:tcPr>
          <w:p w:rsidR="00AE554B" w:rsidRDefault="006458AD" w:rsidP="006458AD">
            <w:pPr>
              <w:pStyle w:val="Tabletext"/>
              <w:jc w:val="right"/>
            </w:pPr>
            <w:r>
              <w:rPr>
                <w:rFonts w:cs="Arial"/>
              </w:rPr>
              <w:t>$</w:t>
            </w:r>
            <w:r w:rsidR="00AE554B">
              <w:t>142.4</w:t>
            </w:r>
          </w:p>
        </w:tc>
      </w:tr>
      <w:tr w:rsidR="00AE554B" w:rsidRPr="00094B43" w:rsidTr="00910525">
        <w:trPr>
          <w:cantSplit/>
          <w:trHeight w:val="20"/>
          <w:jc w:val="center"/>
        </w:trPr>
        <w:tc>
          <w:tcPr>
            <w:tcW w:w="4077" w:type="dxa"/>
            <w:shd w:val="clear" w:color="auto" w:fill="auto"/>
            <w:vAlign w:val="center"/>
          </w:tcPr>
          <w:p w:rsidR="00AE554B" w:rsidRDefault="00AE554B" w:rsidP="00701DCF">
            <w:pPr>
              <w:pStyle w:val="Tabletext"/>
            </w:pPr>
            <w:r>
              <w:t>Total Distribution Capital</w:t>
            </w:r>
            <w:r w:rsidR="006458AD">
              <w:t xml:space="preserve"> (millions)</w:t>
            </w:r>
          </w:p>
        </w:tc>
        <w:tc>
          <w:tcPr>
            <w:tcW w:w="1067" w:type="dxa"/>
            <w:vAlign w:val="center"/>
          </w:tcPr>
          <w:p w:rsidR="00AE554B" w:rsidRDefault="006458AD" w:rsidP="006458AD">
            <w:pPr>
              <w:pStyle w:val="Tabletext"/>
              <w:jc w:val="right"/>
            </w:pPr>
            <w:r>
              <w:rPr>
                <w:rFonts w:cs="Arial"/>
              </w:rPr>
              <w:t>$</w:t>
            </w:r>
            <w:r w:rsidR="00AE554B">
              <w:t>326.6</w:t>
            </w:r>
          </w:p>
        </w:tc>
        <w:tc>
          <w:tcPr>
            <w:tcW w:w="1067" w:type="dxa"/>
            <w:vAlign w:val="center"/>
          </w:tcPr>
          <w:p w:rsidR="00AE554B" w:rsidRDefault="006458AD" w:rsidP="006458AD">
            <w:pPr>
              <w:pStyle w:val="Tabletext"/>
              <w:jc w:val="right"/>
            </w:pPr>
            <w:r>
              <w:rPr>
                <w:rFonts w:cs="Arial"/>
              </w:rPr>
              <w:t>$</w:t>
            </w:r>
            <w:r w:rsidR="00AE554B">
              <w:t>342.2</w:t>
            </w:r>
          </w:p>
        </w:tc>
        <w:tc>
          <w:tcPr>
            <w:tcW w:w="1067" w:type="dxa"/>
            <w:vAlign w:val="center"/>
          </w:tcPr>
          <w:p w:rsidR="00AE554B" w:rsidRDefault="006458AD" w:rsidP="006458AD">
            <w:pPr>
              <w:pStyle w:val="Tabletext"/>
              <w:jc w:val="right"/>
            </w:pPr>
            <w:r>
              <w:rPr>
                <w:rFonts w:cs="Arial"/>
              </w:rPr>
              <w:t>$</w:t>
            </w:r>
            <w:r w:rsidR="00AE554B">
              <w:t>342.1</w:t>
            </w:r>
          </w:p>
        </w:tc>
        <w:tc>
          <w:tcPr>
            <w:tcW w:w="1067" w:type="dxa"/>
            <w:vAlign w:val="center"/>
          </w:tcPr>
          <w:p w:rsidR="00AE554B" w:rsidRDefault="006458AD" w:rsidP="006458AD">
            <w:pPr>
              <w:pStyle w:val="Tabletext"/>
              <w:jc w:val="right"/>
            </w:pPr>
            <w:r>
              <w:rPr>
                <w:rFonts w:cs="Arial"/>
              </w:rPr>
              <w:t>$</w:t>
            </w:r>
            <w:r w:rsidR="00AE554B">
              <w:t>351.3</w:t>
            </w:r>
          </w:p>
        </w:tc>
        <w:tc>
          <w:tcPr>
            <w:tcW w:w="1068" w:type="dxa"/>
            <w:vAlign w:val="center"/>
          </w:tcPr>
          <w:p w:rsidR="00AE554B" w:rsidRDefault="006458AD" w:rsidP="006458AD">
            <w:pPr>
              <w:pStyle w:val="Tabletext"/>
              <w:jc w:val="right"/>
            </w:pPr>
            <w:r>
              <w:rPr>
                <w:rFonts w:cs="Arial"/>
              </w:rPr>
              <w:t>$</w:t>
            </w:r>
            <w:r w:rsidR="00AE554B">
              <w:t>433.7</w:t>
            </w:r>
          </w:p>
        </w:tc>
      </w:tr>
      <w:tr w:rsidR="00AE554B" w:rsidRPr="00094B43" w:rsidTr="00910525">
        <w:trPr>
          <w:cantSplit/>
          <w:trHeight w:val="20"/>
          <w:jc w:val="center"/>
        </w:trPr>
        <w:tc>
          <w:tcPr>
            <w:tcW w:w="9413" w:type="dxa"/>
            <w:gridSpan w:val="6"/>
            <w:vAlign w:val="center"/>
          </w:tcPr>
          <w:p w:rsidR="00AE554B" w:rsidRPr="00094B43" w:rsidRDefault="00AE554B" w:rsidP="00701DCF">
            <w:pPr>
              <w:pStyle w:val="Tabletext"/>
              <w:jc w:val="left"/>
              <w:rPr>
                <w:rFonts w:cs="Arial"/>
              </w:rPr>
            </w:pPr>
            <w:r w:rsidRPr="00094B43">
              <w:rPr>
                <w:rFonts w:cs="Arial"/>
              </w:rPr>
              <w:t xml:space="preserve">Source: DN </w:t>
            </w:r>
            <w:r>
              <w:rPr>
                <w:rFonts w:cs="Arial"/>
              </w:rPr>
              <w:t>01-015; DN 01-069</w:t>
            </w:r>
          </w:p>
        </w:tc>
      </w:tr>
    </w:tbl>
    <w:p w:rsidR="00AE554B" w:rsidRDefault="00AE554B" w:rsidP="00701DCF">
      <w:pPr>
        <w:pStyle w:val="Normal-aftertable"/>
      </w:pPr>
      <w:r>
        <w:rPr>
          <w:rFonts w:cs="Arial"/>
          <w:szCs w:val="24"/>
        </w:rPr>
        <w:t xml:space="preserve">Distribution Other includes capital spending for new customer connections, line extensions and replacements, capital equipment, and other Distribution capital needs.  </w:t>
      </w:r>
      <w:proofErr w:type="gramStart"/>
      <w:r>
        <w:t>Distribution Capital from 2011 through 2015 increased by approximately 33%.</w:t>
      </w:r>
      <w:proofErr w:type="gramEnd"/>
      <w:r>
        <w:t xml:space="preserve">  </w:t>
      </w:r>
      <w:r>
        <w:rPr>
          <w:rFonts w:cs="Arial"/>
          <w:szCs w:val="24"/>
        </w:rPr>
        <w:t>The Distribution System Improvement Charge (DSIC) provides funds for implementation of the projects and programs identified in the Long Term Infrastructure Improvement Plan (LTIIP) that was submitted in 2012 to the PA PUC.  The Plan identifies a five year program, beginning in 2013, of capital initiatives for improving the reliability and performance of the system.</w:t>
      </w:r>
    </w:p>
    <w:p w:rsidR="00AE554B" w:rsidRDefault="00AE554B" w:rsidP="00584294">
      <w:pPr>
        <w:pStyle w:val="Heading40"/>
      </w:pPr>
      <w:r>
        <w:t>Organization Structure</w:t>
      </w:r>
      <w:bookmarkEnd w:id="147"/>
    </w:p>
    <w:p w:rsidR="00AE554B" w:rsidRDefault="00AE554B" w:rsidP="00701DCF">
      <w:pPr>
        <w:pStyle w:val="Normal-aftertable"/>
      </w:pPr>
      <w:r>
        <w:t xml:space="preserve">The PPL EU </w:t>
      </w:r>
      <w:r w:rsidRPr="00325A62">
        <w:t>Distribution Operations</w:t>
      </w:r>
      <w:r>
        <w:t xml:space="preserve"> organization is shown in the following exhibit.</w:t>
      </w:r>
    </w:p>
    <w:p w:rsidR="00AE554B" w:rsidRDefault="00AD2223" w:rsidP="00AD2223">
      <w:pPr>
        <w:pStyle w:val="Caption"/>
      </w:pPr>
      <w:bookmarkStart w:id="150" w:name="_Toc464552983"/>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16</w:t>
      </w:r>
      <w:r w:rsidR="00CB2B2A">
        <w:rPr>
          <w:noProof/>
        </w:rPr>
        <w:fldChar w:fldCharType="end"/>
      </w:r>
      <w:r w:rsidR="002F6183">
        <w:br/>
      </w:r>
      <w:r w:rsidR="00AE554B" w:rsidRPr="00325A62">
        <w:t>Distribution Operations</w:t>
      </w:r>
      <w:r w:rsidR="00AE554B">
        <w:t xml:space="preserve"> Organization Structure</w:t>
      </w:r>
      <w:bookmarkEnd w:id="150"/>
    </w:p>
    <w:p w:rsidR="00AE554B" w:rsidRDefault="00B3476F" w:rsidP="00701DCF">
      <w:r>
        <w:rPr>
          <w:noProof/>
        </w:rPr>
        <w:drawing>
          <wp:inline distT="0" distB="0" distL="0" distR="0">
            <wp:extent cx="5943600" cy="26155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PL-EU_01009_Dist-Ops_page2_v3.jpg"/>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615565"/>
                    </a:xfrm>
                    <a:prstGeom prst="rect">
                      <a:avLst/>
                    </a:prstGeom>
                  </pic:spPr>
                </pic:pic>
              </a:graphicData>
            </a:graphic>
          </wp:inline>
        </w:drawing>
      </w:r>
    </w:p>
    <w:p w:rsidR="00AE554B" w:rsidRDefault="00AE554B" w:rsidP="00701DCF">
      <w:pPr>
        <w:pStyle w:val="Normal-aftertable"/>
      </w:pPr>
      <w:r>
        <w:t>Source: DN 01-009</w:t>
      </w:r>
    </w:p>
    <w:p w:rsidR="00AE554B" w:rsidRPr="00325A62" w:rsidRDefault="00AE554B" w:rsidP="00701DCF">
      <w:pPr>
        <w:pStyle w:val="Normal-aftertable"/>
      </w:pPr>
      <w:r>
        <w:t xml:space="preserve">The </w:t>
      </w:r>
      <w:r w:rsidRPr="00325A62">
        <w:t>Distribution Operations</w:t>
      </w:r>
      <w:r>
        <w:t xml:space="preserve"> organization</w:t>
      </w:r>
      <w:r w:rsidRPr="00325A62">
        <w:t xml:space="preserve"> is comprised of </w:t>
      </w:r>
      <w:r>
        <w:t>Distribution Asset Management,</w:t>
      </w:r>
      <w:r w:rsidRPr="00325A62">
        <w:t xml:space="preserve"> </w:t>
      </w:r>
      <w:r>
        <w:t xml:space="preserve">Respond to Customer </w:t>
      </w:r>
      <w:r w:rsidR="005348DB">
        <w:t>–</w:t>
      </w:r>
      <w:r>
        <w:t xml:space="preserve"> </w:t>
      </w:r>
      <w:r w:rsidRPr="00325A62">
        <w:t>Operations, Region Operations</w:t>
      </w:r>
      <w:r>
        <w:t xml:space="preserve"> (Lehigh/Northeast, Central/Susquehanna, </w:t>
      </w:r>
      <w:proofErr w:type="gramStart"/>
      <w:r>
        <w:t>Harrisburg</w:t>
      </w:r>
      <w:proofErr w:type="gramEnd"/>
      <w:r>
        <w:t>/Lancaster)</w:t>
      </w:r>
      <w:r w:rsidRPr="00325A62">
        <w:t xml:space="preserve">, </w:t>
      </w:r>
      <w:r>
        <w:t>Distribution Engineering, Project and Construction Management, Vegetation Management, and a Training and Development Specialist.</w:t>
      </w:r>
    </w:p>
    <w:p w:rsidR="00AE554B" w:rsidRPr="009B640F" w:rsidRDefault="00AE554B" w:rsidP="00701DCF">
      <w:r w:rsidRPr="009B640F">
        <w:t>The core work processes of Distribution Operations include:</w:t>
      </w:r>
    </w:p>
    <w:p w:rsidR="00AE554B" w:rsidRPr="009B640F" w:rsidRDefault="00AE554B" w:rsidP="00701DCF">
      <w:pPr>
        <w:pStyle w:val="Bullet"/>
      </w:pPr>
      <w:r w:rsidRPr="009B640F">
        <w:t>Install electric service to new and expanding customers</w:t>
      </w:r>
    </w:p>
    <w:p w:rsidR="00AE554B" w:rsidRPr="009B640F" w:rsidRDefault="00AE554B" w:rsidP="00701DCF">
      <w:pPr>
        <w:pStyle w:val="Bullet"/>
      </w:pPr>
      <w:r w:rsidRPr="009B640F">
        <w:t>Upgrade distribution system facilities to increase capacity or reliability</w:t>
      </w:r>
    </w:p>
    <w:p w:rsidR="00AE554B" w:rsidRPr="009B640F" w:rsidRDefault="00AE554B" w:rsidP="00701DCF">
      <w:pPr>
        <w:pStyle w:val="Bullet"/>
      </w:pPr>
      <w:r w:rsidRPr="009B640F">
        <w:t>Maintain the distribution system with planned maintenance programs including vegetation management</w:t>
      </w:r>
    </w:p>
    <w:p w:rsidR="00AE554B" w:rsidRDefault="00AE554B" w:rsidP="00701DCF">
      <w:pPr>
        <w:pStyle w:val="Bullet"/>
      </w:pPr>
      <w:r w:rsidRPr="009B640F">
        <w:t>Utilize programs and technologies to improve system reliability performance</w:t>
      </w:r>
    </w:p>
    <w:p w:rsidR="00AE554B" w:rsidRDefault="00AE554B" w:rsidP="00701DCF">
      <w:pPr>
        <w:pStyle w:val="Bullet"/>
      </w:pPr>
      <w:r>
        <w:t>Respond to electric outages and restore service to customers</w:t>
      </w:r>
    </w:p>
    <w:p w:rsidR="00AE554B" w:rsidRDefault="00AE554B" w:rsidP="00701DCF">
      <w:pPr>
        <w:pStyle w:val="Bullet"/>
      </w:pPr>
      <w:r>
        <w:t>Provide PPL EU fleet management services.</w:t>
      </w:r>
    </w:p>
    <w:p w:rsidR="00AE554B" w:rsidRDefault="00AE554B" w:rsidP="00584294">
      <w:pPr>
        <w:rPr>
          <w:highlight w:val="yellow"/>
        </w:rPr>
      </w:pPr>
      <w:proofErr w:type="gramStart"/>
      <w:r w:rsidRPr="00584294">
        <w:rPr>
          <w:b/>
        </w:rPr>
        <w:t>Distribution Asset Management</w:t>
      </w:r>
      <w:r w:rsidR="00584294" w:rsidRPr="00584294">
        <w:rPr>
          <w:b/>
        </w:rPr>
        <w:t>.</w:t>
      </w:r>
      <w:proofErr w:type="gramEnd"/>
      <w:r w:rsidR="00584294">
        <w:t xml:space="preserve">  </w:t>
      </w:r>
      <w:r>
        <w:t>The following exhibit shows the organizational structure for Distribution Asset Management.</w:t>
      </w:r>
      <w:r w:rsidRPr="00590A87">
        <w:rPr>
          <w:highlight w:val="yellow"/>
        </w:rPr>
        <w:t xml:space="preserve"> </w:t>
      </w:r>
    </w:p>
    <w:p w:rsidR="00AE554B" w:rsidRPr="00C00477" w:rsidRDefault="00AD2223" w:rsidP="00AD2223">
      <w:pPr>
        <w:pStyle w:val="Caption"/>
      </w:pPr>
      <w:bookmarkStart w:id="151" w:name="_Toc464552984"/>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17</w:t>
      </w:r>
      <w:r w:rsidR="00CB2B2A">
        <w:rPr>
          <w:noProof/>
        </w:rPr>
        <w:fldChar w:fldCharType="end"/>
      </w:r>
      <w:r w:rsidR="002F6183">
        <w:br/>
      </w:r>
      <w:r w:rsidR="00AE554B">
        <w:t>Distribution Asset Management Organization Structure</w:t>
      </w:r>
      <w:bookmarkEnd w:id="151"/>
    </w:p>
    <w:p w:rsidR="00AE554B" w:rsidRDefault="00B3476F" w:rsidP="00701DCF">
      <w:r>
        <w:rPr>
          <w:noProof/>
        </w:rPr>
        <w:drawing>
          <wp:inline distT="0" distB="0" distL="0" distR="0">
            <wp:extent cx="5943600" cy="2111375"/>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PL-EU_07071_Dist-Asset-Mgmt_page1_v2.jpg"/>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111375"/>
                    </a:xfrm>
                    <a:prstGeom prst="rect">
                      <a:avLst/>
                    </a:prstGeom>
                  </pic:spPr>
                </pic:pic>
              </a:graphicData>
            </a:graphic>
          </wp:inline>
        </w:drawing>
      </w:r>
    </w:p>
    <w:p w:rsidR="00AE554B" w:rsidRDefault="00AE554B" w:rsidP="00701DCF">
      <w:pPr>
        <w:pStyle w:val="Normal-aftertable"/>
      </w:pPr>
      <w:r>
        <w:t>Source: DN 07-071</w:t>
      </w:r>
    </w:p>
    <w:p w:rsidR="00AE554B" w:rsidRDefault="00AE554B" w:rsidP="00701DCF">
      <w:pPr>
        <w:pStyle w:val="Normal-aftertable"/>
      </w:pPr>
      <w:r>
        <w:t>Distribution Asset Management consists of the Distribution Asset Investment Strategy group, a Supervising Engineer group, Work and Resource Planning, a Senior Project Manager, a Project Controls Specialist, a Financial Analyst – EU, and Transportation Services.  The Transportation Services group is discussed in the Transportation section of this chapter below.</w:t>
      </w:r>
    </w:p>
    <w:p w:rsidR="00AE554B" w:rsidRDefault="00AE554B" w:rsidP="00701DCF">
      <w:r>
        <w:t>The Distribution Asset Investment Strategy group is responsible for reliability and maintenance programs covering overhead, underground, low tension network, and distribution substations.</w:t>
      </w:r>
    </w:p>
    <w:p w:rsidR="00AE554B" w:rsidRDefault="00AE554B" w:rsidP="00701DCF">
      <w:r>
        <w:t xml:space="preserve">The Distribution Asset Management Supervising Engineer group is responsible for Distribution Planning and </w:t>
      </w:r>
      <w:r>
        <w:rPr>
          <w:rFonts w:cs="Arial"/>
          <w:szCs w:val="24"/>
        </w:rPr>
        <w:t>consists of six engineers each assigned to a region.  The engineers develop projects including efforts to address load growth, load balancing, smart grid, voltage control, and circuit upgrades.  The projects handled in this group are generally the longer term projects that may take up to three years to complete.</w:t>
      </w:r>
    </w:p>
    <w:p w:rsidR="00AE554B" w:rsidRDefault="00AE554B" w:rsidP="00701DCF">
      <w:pPr>
        <w:rPr>
          <w:rFonts w:cs="Arial"/>
          <w:szCs w:val="24"/>
        </w:rPr>
      </w:pPr>
      <w:r>
        <w:rPr>
          <w:rFonts w:cs="Arial"/>
          <w:szCs w:val="24"/>
        </w:rPr>
        <w:t xml:space="preserve">The Work and Resource Planning group consists of analysts who are responsible for development of the annual Distribution Operations budget and spending projections to support the five year distribution business plan and working with the regions on developing the work plan.  The Distribution Operations and Transmission and Substations budgets and plans are based on the PPL EU five </w:t>
      </w:r>
      <w:proofErr w:type="gramStart"/>
      <w:r>
        <w:rPr>
          <w:rFonts w:cs="Arial"/>
          <w:szCs w:val="24"/>
        </w:rPr>
        <w:t>year</w:t>
      </w:r>
      <w:proofErr w:type="gramEnd"/>
      <w:r>
        <w:rPr>
          <w:rFonts w:cs="Arial"/>
          <w:szCs w:val="24"/>
        </w:rPr>
        <w:t xml:space="preserve"> Business Plan.  Work and Resource Planning also identifies contractor needs and opportunities to bundle similar jobs in an area into one contract. </w:t>
      </w:r>
      <w:r w:rsidRPr="00AE074A">
        <w:rPr>
          <w:rFonts w:cs="Arial"/>
          <w:szCs w:val="24"/>
        </w:rPr>
        <w:t xml:space="preserve"> </w:t>
      </w:r>
      <w:r>
        <w:rPr>
          <w:rFonts w:cs="Arial"/>
          <w:szCs w:val="24"/>
        </w:rPr>
        <w:t>Three Work and Resource Planning analysts each support a super region.  Two analysts in the Work and Resource Planning group support distribution metrics data gathering and monthly reporting.</w:t>
      </w:r>
    </w:p>
    <w:p w:rsidR="00AE554B" w:rsidRDefault="00AE554B" w:rsidP="00701DCF">
      <w:pPr>
        <w:rPr>
          <w:rFonts w:cs="Arial"/>
          <w:szCs w:val="24"/>
        </w:rPr>
      </w:pPr>
      <w:r>
        <w:rPr>
          <w:rFonts w:cs="Arial"/>
          <w:szCs w:val="24"/>
        </w:rPr>
        <w:t xml:space="preserve">The Project Controls Specialist provides independent project control functions for project managers and is accountable for developing project schedules and project cost tracking.  The financial analyst reviews and monitors non-direct charges and budgets for all of Distribution Operations and maintains all of the distribution related FERC accounts.  This individual also maintains all of the performance indicators and metrics </w:t>
      </w:r>
      <w:r>
        <w:rPr>
          <w:rFonts w:cs="Arial"/>
          <w:szCs w:val="24"/>
        </w:rPr>
        <w:lastRenderedPageBreak/>
        <w:t>used in Distribution Operations.  Safety data is provided by Safety for inclusion in the monitoring and reporting.</w:t>
      </w:r>
    </w:p>
    <w:p w:rsidR="00AE554B" w:rsidRDefault="00AE554B" w:rsidP="00701DCF">
      <w:pPr>
        <w:rPr>
          <w:rFonts w:cs="Arial"/>
          <w:szCs w:val="24"/>
        </w:rPr>
      </w:pPr>
      <w:r>
        <w:rPr>
          <w:rFonts w:cs="Arial"/>
          <w:szCs w:val="24"/>
        </w:rPr>
        <w:t xml:space="preserve">The Financial Analyst supports the development of the five </w:t>
      </w:r>
      <w:proofErr w:type="gramStart"/>
      <w:r>
        <w:rPr>
          <w:rFonts w:cs="Arial"/>
          <w:szCs w:val="24"/>
        </w:rPr>
        <w:t>year</w:t>
      </w:r>
      <w:proofErr w:type="gramEnd"/>
      <w:r>
        <w:rPr>
          <w:rFonts w:cs="Arial"/>
          <w:szCs w:val="24"/>
        </w:rPr>
        <w:t xml:space="preserve"> Distribution Improvement Plan which feeds into the annual budget process.  The plans </w:t>
      </w:r>
      <w:r w:rsidRPr="00807307">
        <w:rPr>
          <w:rFonts w:cs="Arial"/>
          <w:szCs w:val="24"/>
        </w:rPr>
        <w:t>are refined on a regular basis with several reviewed each month so that all programs</w:t>
      </w:r>
      <w:r>
        <w:rPr>
          <w:rFonts w:cs="Arial"/>
          <w:szCs w:val="24"/>
        </w:rPr>
        <w:t xml:space="preserve"> are reviewed each year for potential modifications.  Any resulting business plan updates are reviewed by the Distribution Asset Management (DAM) committee.</w:t>
      </w:r>
    </w:p>
    <w:p w:rsidR="00AE554B" w:rsidRDefault="00AE554B" w:rsidP="00701DCF">
      <w:pPr>
        <w:rPr>
          <w:highlight w:val="yellow"/>
        </w:rPr>
      </w:pPr>
      <w:proofErr w:type="gramStart"/>
      <w:r w:rsidRPr="00584294">
        <w:rPr>
          <w:b/>
        </w:rPr>
        <w:t>Distribution Engineering</w:t>
      </w:r>
      <w:r w:rsidR="00584294" w:rsidRPr="00584294">
        <w:rPr>
          <w:b/>
        </w:rPr>
        <w:t>.</w:t>
      </w:r>
      <w:proofErr w:type="gramEnd"/>
      <w:r w:rsidR="00584294">
        <w:t xml:space="preserve">  </w:t>
      </w:r>
      <w:r>
        <w:t>The following exhibit shows the organizational structure for the PPL EU Distribution Engineering organization.</w:t>
      </w:r>
      <w:r w:rsidRPr="00590A87">
        <w:rPr>
          <w:highlight w:val="yellow"/>
        </w:rPr>
        <w:t xml:space="preserve"> </w:t>
      </w:r>
    </w:p>
    <w:p w:rsidR="00AE554B" w:rsidRPr="00C00477" w:rsidRDefault="00AD2223" w:rsidP="00AD2223">
      <w:pPr>
        <w:pStyle w:val="Caption"/>
      </w:pPr>
      <w:bookmarkStart w:id="152" w:name="_Toc464552985"/>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18</w:t>
      </w:r>
      <w:r w:rsidR="00CB2B2A">
        <w:rPr>
          <w:noProof/>
        </w:rPr>
        <w:fldChar w:fldCharType="end"/>
      </w:r>
      <w:r w:rsidR="002F6183">
        <w:br/>
      </w:r>
      <w:r w:rsidR="00AE554B">
        <w:t>Distribution Engineering Organization Structure</w:t>
      </w:r>
      <w:bookmarkEnd w:id="152"/>
    </w:p>
    <w:p w:rsidR="00AE554B" w:rsidRDefault="00B3476F" w:rsidP="00701DCF">
      <w:r>
        <w:rPr>
          <w:noProof/>
        </w:rPr>
        <w:drawing>
          <wp:inline distT="0" distB="0" distL="0" distR="0">
            <wp:extent cx="5943600" cy="1401445"/>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PL-EU_07072_Dist-Eng_page1_v3.jpg"/>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401445"/>
                    </a:xfrm>
                    <a:prstGeom prst="rect">
                      <a:avLst/>
                    </a:prstGeom>
                  </pic:spPr>
                </pic:pic>
              </a:graphicData>
            </a:graphic>
          </wp:inline>
        </w:drawing>
      </w:r>
    </w:p>
    <w:p w:rsidR="00AE554B" w:rsidRDefault="00AE554B" w:rsidP="00701DCF">
      <w:pPr>
        <w:pStyle w:val="Normal-aftertable"/>
      </w:pPr>
      <w:r>
        <w:t>Source: DN 07-072</w:t>
      </w:r>
    </w:p>
    <w:p w:rsidR="00AE554B" w:rsidRDefault="00AE554B" w:rsidP="00701DCF">
      <w:pPr>
        <w:pStyle w:val="Normal-aftertable"/>
      </w:pPr>
      <w:r w:rsidRPr="00242D8A">
        <w:t>Distribution Engineering</w:t>
      </w:r>
      <w:r>
        <w:t xml:space="preserve"> is responsible for protection system design, settings, testing and maintenance for all Transmission and Distribution relaying.  The group consists of Distribution Design and Standards, Relay Test (South &amp; West and North &amp; East), and System Shops.</w:t>
      </w:r>
    </w:p>
    <w:p w:rsidR="00AE554B" w:rsidRDefault="00AE554B" w:rsidP="00701DCF">
      <w:pPr>
        <w:rPr>
          <w:rFonts w:cs="Arial"/>
          <w:szCs w:val="24"/>
        </w:rPr>
      </w:pPr>
      <w:r>
        <w:rPr>
          <w:rFonts w:cs="Arial"/>
          <w:szCs w:val="24"/>
        </w:rPr>
        <w:t xml:space="preserve">Standards guide the application of protective relaying on distribution substation transformers, busses, and distribution lines.  The Distribution Engineering </w:t>
      </w:r>
      <w:r w:rsidRPr="00A548DF">
        <w:rPr>
          <w:rFonts w:cs="Arial"/>
          <w:szCs w:val="24"/>
        </w:rPr>
        <w:t>Protection and Controls</w:t>
      </w:r>
      <w:r>
        <w:rPr>
          <w:rFonts w:cs="Arial"/>
          <w:szCs w:val="24"/>
        </w:rPr>
        <w:t xml:space="preserve"> team develops the settings and inputs them into a template.  The Distribution Automation team in Distribution Engineering then develops the configuration files for loading the settings into the equipment in the field and assists operations in commissioning the devices.</w:t>
      </w:r>
    </w:p>
    <w:p w:rsidR="00AE554B" w:rsidRDefault="00AE554B" w:rsidP="00701DCF">
      <w:pPr>
        <w:rPr>
          <w:rFonts w:cs="Arial"/>
          <w:szCs w:val="24"/>
        </w:rPr>
      </w:pPr>
      <w:r>
        <w:rPr>
          <w:rFonts w:cs="Arial"/>
          <w:szCs w:val="24"/>
        </w:rPr>
        <w:t>Distribution Design and Standards</w:t>
      </w:r>
      <w:r w:rsidRPr="00440B39">
        <w:t xml:space="preserve"> </w:t>
      </w:r>
      <w:r>
        <w:rPr>
          <w:rFonts w:cs="Arial"/>
          <w:szCs w:val="24"/>
        </w:rPr>
        <w:t>consists of Distribution Standards, Distribution Protection and Control, Distribution Design, and Distribution Automation.</w:t>
      </w:r>
    </w:p>
    <w:p w:rsidR="00AE554B" w:rsidRDefault="00AE554B" w:rsidP="00701DCF">
      <w:pPr>
        <w:rPr>
          <w:rFonts w:cs="Arial"/>
          <w:szCs w:val="24"/>
        </w:rPr>
      </w:pPr>
      <w:r>
        <w:rPr>
          <w:rFonts w:cs="Arial"/>
          <w:szCs w:val="24"/>
        </w:rPr>
        <w:t>The Distribution Design and Standards group is responsible for all distribution materials specifications and construction standards encompassing overhead, u</w:t>
      </w:r>
      <w:r w:rsidR="00F94DB8">
        <w:rPr>
          <w:rFonts w:cs="Arial"/>
          <w:szCs w:val="24"/>
        </w:rPr>
        <w:t>nderground,</w:t>
      </w:r>
      <w:r>
        <w:rPr>
          <w:rFonts w:cs="Arial"/>
          <w:szCs w:val="24"/>
        </w:rPr>
        <w:t xml:space="preserve"> low tension networks, street lighting, and distribution automation.  The group works closely with the Methods group in Technical Development and Improvement at the Walbert facility to mock up and review construction standards and techniques.  The mock-up reviews include representatives from the field work force.  The group also works closely with Supply Chain on material specifications.  Forensic investigations are conducted on equipment failures and Distribution Asset Management is informed if the need for a replacement program or advanced monitoring is determined to be necessary.  Changes to standards are communicated via email to affected groups.  All standards, </w:t>
      </w:r>
      <w:r>
        <w:rPr>
          <w:rFonts w:cs="Arial"/>
          <w:szCs w:val="24"/>
        </w:rPr>
        <w:lastRenderedPageBreak/>
        <w:t>specifications, and reports are maintained on a SharePoint site accessible to the organization.</w:t>
      </w:r>
    </w:p>
    <w:p w:rsidR="00AE554B" w:rsidRDefault="00AE554B" w:rsidP="00701DCF">
      <w:pPr>
        <w:rPr>
          <w:rFonts w:cs="Arial"/>
          <w:szCs w:val="24"/>
        </w:rPr>
      </w:pPr>
      <w:r>
        <w:rPr>
          <w:rFonts w:cs="Arial"/>
          <w:szCs w:val="24"/>
        </w:rPr>
        <w:t>Distribution Engineering Instructions and Construction Standards were updated in mid-2014 to improve the overhead system’s resiliency to severe weather events.  Minimum pole strength was increased to Class 3, with Class 2 poles for those circuits identified for hardened construction.  Additional pole hardware changes were also implemented with the goal of no structural damage from smaller tree limbs falling on the line and allowing for the line to break free from the structure on large tree impacts.</w:t>
      </w:r>
    </w:p>
    <w:p w:rsidR="00AE554B" w:rsidRDefault="00AE554B" w:rsidP="00701DCF">
      <w:pPr>
        <w:rPr>
          <w:rFonts w:cs="Arial"/>
          <w:szCs w:val="24"/>
        </w:rPr>
      </w:pPr>
      <w:r w:rsidRPr="0058641F">
        <w:rPr>
          <w:rFonts w:cs="Arial"/>
          <w:szCs w:val="24"/>
        </w:rPr>
        <w:t xml:space="preserve">One Distribution </w:t>
      </w:r>
      <w:r>
        <w:rPr>
          <w:rFonts w:cs="Arial"/>
          <w:szCs w:val="24"/>
        </w:rPr>
        <w:t xml:space="preserve">Design and </w:t>
      </w:r>
      <w:r w:rsidRPr="0058641F">
        <w:rPr>
          <w:rFonts w:cs="Arial"/>
          <w:szCs w:val="24"/>
        </w:rPr>
        <w:t>Standards</w:t>
      </w:r>
      <w:r w:rsidRPr="00A548DF">
        <w:rPr>
          <w:rFonts w:cs="Arial"/>
          <w:szCs w:val="24"/>
        </w:rPr>
        <w:t xml:space="preserve"> </w:t>
      </w:r>
      <w:r>
        <w:rPr>
          <w:rFonts w:cs="Arial"/>
          <w:szCs w:val="24"/>
        </w:rPr>
        <w:t xml:space="preserve">engineer is assigned to each standards category.  The group consists of four engineers and five off-site contractors.  Contractors were supporting a comprehensive review and update of existing standards which was completed in 2015.  </w:t>
      </w:r>
      <w:proofErr w:type="gramStart"/>
      <w:r w:rsidRPr="00A548DF">
        <w:rPr>
          <w:rFonts w:cs="Arial"/>
          <w:szCs w:val="24"/>
        </w:rPr>
        <w:t xml:space="preserve">Distribution </w:t>
      </w:r>
      <w:r>
        <w:rPr>
          <w:rFonts w:cs="Arial"/>
          <w:szCs w:val="24"/>
        </w:rPr>
        <w:t xml:space="preserve">Design and </w:t>
      </w:r>
      <w:r w:rsidRPr="00A548DF">
        <w:rPr>
          <w:rFonts w:cs="Arial"/>
          <w:szCs w:val="24"/>
        </w:rPr>
        <w:t>Standards</w:t>
      </w:r>
      <w:r>
        <w:rPr>
          <w:rFonts w:cs="Arial"/>
          <w:szCs w:val="24"/>
        </w:rPr>
        <w:t xml:space="preserve"> plans to initiate a two year review cycle for all standards.</w:t>
      </w:r>
      <w:proofErr w:type="gramEnd"/>
      <w:r>
        <w:rPr>
          <w:rFonts w:cs="Arial"/>
          <w:szCs w:val="24"/>
        </w:rPr>
        <w:t xml:space="preserve">  Contractors may also be used when a set of new standards are needed such as for the new LED lighting program and communications installations for the advanced metering infrastructure project. </w:t>
      </w:r>
    </w:p>
    <w:p w:rsidR="00AE554B" w:rsidRPr="006D1B9D" w:rsidRDefault="00AE554B" w:rsidP="00701DCF">
      <w:pPr>
        <w:rPr>
          <w:rFonts w:cs="Arial"/>
          <w:szCs w:val="24"/>
        </w:rPr>
      </w:pPr>
      <w:r>
        <w:rPr>
          <w:rFonts w:cs="Arial"/>
          <w:szCs w:val="24"/>
        </w:rPr>
        <w:t>Distribution Design and Standards is reviewing stock items for potential removal by using materials that can support multiple wire sizes, reducing the number of transformer sizes used in the system, and similar opportunities.</w:t>
      </w:r>
    </w:p>
    <w:p w:rsidR="00AE554B" w:rsidRPr="006D1B9D" w:rsidRDefault="00AE554B" w:rsidP="00701DCF">
      <w:pPr>
        <w:rPr>
          <w:rFonts w:cs="Arial"/>
          <w:szCs w:val="24"/>
        </w:rPr>
      </w:pPr>
      <w:r>
        <w:rPr>
          <w:rFonts w:cs="Arial"/>
          <w:szCs w:val="24"/>
        </w:rPr>
        <w:t>Distribution Design and Standards supports Distribution Asset Management in the development of project estimates and supplying current equipment costs for the prioritization and budgeting process.  Compatible units are maintained in the asset management application for use in cost estimating.  Contractor rates are assumed for the projected construction labor costs.  Distribution design time estimates are based on historical experience.</w:t>
      </w:r>
    </w:p>
    <w:p w:rsidR="00AE554B" w:rsidRDefault="00AE554B" w:rsidP="00701DCF">
      <w:pPr>
        <w:rPr>
          <w:rFonts w:cs="Arial"/>
          <w:szCs w:val="24"/>
        </w:rPr>
      </w:pPr>
      <w:r w:rsidRPr="009D2842">
        <w:rPr>
          <w:rFonts w:cs="Arial"/>
          <w:szCs w:val="24"/>
        </w:rPr>
        <w:t>If a material specification or compatible unit change is planned, the transition</w:t>
      </w:r>
      <w:r>
        <w:rPr>
          <w:rFonts w:cs="Arial"/>
          <w:szCs w:val="24"/>
        </w:rPr>
        <w:t xml:space="preserve"> is coordinated with Supply Chain to make decisions on using existing stock to zero, returning stock to the vendor, or selling or scraping </w:t>
      </w:r>
      <w:proofErr w:type="spellStart"/>
      <w:r>
        <w:rPr>
          <w:rFonts w:cs="Arial"/>
          <w:szCs w:val="24"/>
        </w:rPr>
        <w:t>obsoleted</w:t>
      </w:r>
      <w:proofErr w:type="spellEnd"/>
      <w:r>
        <w:rPr>
          <w:rFonts w:cs="Arial"/>
          <w:szCs w:val="24"/>
        </w:rPr>
        <w:t xml:space="preserve"> items.  Distribution Design and Standards will also initiate updates to material needs for released jobs, if necessary.  Changes are communicated to affected groups by email with a link to the new documents.</w:t>
      </w:r>
    </w:p>
    <w:p w:rsidR="00AE554B" w:rsidRDefault="00AE554B" w:rsidP="00701DCF">
      <w:pPr>
        <w:rPr>
          <w:rFonts w:cs="Arial"/>
          <w:szCs w:val="24"/>
        </w:rPr>
      </w:pPr>
      <w:r w:rsidRPr="00242D8A">
        <w:rPr>
          <w:rFonts w:cs="Arial"/>
          <w:szCs w:val="24"/>
        </w:rPr>
        <w:t xml:space="preserve">Distribution </w:t>
      </w:r>
      <w:r>
        <w:rPr>
          <w:rFonts w:cs="Arial"/>
          <w:szCs w:val="24"/>
        </w:rPr>
        <w:t>Design and Standards also designs large distribution line projects as well as on the six secondary network systems.  Projects include PennDOT pole relocations, large distribution line projects, and underground network projects.  Planned distribution design work is initiated by Distribution Asset Management or PennDOT.  The engineers also will assist the regions with design work when they are overloaded.  The annual Asset Management Plan and Purpose and Necessity forms for each project are used to forecast design workload for the next year.  Distribution Design and Standards have been reviewing the project scope and preparing project estimates, however, this estimating process is being improved by moving more employee engagement upfront into the scope development process in order to minimize inefficient project changes.  Distribution Asset Management will work directly with construction and operations to finalize scope before forwarding the purpose and necessity statements.</w:t>
      </w:r>
    </w:p>
    <w:p w:rsidR="00AE554B" w:rsidRDefault="00AE554B" w:rsidP="00701DCF">
      <w:pPr>
        <w:rPr>
          <w:rFonts w:cs="Arial"/>
          <w:szCs w:val="24"/>
        </w:rPr>
      </w:pPr>
      <w:r>
        <w:rPr>
          <w:rFonts w:cs="Arial"/>
          <w:szCs w:val="24"/>
        </w:rPr>
        <w:lastRenderedPageBreak/>
        <w:t xml:space="preserve">A computer aided design and drafting application is used for developing the designs for construction.  The job packages include a work order summary, a construction order detailing the activities and specifications for each work location, utility locate requests, materials list, construction drawings, and a project cost estimate.  </w:t>
      </w:r>
      <w:r w:rsidRPr="008D31D2">
        <w:rPr>
          <w:rFonts w:cs="Arial"/>
          <w:szCs w:val="24"/>
        </w:rPr>
        <w:t>Construction and design drawings are</w:t>
      </w:r>
      <w:r>
        <w:rPr>
          <w:rFonts w:cs="Arial"/>
          <w:szCs w:val="24"/>
        </w:rPr>
        <w:t xml:space="preserve"> printed out for construction purposes but</w:t>
      </w:r>
      <w:r w:rsidRPr="008D31D2">
        <w:rPr>
          <w:rFonts w:cs="Arial"/>
          <w:szCs w:val="24"/>
        </w:rPr>
        <w:t xml:space="preserve"> maintained in the Fusion document management system.</w:t>
      </w:r>
      <w:r>
        <w:rPr>
          <w:rFonts w:cs="Arial"/>
          <w:szCs w:val="24"/>
        </w:rPr>
        <w:t xml:space="preserve">  Distribution Design and Standards is currently exploring options to automate the distribution of job packages.</w:t>
      </w:r>
    </w:p>
    <w:p w:rsidR="00AE554B" w:rsidRPr="00492242" w:rsidRDefault="00AE554B" w:rsidP="00701DCF">
      <w:pPr>
        <w:rPr>
          <w:rFonts w:cs="Arial"/>
          <w:szCs w:val="24"/>
        </w:rPr>
      </w:pPr>
      <w:r>
        <w:rPr>
          <w:rFonts w:cs="Arial"/>
          <w:szCs w:val="24"/>
        </w:rPr>
        <w:t>The technicians in Distribution Design and Standards are responsible for customer related work such as new service installations and service upgrades due to increased load.  The goal for new customer connections is to complete them within seven days.  The group meets weekly with the crew foremen to review the current week and next week work and also review a five week look ahead of upcoming work.  Over the past several years the five week schedule has become very stable.  The crew foremen visit the job sites the week prior to construction to make sure there are no issues preventing construction.</w:t>
      </w:r>
      <w:r w:rsidRPr="007365B9">
        <w:rPr>
          <w:rFonts w:cs="Arial"/>
          <w:szCs w:val="24"/>
        </w:rPr>
        <w:t xml:space="preserve"> </w:t>
      </w:r>
      <w:r>
        <w:rPr>
          <w:rFonts w:cs="Arial"/>
          <w:szCs w:val="24"/>
        </w:rPr>
        <w:t xml:space="preserve"> The designers will attend pre-job tailboard meetings on a weekly basis to confirm the design and constructability and answer any questions from the crew.  Some engineering contractors are currently supplementing the design staff due to workload.</w:t>
      </w:r>
    </w:p>
    <w:p w:rsidR="00AE554B" w:rsidRDefault="00AE554B" w:rsidP="00701DCF">
      <w:pPr>
        <w:rPr>
          <w:rFonts w:cs="Arial"/>
          <w:szCs w:val="24"/>
        </w:rPr>
      </w:pPr>
      <w:r>
        <w:rPr>
          <w:rFonts w:cs="Arial"/>
          <w:szCs w:val="24"/>
        </w:rPr>
        <w:t>Distribution Design and Standards also coordinates research and development (R&amp;D) activities with the Electric Power Research Institute (EPRI) with both Distribution Operations and Transmission and Substations on smart grid research and new technologies that PPL EU is considering for deployment.  A team of internal advisors, including representatives from engineering, operations, and construction, is used to review technologies and programs under consideration.  Recommendations on equipment or technologies for reliability improvements are then provided to Distribution Asset Management for incorporation into existing or new reliability improvement and maintenance programs.</w:t>
      </w:r>
    </w:p>
    <w:p w:rsidR="00AE554B" w:rsidRDefault="00AE554B" w:rsidP="00701DCF">
      <w:pPr>
        <w:rPr>
          <w:rFonts w:cs="Arial"/>
          <w:szCs w:val="24"/>
        </w:rPr>
      </w:pPr>
      <w:r>
        <w:rPr>
          <w:rFonts w:cs="Arial"/>
          <w:szCs w:val="24"/>
        </w:rPr>
        <w:t>The two Relay Test groups are split geographically into a south and west region and a north and east region.  Each group includes engineers and testers.</w:t>
      </w:r>
    </w:p>
    <w:p w:rsidR="00AE554B" w:rsidRDefault="00AE554B" w:rsidP="00701DCF">
      <w:pPr>
        <w:rPr>
          <w:rFonts w:cs="Arial"/>
          <w:szCs w:val="24"/>
        </w:rPr>
      </w:pPr>
      <w:r>
        <w:rPr>
          <w:rFonts w:cs="Arial"/>
          <w:szCs w:val="24"/>
        </w:rPr>
        <w:t xml:space="preserve">The asset management application is used for generating the relay testing and maintenance work orders.  For the past several years, two contractors have been performing new substation construction, installation, testing, and commissioning of the protection systems.  The Relay Test groups provide oversight on the protection system installation work.  Approximately one half of the relays in service are microprocessor based and one half </w:t>
      </w:r>
      <w:proofErr w:type="gramStart"/>
      <w:r>
        <w:rPr>
          <w:rFonts w:cs="Arial"/>
          <w:szCs w:val="24"/>
        </w:rPr>
        <w:t>are</w:t>
      </w:r>
      <w:proofErr w:type="gramEnd"/>
      <w:r>
        <w:rPr>
          <w:rFonts w:cs="Arial"/>
          <w:szCs w:val="24"/>
        </w:rPr>
        <w:t xml:space="preserve"> electro-mechanical.  Transmission relays are on a four year testing cycle while distribution is on an eight year cycle.  These cycles are likely to be extended as the older electro-mechanical relays are phased out.</w:t>
      </w:r>
    </w:p>
    <w:p w:rsidR="00AE554B" w:rsidRPr="00492242" w:rsidRDefault="00AE554B" w:rsidP="00701DCF">
      <w:pPr>
        <w:rPr>
          <w:rFonts w:cs="Arial"/>
          <w:szCs w:val="24"/>
        </w:rPr>
      </w:pPr>
      <w:r>
        <w:rPr>
          <w:rFonts w:cs="Arial"/>
          <w:szCs w:val="24"/>
        </w:rPr>
        <w:t>Relay testing record storage is being converted to the PowerBase protection system testing and maintenance database from the current paper and index card records.  PowerBase is being loaded with settings files and will be used for test record storage going forward.  Historical test records will not be migrated into the new system.  All setting files should be entered by the end of 2015 and the system will be used for maintaining testing records.</w:t>
      </w:r>
    </w:p>
    <w:p w:rsidR="00AE554B" w:rsidRDefault="00AE554B" w:rsidP="00701DCF">
      <w:pPr>
        <w:rPr>
          <w:rFonts w:cs="Arial"/>
          <w:szCs w:val="24"/>
        </w:rPr>
      </w:pPr>
      <w:r>
        <w:rPr>
          <w:rFonts w:cs="Arial"/>
          <w:szCs w:val="24"/>
        </w:rPr>
        <w:t xml:space="preserve">The System Shops group is responsible for transformer servicing and minor repairs.  Eleven insulation testers perform insulation testing, Doble testing, and underground </w:t>
      </w:r>
      <w:r>
        <w:rPr>
          <w:rFonts w:cs="Arial"/>
          <w:szCs w:val="24"/>
        </w:rPr>
        <w:lastRenderedPageBreak/>
        <w:t>cable insulation testing.  The testers will also perform underground fault locating as necessary.  The transformer services group performs oil filling for the substation transformers.  Rubber good testing is also performed.</w:t>
      </w:r>
    </w:p>
    <w:p w:rsidR="00AE554B" w:rsidRPr="00C507FA" w:rsidRDefault="00AE554B" w:rsidP="00701DCF">
      <w:pPr>
        <w:rPr>
          <w:rFonts w:cs="Arial"/>
          <w:szCs w:val="24"/>
        </w:rPr>
      </w:pPr>
      <w:r w:rsidRPr="008D31D2">
        <w:rPr>
          <w:rFonts w:cs="Arial"/>
          <w:szCs w:val="24"/>
        </w:rPr>
        <w:t xml:space="preserve">All Distribution Engineering staff is located in Allentown except for the </w:t>
      </w:r>
      <w:r>
        <w:rPr>
          <w:rFonts w:cs="Arial"/>
          <w:szCs w:val="24"/>
        </w:rPr>
        <w:t>low tension network (</w:t>
      </w:r>
      <w:r w:rsidRPr="008D31D2">
        <w:rPr>
          <w:rFonts w:cs="Arial"/>
          <w:szCs w:val="24"/>
        </w:rPr>
        <w:t>LTN</w:t>
      </w:r>
      <w:r>
        <w:rPr>
          <w:rFonts w:cs="Arial"/>
          <w:szCs w:val="24"/>
        </w:rPr>
        <w:t>)</w:t>
      </w:r>
      <w:r w:rsidRPr="008D31D2">
        <w:rPr>
          <w:rFonts w:cs="Arial"/>
          <w:szCs w:val="24"/>
        </w:rPr>
        <w:t xml:space="preserve"> engineers and the </w:t>
      </w:r>
      <w:r>
        <w:rPr>
          <w:rFonts w:cs="Arial"/>
          <w:szCs w:val="24"/>
        </w:rPr>
        <w:t xml:space="preserve">Distribution </w:t>
      </w:r>
      <w:r w:rsidRPr="008D31D2">
        <w:rPr>
          <w:rFonts w:cs="Arial"/>
          <w:szCs w:val="24"/>
        </w:rPr>
        <w:t>Automation group.  The LTN engineers are located in the service centers with network</w:t>
      </w:r>
      <w:r>
        <w:rPr>
          <w:rFonts w:cs="Arial"/>
          <w:szCs w:val="24"/>
        </w:rPr>
        <w:t xml:space="preserve"> responsibility</w:t>
      </w:r>
      <w:r w:rsidRPr="008D31D2">
        <w:rPr>
          <w:rFonts w:cs="Arial"/>
          <w:szCs w:val="24"/>
        </w:rPr>
        <w:t xml:space="preserve">.  </w:t>
      </w:r>
      <w:r>
        <w:rPr>
          <w:rFonts w:cs="Arial"/>
          <w:szCs w:val="24"/>
        </w:rPr>
        <w:t xml:space="preserve">LTN systems are located in Harrisburg, Allentown, Lancaster, </w:t>
      </w:r>
      <w:r>
        <w:t>Wilkes-Barre</w:t>
      </w:r>
      <w:r>
        <w:rPr>
          <w:rFonts w:cs="Arial"/>
          <w:szCs w:val="24"/>
        </w:rPr>
        <w:t xml:space="preserve">, Scranton, and Williamsport.  </w:t>
      </w:r>
      <w:r w:rsidRPr="008D31D2">
        <w:rPr>
          <w:rFonts w:cs="Arial"/>
          <w:szCs w:val="24"/>
        </w:rPr>
        <w:t xml:space="preserve">The Distribution Automation group is located </w:t>
      </w:r>
      <w:r>
        <w:rPr>
          <w:rFonts w:cs="Arial"/>
          <w:szCs w:val="24"/>
        </w:rPr>
        <w:t>at the Control Center</w:t>
      </w:r>
      <w:r w:rsidRPr="008D31D2">
        <w:rPr>
          <w:rFonts w:cs="Arial"/>
          <w:szCs w:val="24"/>
        </w:rPr>
        <w:t xml:space="preserve"> with Distribution Operations.</w:t>
      </w:r>
    </w:p>
    <w:p w:rsidR="00AE554B" w:rsidRDefault="00AE554B" w:rsidP="00584294">
      <w:pPr>
        <w:rPr>
          <w:highlight w:val="yellow"/>
        </w:rPr>
      </w:pPr>
      <w:proofErr w:type="gramStart"/>
      <w:r w:rsidRPr="00584294">
        <w:rPr>
          <w:b/>
        </w:rPr>
        <w:t>Project Management</w:t>
      </w:r>
      <w:r w:rsidR="00584294" w:rsidRPr="00584294">
        <w:rPr>
          <w:b/>
        </w:rPr>
        <w:t>.</w:t>
      </w:r>
      <w:proofErr w:type="gramEnd"/>
      <w:r w:rsidR="00584294">
        <w:t xml:space="preserve">  </w:t>
      </w:r>
      <w:r>
        <w:t>The following exhibit shows the organizational structure for the PPL EU Distribution Project &amp; Construction Management organization.</w:t>
      </w:r>
      <w:r w:rsidRPr="00590A87">
        <w:rPr>
          <w:highlight w:val="yellow"/>
        </w:rPr>
        <w:t xml:space="preserve"> </w:t>
      </w:r>
    </w:p>
    <w:p w:rsidR="00AE554B" w:rsidRPr="00C00477" w:rsidRDefault="00AD2223" w:rsidP="00AD2223">
      <w:pPr>
        <w:pStyle w:val="Caption"/>
      </w:pPr>
      <w:bookmarkStart w:id="153" w:name="_Toc464552986"/>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19</w:t>
      </w:r>
      <w:r w:rsidR="00CB2B2A">
        <w:rPr>
          <w:noProof/>
        </w:rPr>
        <w:fldChar w:fldCharType="end"/>
      </w:r>
      <w:r w:rsidR="002F6183">
        <w:br/>
      </w:r>
      <w:r w:rsidR="00AE554B">
        <w:t>Project &amp; Construction Management Organization Structure</w:t>
      </w:r>
      <w:bookmarkEnd w:id="153"/>
    </w:p>
    <w:p w:rsidR="00AE554B" w:rsidRDefault="00B3476F" w:rsidP="00701DCF">
      <w:r>
        <w:rPr>
          <w:noProof/>
        </w:rPr>
        <w:drawing>
          <wp:inline distT="0" distB="0" distL="0" distR="0">
            <wp:extent cx="5943600" cy="1975485"/>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PL-EU_Proj&amp;Const-Mgmt_01071_page59_v2.jpg"/>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975485"/>
                    </a:xfrm>
                    <a:prstGeom prst="rect">
                      <a:avLst/>
                    </a:prstGeom>
                  </pic:spPr>
                </pic:pic>
              </a:graphicData>
            </a:graphic>
          </wp:inline>
        </w:drawing>
      </w:r>
    </w:p>
    <w:p w:rsidR="00AE554B" w:rsidRDefault="00AE554B" w:rsidP="00701DCF">
      <w:pPr>
        <w:pStyle w:val="Normal-aftertable"/>
      </w:pPr>
      <w:r>
        <w:t>Source: DN 01-071</w:t>
      </w:r>
    </w:p>
    <w:p w:rsidR="00AE554B" w:rsidRDefault="00AE554B" w:rsidP="00701DCF">
      <w:pPr>
        <w:pStyle w:val="Normal-aftertable"/>
        <w:rPr>
          <w:rFonts w:cs="Arial"/>
          <w:szCs w:val="24"/>
        </w:rPr>
      </w:pPr>
      <w:r>
        <w:t xml:space="preserve">Project &amp; Construction Management consists of </w:t>
      </w:r>
      <w:r>
        <w:rPr>
          <w:rFonts w:cs="Arial"/>
          <w:szCs w:val="24"/>
        </w:rPr>
        <w:t>Project Managers, Field Construction, Attachments and Telecom Business, and Underground Facilities and Damage Prevention.</w:t>
      </w:r>
    </w:p>
    <w:p w:rsidR="00AE554B" w:rsidRDefault="00AE554B" w:rsidP="00701DCF">
      <w:r>
        <w:t>The Project &amp; Construction Management Project Managers provide management oversight for most distribution construction projects including distribution substations, overhead and underground lines and networks.  These are the larger jobs that are often contracted.  Smaller jobs and maintenance activities are performed by PPL line crews and are managed by the region schedulers located in the service centers.</w:t>
      </w:r>
    </w:p>
    <w:p w:rsidR="00AE554B" w:rsidRPr="00BF5A05" w:rsidRDefault="00AE554B" w:rsidP="00701DCF">
      <w:pPr>
        <w:rPr>
          <w:rFonts w:cs="Arial"/>
          <w:szCs w:val="24"/>
        </w:rPr>
      </w:pPr>
      <w:r w:rsidRPr="00BF5A05">
        <w:rPr>
          <w:rFonts w:cs="Arial"/>
          <w:szCs w:val="24"/>
        </w:rPr>
        <w:t>There are five PPL EU Project Managers and five contract Project Managers that manage most distribution construction projects including distribution substations, overhead and underground lines, and networks.  The Project Managers are responsible for oversight of project budget, spend, scope, and initiating contracts as part of the DOM process.  The group also co-manages the smart grid project work with the regions.  The Project Managers coordinate with the regional work managers to make sure the right mix of projects are in the work queue for the regions and also set up contractors, when needed, for the jobs using unit prices, lump sum, or time and equipment contracts.  Overall there are approximately 700 active jobs in the project management process.</w:t>
      </w:r>
    </w:p>
    <w:p w:rsidR="00AE554B" w:rsidRDefault="00AE554B" w:rsidP="00701DCF">
      <w:pPr>
        <w:rPr>
          <w:rFonts w:cs="Arial"/>
          <w:szCs w:val="24"/>
        </w:rPr>
      </w:pPr>
      <w:r>
        <w:rPr>
          <w:rFonts w:cs="Arial"/>
          <w:szCs w:val="24"/>
        </w:rPr>
        <w:lastRenderedPageBreak/>
        <w:t xml:space="preserve">The </w:t>
      </w:r>
      <w:r>
        <w:t xml:space="preserve">Project &amp; Construction Management </w:t>
      </w:r>
      <w:r>
        <w:rPr>
          <w:rFonts w:cs="Arial"/>
          <w:szCs w:val="24"/>
        </w:rPr>
        <w:t>Field Construction group staff consists of ten Construction Supervisors and two contract employee Construction Supervisors.  The construction supervisors are split between overhead, underground, and substation projects in specific regions.  The staff is responsible for managing substation projects and regional line jobs that are performed by contractors.</w:t>
      </w:r>
    </w:p>
    <w:p w:rsidR="00AE554B" w:rsidRDefault="00AE554B" w:rsidP="00701DCF">
      <w:pPr>
        <w:rPr>
          <w:rFonts w:cs="Arial"/>
          <w:szCs w:val="24"/>
        </w:rPr>
      </w:pPr>
      <w:r>
        <w:rPr>
          <w:rFonts w:cs="Arial"/>
          <w:szCs w:val="24"/>
        </w:rPr>
        <w:t xml:space="preserve">The Attachments and Telecom Business Project Manager </w:t>
      </w:r>
      <w:proofErr w:type="gramStart"/>
      <w:r>
        <w:rPr>
          <w:rFonts w:cs="Arial"/>
          <w:szCs w:val="24"/>
        </w:rPr>
        <w:t>group</w:t>
      </w:r>
      <w:proofErr w:type="gramEnd"/>
      <w:r>
        <w:rPr>
          <w:rFonts w:cs="Arial"/>
          <w:szCs w:val="24"/>
        </w:rPr>
        <w:t xml:space="preserve"> manages pole relocations for PennDOT work.  Approximately 500 bridges are under repair or rebuild in the state.  Approximately 100 projects are under management at one time.  There are a lot of schedule changes with these projects and a governmental billing process to follow for reimbursement.  The jobs typically are identified about six months before construction starts and are primarily smaller jobs.  The PennDOT work is forwarded to Distribution Engineering for the larger jobs or directly to the regions for smaller jobs.</w:t>
      </w:r>
    </w:p>
    <w:p w:rsidR="00AE554B" w:rsidRDefault="00AE554B" w:rsidP="00701DCF">
      <w:pPr>
        <w:rPr>
          <w:rFonts w:cs="Arial"/>
          <w:szCs w:val="24"/>
        </w:rPr>
      </w:pPr>
      <w:r>
        <w:rPr>
          <w:rFonts w:cs="Arial"/>
          <w:szCs w:val="24"/>
        </w:rPr>
        <w:t>The Attachments and Telecom Business</w:t>
      </w:r>
      <w:r w:rsidRPr="00331B71">
        <w:rPr>
          <w:rFonts w:cs="Arial"/>
          <w:szCs w:val="24"/>
        </w:rPr>
        <w:t xml:space="preserve"> </w:t>
      </w:r>
      <w:r>
        <w:rPr>
          <w:rFonts w:cs="Arial"/>
          <w:szCs w:val="24"/>
        </w:rPr>
        <w:t xml:space="preserve">Project Manager </w:t>
      </w:r>
      <w:proofErr w:type="gramStart"/>
      <w:r>
        <w:rPr>
          <w:rFonts w:cs="Arial"/>
          <w:szCs w:val="24"/>
        </w:rPr>
        <w:t>group</w:t>
      </w:r>
      <w:proofErr w:type="gramEnd"/>
      <w:r>
        <w:rPr>
          <w:rFonts w:cs="Arial"/>
          <w:szCs w:val="24"/>
        </w:rPr>
        <w:t xml:space="preserve"> also manages all pole </w:t>
      </w:r>
      <w:r w:rsidRPr="00F82924">
        <w:rPr>
          <w:rFonts w:cs="Arial"/>
          <w:szCs w:val="24"/>
        </w:rPr>
        <w:t xml:space="preserve">attachments using the </w:t>
      </w:r>
      <w:r w:rsidRPr="00F82924">
        <w:rPr>
          <w:rFonts w:cs="Arial"/>
          <w:szCs w:val="24"/>
          <w:shd w:val="clear" w:color="auto" w:fill="FFFFFF"/>
        </w:rPr>
        <w:t>National Joint Utilities Notification System</w:t>
      </w:r>
      <w:r w:rsidRPr="00F82924">
        <w:rPr>
          <w:rFonts w:cs="Arial"/>
          <w:szCs w:val="24"/>
        </w:rPr>
        <w:t xml:space="preserve"> (NJUNS) </w:t>
      </w:r>
      <w:r>
        <w:rPr>
          <w:rFonts w:cs="Arial"/>
          <w:szCs w:val="24"/>
        </w:rPr>
        <w:t xml:space="preserve">on-line </w:t>
      </w:r>
      <w:r w:rsidRPr="00F82924">
        <w:rPr>
          <w:rFonts w:cs="Arial"/>
          <w:szCs w:val="24"/>
        </w:rPr>
        <w:t>database.</w:t>
      </w:r>
      <w:r>
        <w:rPr>
          <w:rFonts w:cs="Arial"/>
          <w:szCs w:val="24"/>
        </w:rPr>
        <w:t xml:space="preserve"> </w:t>
      </w:r>
      <w:r w:rsidRPr="00AC2472">
        <w:rPr>
          <w:rFonts w:cs="Arial"/>
          <w:szCs w:val="24"/>
        </w:rPr>
        <w:t xml:space="preserve"> </w:t>
      </w:r>
      <w:r>
        <w:rPr>
          <w:rFonts w:cs="Arial"/>
          <w:szCs w:val="24"/>
        </w:rPr>
        <w:t>T</w:t>
      </w:r>
      <w:r w:rsidRPr="00F82924">
        <w:rPr>
          <w:rFonts w:cs="Arial"/>
          <w:szCs w:val="24"/>
        </w:rPr>
        <w:t xml:space="preserve">he </w:t>
      </w:r>
      <w:r w:rsidRPr="00F82924">
        <w:rPr>
          <w:rFonts w:cs="Arial"/>
          <w:szCs w:val="24"/>
          <w:shd w:val="clear" w:color="auto" w:fill="FFFFFF"/>
        </w:rPr>
        <w:t>National Joint Utilities Notification System</w:t>
      </w:r>
      <w:r w:rsidRPr="00F82924">
        <w:rPr>
          <w:rFonts w:cs="Arial"/>
          <w:szCs w:val="24"/>
        </w:rPr>
        <w:t xml:space="preserve"> (NJUNS) </w:t>
      </w:r>
      <w:r>
        <w:rPr>
          <w:rFonts w:cs="Arial"/>
          <w:szCs w:val="24"/>
        </w:rPr>
        <w:t xml:space="preserve">on-line </w:t>
      </w:r>
      <w:r w:rsidRPr="00F82924">
        <w:rPr>
          <w:rFonts w:cs="Arial"/>
          <w:szCs w:val="24"/>
        </w:rPr>
        <w:t>database</w:t>
      </w:r>
      <w:r w:rsidRPr="00AD682F">
        <w:rPr>
          <w:rFonts w:cs="Arial"/>
          <w:szCs w:val="24"/>
        </w:rPr>
        <w:t xml:space="preserve"> </w:t>
      </w:r>
      <w:r>
        <w:rPr>
          <w:rFonts w:cs="Arial"/>
          <w:szCs w:val="24"/>
        </w:rPr>
        <w:t xml:space="preserve">is used to manage all pole </w:t>
      </w:r>
      <w:r w:rsidRPr="00F82924">
        <w:rPr>
          <w:rFonts w:cs="Arial"/>
          <w:szCs w:val="24"/>
        </w:rPr>
        <w:t>attachments.</w:t>
      </w:r>
      <w:r>
        <w:rPr>
          <w:rFonts w:cs="Arial"/>
          <w:szCs w:val="24"/>
        </w:rPr>
        <w:t xml:space="preserve">  The system handles attachment approvals, permits, billing, and attachment tracking including requests for attachment of banners to streetlight poles.  PPL EU generally owns all of the poles that its facilities are attached to and use the NJUNS system to manage foreign attachments.  The group also manages the wood pole inspection </w:t>
      </w:r>
      <w:r w:rsidRPr="00545D21">
        <w:rPr>
          <w:rFonts w:cs="Arial"/>
          <w:szCs w:val="24"/>
        </w:rPr>
        <w:t xml:space="preserve">contract and the new LED street lighting program.  The LED streetlight program is included in </w:t>
      </w:r>
      <w:r w:rsidRPr="00545D21">
        <w:t>PPL E</w:t>
      </w:r>
      <w:r>
        <w:t>U</w:t>
      </w:r>
      <w:r w:rsidRPr="00545D21">
        <w:t xml:space="preserve">’s current distribution rate case </w:t>
      </w:r>
      <w:r w:rsidRPr="00545D21">
        <w:rPr>
          <w:rFonts w:cs="Arial"/>
          <w:szCs w:val="24"/>
        </w:rPr>
        <w:t xml:space="preserve">pending PUC approval and is planned to be </w:t>
      </w:r>
      <w:r w:rsidRPr="00545D21">
        <w:t>available to customers beginning January 2016.</w:t>
      </w:r>
    </w:p>
    <w:p w:rsidR="00AE554B" w:rsidRDefault="00AE554B" w:rsidP="00701DCF">
      <w:pPr>
        <w:rPr>
          <w:rFonts w:cs="Arial"/>
          <w:szCs w:val="24"/>
        </w:rPr>
      </w:pPr>
      <w:r>
        <w:rPr>
          <w:rFonts w:cs="Arial"/>
          <w:szCs w:val="24"/>
        </w:rPr>
        <w:t>The Attachments and Telecom Business Underground Facilities and Damage Prevention group staffs one person in each super region to collect evidence on damage caused to facilities and provide the documentation for billing.  The group also works with the contractor that provides underground locating services.  The group is active in efforts to mitigate damages and participate in the monthly Safety meeting with PPL EU contractors to share trends and means to avoid damaging facilities.  One ongoing challenge is with directional boring companies.  The group also holds regional training classes on the PA One-Call law and the locate request process as well as first responder training for police and fire departments.</w:t>
      </w:r>
    </w:p>
    <w:p w:rsidR="00AE554B" w:rsidRDefault="00AE554B" w:rsidP="00701DCF">
      <w:r>
        <w:t>PPL’s overall experience with the number of hits to its underground lines has been fairly constant since 2011 as shown in the following exhibit:</w:t>
      </w:r>
    </w:p>
    <w:p w:rsidR="00AE554B" w:rsidRPr="003E1C85" w:rsidRDefault="00AD2223" w:rsidP="00AD2223">
      <w:pPr>
        <w:pStyle w:val="Caption"/>
      </w:pPr>
      <w:bookmarkStart w:id="154" w:name="_Toc464552987"/>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20</w:t>
      </w:r>
      <w:r w:rsidR="00CB2B2A">
        <w:rPr>
          <w:noProof/>
        </w:rPr>
        <w:fldChar w:fldCharType="end"/>
      </w:r>
      <w:r w:rsidR="002F6183">
        <w:br/>
      </w:r>
      <w:r w:rsidR="00AE554B">
        <w:t>PPL Underground Dig-in Experience 2011–2015</w:t>
      </w:r>
      <w:bookmarkEnd w:id="1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7"/>
        <w:gridCol w:w="1084"/>
        <w:gridCol w:w="1084"/>
        <w:gridCol w:w="1084"/>
        <w:gridCol w:w="1084"/>
        <w:gridCol w:w="1084"/>
      </w:tblGrid>
      <w:tr w:rsidR="00AE554B" w:rsidRPr="007370C9" w:rsidTr="00701DCF">
        <w:trPr>
          <w:jc w:val="center"/>
        </w:trPr>
        <w:tc>
          <w:tcPr>
            <w:tcW w:w="3587" w:type="dxa"/>
            <w:shd w:val="clear" w:color="auto" w:fill="A5CD7E"/>
            <w:vAlign w:val="center"/>
          </w:tcPr>
          <w:p w:rsidR="00AE554B" w:rsidRPr="007370C9" w:rsidRDefault="00A113F8" w:rsidP="007370C9">
            <w:pPr>
              <w:spacing w:before="120"/>
              <w:jc w:val="center"/>
              <w:rPr>
                <w:b/>
              </w:rPr>
            </w:pPr>
            <w:r w:rsidRPr="007370C9">
              <w:rPr>
                <w:b/>
              </w:rPr>
              <w:t>Factor</w:t>
            </w:r>
          </w:p>
        </w:tc>
        <w:tc>
          <w:tcPr>
            <w:tcW w:w="963" w:type="dxa"/>
            <w:shd w:val="clear" w:color="auto" w:fill="A5CD7E"/>
            <w:vAlign w:val="center"/>
          </w:tcPr>
          <w:p w:rsidR="00AE554B" w:rsidRPr="007370C9" w:rsidRDefault="00AE554B" w:rsidP="007370C9">
            <w:pPr>
              <w:spacing w:before="120"/>
              <w:jc w:val="center"/>
              <w:rPr>
                <w:b/>
              </w:rPr>
            </w:pPr>
            <w:r w:rsidRPr="007370C9">
              <w:rPr>
                <w:b/>
              </w:rPr>
              <w:t>2011</w:t>
            </w:r>
          </w:p>
        </w:tc>
        <w:tc>
          <w:tcPr>
            <w:tcW w:w="964" w:type="dxa"/>
            <w:shd w:val="clear" w:color="auto" w:fill="A5CD7E"/>
            <w:vAlign w:val="center"/>
          </w:tcPr>
          <w:p w:rsidR="00AE554B" w:rsidRPr="007370C9" w:rsidRDefault="00AE554B" w:rsidP="007370C9">
            <w:pPr>
              <w:spacing w:before="120"/>
              <w:jc w:val="center"/>
              <w:rPr>
                <w:b/>
              </w:rPr>
            </w:pPr>
            <w:r w:rsidRPr="007370C9">
              <w:rPr>
                <w:b/>
              </w:rPr>
              <w:t>2012</w:t>
            </w:r>
          </w:p>
        </w:tc>
        <w:tc>
          <w:tcPr>
            <w:tcW w:w="964" w:type="dxa"/>
            <w:shd w:val="clear" w:color="auto" w:fill="A5CD7E"/>
            <w:vAlign w:val="center"/>
          </w:tcPr>
          <w:p w:rsidR="00AE554B" w:rsidRPr="007370C9" w:rsidRDefault="00AE554B" w:rsidP="007370C9">
            <w:pPr>
              <w:spacing w:before="120"/>
              <w:jc w:val="center"/>
              <w:rPr>
                <w:b/>
              </w:rPr>
            </w:pPr>
            <w:r w:rsidRPr="007370C9">
              <w:rPr>
                <w:b/>
              </w:rPr>
              <w:t>2013</w:t>
            </w:r>
          </w:p>
        </w:tc>
        <w:tc>
          <w:tcPr>
            <w:tcW w:w="964" w:type="dxa"/>
            <w:shd w:val="clear" w:color="auto" w:fill="A5CD7E"/>
            <w:vAlign w:val="center"/>
          </w:tcPr>
          <w:p w:rsidR="00AE554B" w:rsidRPr="007370C9" w:rsidRDefault="00AE554B" w:rsidP="007370C9">
            <w:pPr>
              <w:spacing w:before="120"/>
              <w:jc w:val="center"/>
              <w:rPr>
                <w:b/>
              </w:rPr>
            </w:pPr>
            <w:r w:rsidRPr="007370C9">
              <w:rPr>
                <w:b/>
              </w:rPr>
              <w:t>2014</w:t>
            </w:r>
          </w:p>
        </w:tc>
        <w:tc>
          <w:tcPr>
            <w:tcW w:w="964" w:type="dxa"/>
            <w:shd w:val="clear" w:color="auto" w:fill="A5CD7E"/>
            <w:vAlign w:val="center"/>
          </w:tcPr>
          <w:p w:rsidR="00AE554B" w:rsidRPr="007370C9" w:rsidRDefault="00AE554B" w:rsidP="007370C9">
            <w:pPr>
              <w:spacing w:before="120"/>
              <w:jc w:val="center"/>
              <w:rPr>
                <w:b/>
              </w:rPr>
            </w:pPr>
            <w:r w:rsidRPr="007370C9">
              <w:rPr>
                <w:b/>
              </w:rPr>
              <w:t>2015</w:t>
            </w:r>
          </w:p>
        </w:tc>
      </w:tr>
      <w:tr w:rsidR="00AE554B" w:rsidRPr="00094B43" w:rsidTr="00701DCF">
        <w:trPr>
          <w:trHeight w:val="305"/>
          <w:jc w:val="center"/>
        </w:trPr>
        <w:tc>
          <w:tcPr>
            <w:tcW w:w="3587" w:type="dxa"/>
            <w:shd w:val="clear" w:color="auto" w:fill="auto"/>
            <w:vAlign w:val="center"/>
          </w:tcPr>
          <w:p w:rsidR="00AE554B" w:rsidRDefault="00AE554B" w:rsidP="00701DCF">
            <w:pPr>
              <w:pStyle w:val="Tabletext"/>
            </w:pPr>
            <w:r>
              <w:t>Number of Reported Line Hits</w:t>
            </w:r>
          </w:p>
        </w:tc>
        <w:tc>
          <w:tcPr>
            <w:tcW w:w="963" w:type="dxa"/>
            <w:vAlign w:val="center"/>
          </w:tcPr>
          <w:p w:rsidR="00AE554B" w:rsidRDefault="00AE554B" w:rsidP="00701DCF">
            <w:pPr>
              <w:pStyle w:val="Tabletext"/>
            </w:pPr>
            <w:r>
              <w:t>209</w:t>
            </w:r>
          </w:p>
        </w:tc>
        <w:tc>
          <w:tcPr>
            <w:tcW w:w="964" w:type="dxa"/>
            <w:vAlign w:val="center"/>
          </w:tcPr>
          <w:p w:rsidR="00AE554B" w:rsidRDefault="00AE554B" w:rsidP="00701DCF">
            <w:pPr>
              <w:pStyle w:val="Tabletext"/>
            </w:pPr>
            <w:r>
              <w:t>186</w:t>
            </w:r>
          </w:p>
        </w:tc>
        <w:tc>
          <w:tcPr>
            <w:tcW w:w="964" w:type="dxa"/>
            <w:vAlign w:val="center"/>
          </w:tcPr>
          <w:p w:rsidR="00AE554B" w:rsidRDefault="00AE554B" w:rsidP="00701DCF">
            <w:pPr>
              <w:pStyle w:val="Tabletext"/>
            </w:pPr>
            <w:r>
              <w:t>196</w:t>
            </w:r>
          </w:p>
        </w:tc>
        <w:tc>
          <w:tcPr>
            <w:tcW w:w="964" w:type="dxa"/>
            <w:vAlign w:val="center"/>
          </w:tcPr>
          <w:p w:rsidR="00AE554B" w:rsidRDefault="00AE554B" w:rsidP="00701DCF">
            <w:pPr>
              <w:pStyle w:val="Tabletext"/>
            </w:pPr>
            <w:r>
              <w:t>151</w:t>
            </w:r>
          </w:p>
        </w:tc>
        <w:tc>
          <w:tcPr>
            <w:tcW w:w="964" w:type="dxa"/>
            <w:vAlign w:val="center"/>
          </w:tcPr>
          <w:p w:rsidR="00AE554B" w:rsidRDefault="00AE554B" w:rsidP="00701DCF">
            <w:pPr>
              <w:pStyle w:val="Tabletext"/>
            </w:pPr>
            <w:r>
              <w:t>179</w:t>
            </w:r>
          </w:p>
        </w:tc>
      </w:tr>
      <w:tr w:rsidR="00AE554B" w:rsidRPr="00094B43" w:rsidTr="00701DCF">
        <w:trPr>
          <w:trHeight w:val="305"/>
          <w:jc w:val="center"/>
        </w:trPr>
        <w:tc>
          <w:tcPr>
            <w:tcW w:w="3587" w:type="dxa"/>
            <w:shd w:val="clear" w:color="auto" w:fill="auto"/>
            <w:vAlign w:val="center"/>
          </w:tcPr>
          <w:p w:rsidR="00AE554B" w:rsidRDefault="00AE554B" w:rsidP="00701DCF">
            <w:pPr>
              <w:pStyle w:val="Tabletext"/>
            </w:pPr>
            <w:r>
              <w:t>Total Locates Performed</w:t>
            </w:r>
          </w:p>
        </w:tc>
        <w:tc>
          <w:tcPr>
            <w:tcW w:w="963" w:type="dxa"/>
            <w:vAlign w:val="center"/>
          </w:tcPr>
          <w:p w:rsidR="00AE554B" w:rsidRDefault="00AE554B" w:rsidP="00701DCF">
            <w:pPr>
              <w:pStyle w:val="Tabletext"/>
            </w:pPr>
            <w:r>
              <w:t>105,453</w:t>
            </w:r>
          </w:p>
        </w:tc>
        <w:tc>
          <w:tcPr>
            <w:tcW w:w="964" w:type="dxa"/>
            <w:vAlign w:val="center"/>
          </w:tcPr>
          <w:p w:rsidR="00AE554B" w:rsidRDefault="00AE554B" w:rsidP="00701DCF">
            <w:pPr>
              <w:pStyle w:val="Tabletext"/>
            </w:pPr>
            <w:r>
              <w:t>159,644</w:t>
            </w:r>
          </w:p>
        </w:tc>
        <w:tc>
          <w:tcPr>
            <w:tcW w:w="964" w:type="dxa"/>
            <w:vAlign w:val="center"/>
          </w:tcPr>
          <w:p w:rsidR="00AE554B" w:rsidRDefault="00AE554B" w:rsidP="00701DCF">
            <w:pPr>
              <w:pStyle w:val="Tabletext"/>
            </w:pPr>
            <w:r>
              <w:t>160,264</w:t>
            </w:r>
          </w:p>
        </w:tc>
        <w:tc>
          <w:tcPr>
            <w:tcW w:w="964" w:type="dxa"/>
            <w:vAlign w:val="center"/>
          </w:tcPr>
          <w:p w:rsidR="00AE554B" w:rsidRDefault="00AE554B" w:rsidP="00701DCF">
            <w:pPr>
              <w:pStyle w:val="Tabletext"/>
            </w:pPr>
            <w:r>
              <w:t>168,724</w:t>
            </w:r>
          </w:p>
        </w:tc>
        <w:tc>
          <w:tcPr>
            <w:tcW w:w="964" w:type="dxa"/>
            <w:vAlign w:val="center"/>
          </w:tcPr>
          <w:p w:rsidR="00AE554B" w:rsidRDefault="00AE554B" w:rsidP="00701DCF">
            <w:pPr>
              <w:pStyle w:val="Tabletext"/>
            </w:pPr>
            <w:r>
              <w:t>177,786</w:t>
            </w:r>
          </w:p>
        </w:tc>
      </w:tr>
      <w:tr w:rsidR="00AE554B" w:rsidRPr="00094B43" w:rsidTr="00701DCF">
        <w:trPr>
          <w:trHeight w:val="305"/>
          <w:jc w:val="center"/>
        </w:trPr>
        <w:tc>
          <w:tcPr>
            <w:tcW w:w="3587" w:type="dxa"/>
            <w:shd w:val="clear" w:color="auto" w:fill="auto"/>
            <w:vAlign w:val="center"/>
          </w:tcPr>
          <w:p w:rsidR="00AE554B" w:rsidRDefault="00AE554B" w:rsidP="00701DCF">
            <w:pPr>
              <w:pStyle w:val="Tabletext"/>
            </w:pPr>
            <w:r>
              <w:t>Hits per 1,000 Locates</w:t>
            </w:r>
          </w:p>
        </w:tc>
        <w:tc>
          <w:tcPr>
            <w:tcW w:w="963" w:type="dxa"/>
            <w:vAlign w:val="center"/>
          </w:tcPr>
          <w:p w:rsidR="00AE554B" w:rsidRDefault="00AE554B" w:rsidP="00701DCF">
            <w:pPr>
              <w:pStyle w:val="Tabletext"/>
            </w:pPr>
            <w:r>
              <w:t>.5</w:t>
            </w:r>
          </w:p>
        </w:tc>
        <w:tc>
          <w:tcPr>
            <w:tcW w:w="964" w:type="dxa"/>
            <w:vAlign w:val="center"/>
          </w:tcPr>
          <w:p w:rsidR="00AE554B" w:rsidRDefault="00AE554B" w:rsidP="00701DCF">
            <w:pPr>
              <w:pStyle w:val="Tabletext"/>
            </w:pPr>
            <w:r>
              <w:t>.86</w:t>
            </w:r>
          </w:p>
        </w:tc>
        <w:tc>
          <w:tcPr>
            <w:tcW w:w="964" w:type="dxa"/>
            <w:vAlign w:val="center"/>
          </w:tcPr>
          <w:p w:rsidR="00AE554B" w:rsidRDefault="00AE554B" w:rsidP="00701DCF">
            <w:pPr>
              <w:pStyle w:val="Tabletext"/>
            </w:pPr>
            <w:r>
              <w:t>.82</w:t>
            </w:r>
          </w:p>
        </w:tc>
        <w:tc>
          <w:tcPr>
            <w:tcW w:w="964" w:type="dxa"/>
            <w:vAlign w:val="center"/>
          </w:tcPr>
          <w:p w:rsidR="00AE554B" w:rsidRDefault="00AE554B" w:rsidP="00701DCF">
            <w:pPr>
              <w:pStyle w:val="Tabletext"/>
            </w:pPr>
            <w:r>
              <w:t>1.12</w:t>
            </w:r>
          </w:p>
        </w:tc>
        <w:tc>
          <w:tcPr>
            <w:tcW w:w="964" w:type="dxa"/>
            <w:vAlign w:val="center"/>
          </w:tcPr>
          <w:p w:rsidR="00AE554B" w:rsidRDefault="00AE554B" w:rsidP="00701DCF">
            <w:pPr>
              <w:pStyle w:val="Tabletext"/>
            </w:pPr>
            <w:r>
              <w:t>.99</w:t>
            </w:r>
          </w:p>
        </w:tc>
      </w:tr>
      <w:tr w:rsidR="00AE554B" w:rsidRPr="00094B43" w:rsidTr="0065076A">
        <w:trPr>
          <w:jc w:val="center"/>
        </w:trPr>
        <w:tc>
          <w:tcPr>
            <w:tcW w:w="8406" w:type="dxa"/>
            <w:gridSpan w:val="6"/>
            <w:vAlign w:val="center"/>
          </w:tcPr>
          <w:p w:rsidR="00AE554B" w:rsidRPr="00094B43" w:rsidRDefault="00AE554B" w:rsidP="0065076A">
            <w:pPr>
              <w:pStyle w:val="Tabletext"/>
              <w:jc w:val="left"/>
              <w:rPr>
                <w:rFonts w:cs="Arial"/>
              </w:rPr>
            </w:pPr>
            <w:r w:rsidRPr="00094B43">
              <w:rPr>
                <w:rFonts w:cs="Arial"/>
              </w:rPr>
              <w:t xml:space="preserve">Source: DN </w:t>
            </w:r>
            <w:r>
              <w:rPr>
                <w:rFonts w:cs="Arial"/>
              </w:rPr>
              <w:t>07-102</w:t>
            </w:r>
          </w:p>
        </w:tc>
      </w:tr>
    </w:tbl>
    <w:p w:rsidR="00AE554B" w:rsidRDefault="00AE554B" w:rsidP="00701DCF">
      <w:pPr>
        <w:pStyle w:val="Normal-aftertable"/>
      </w:pPr>
      <w:r>
        <w:lastRenderedPageBreak/>
        <w:t>Hits per 1,000 locates were approximately double that of 2011.  Line hits can be caused by a number of factors including failure to request locates, not exercising care when excavating at a locate mark, mislocates, or not waiting for locates to be performed.</w:t>
      </w:r>
    </w:p>
    <w:p w:rsidR="00AE554B" w:rsidRDefault="00AE554B" w:rsidP="00701DCF">
      <w:pPr>
        <w:rPr>
          <w:highlight w:val="yellow"/>
        </w:rPr>
      </w:pPr>
      <w:proofErr w:type="gramStart"/>
      <w:r w:rsidRPr="00584294">
        <w:rPr>
          <w:b/>
        </w:rPr>
        <w:t>Region Operations</w:t>
      </w:r>
      <w:r w:rsidR="00584294" w:rsidRPr="00584294">
        <w:rPr>
          <w:b/>
        </w:rPr>
        <w:t>.</w:t>
      </w:r>
      <w:proofErr w:type="gramEnd"/>
      <w:r w:rsidR="00584294">
        <w:t xml:space="preserve">  </w:t>
      </w:r>
      <w:r>
        <w:t>There are three PPL EU Region Operations groups, one for each super region.</w:t>
      </w:r>
      <w:r w:rsidRPr="009D5357">
        <w:t xml:space="preserve"> </w:t>
      </w:r>
      <w:r>
        <w:t>The following exhibit shows the organizational structure for one of the Region Operations groups</w:t>
      </w:r>
      <w:r w:rsidRPr="003E3F70">
        <w:t xml:space="preserve">. </w:t>
      </w:r>
      <w:r>
        <w:t xml:space="preserve"> The other two super regions are similarly staffed.</w:t>
      </w:r>
    </w:p>
    <w:p w:rsidR="00AE554B" w:rsidRDefault="00AD2223" w:rsidP="00AD2223">
      <w:pPr>
        <w:pStyle w:val="Caption"/>
      </w:pPr>
      <w:bookmarkStart w:id="155" w:name="_Toc464552988"/>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21</w:t>
      </w:r>
      <w:r w:rsidR="00CB2B2A">
        <w:rPr>
          <w:noProof/>
        </w:rPr>
        <w:fldChar w:fldCharType="end"/>
      </w:r>
      <w:r w:rsidR="002F6183">
        <w:br/>
      </w:r>
      <w:r w:rsidR="00AE554B">
        <w:rPr>
          <w:rFonts w:cs="Arial"/>
        </w:rPr>
        <w:t>Lehigh/Northeast Super Region</w:t>
      </w:r>
      <w:r w:rsidR="00AE554B">
        <w:t xml:space="preserve"> Operations Organization Structure</w:t>
      </w:r>
      <w:bookmarkEnd w:id="155"/>
    </w:p>
    <w:p w:rsidR="00AE554B" w:rsidRDefault="00B3476F" w:rsidP="00701DCF">
      <w:r>
        <w:rPr>
          <w:noProof/>
        </w:rPr>
        <w:drawing>
          <wp:inline distT="0" distB="0" distL="0" distR="0">
            <wp:extent cx="5943600" cy="11252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PL-EU_LeH-NE-Reg-Ops_01071_page13_v2.jpg"/>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125220"/>
                    </a:xfrm>
                    <a:prstGeom prst="rect">
                      <a:avLst/>
                    </a:prstGeom>
                  </pic:spPr>
                </pic:pic>
              </a:graphicData>
            </a:graphic>
          </wp:inline>
        </w:drawing>
      </w:r>
    </w:p>
    <w:p w:rsidR="00AE554B" w:rsidRDefault="00AE554B" w:rsidP="00701DCF">
      <w:r>
        <w:t>Source: DN 01-071</w:t>
      </w:r>
    </w:p>
    <w:p w:rsidR="00AE554B" w:rsidRDefault="00AE554B" w:rsidP="00701DCF">
      <w:pPr>
        <w:rPr>
          <w:rFonts w:cs="Arial"/>
          <w:szCs w:val="24"/>
        </w:rPr>
      </w:pPr>
      <w:r>
        <w:t>R</w:t>
      </w:r>
      <w:r>
        <w:rPr>
          <w:rFonts w:cs="Arial"/>
          <w:szCs w:val="24"/>
        </w:rPr>
        <w:t>egion Operations includes the Field Distribution Operations, Regional Work Management, and Regional Engineering groups.</w:t>
      </w:r>
    </w:p>
    <w:p w:rsidR="00AE554B" w:rsidRDefault="00AE554B" w:rsidP="00701DCF">
      <w:r w:rsidRPr="00FD00B9">
        <w:t>Field Distribution Operations</w:t>
      </w:r>
      <w:r>
        <w:t xml:space="preserve"> consists of the overhead, underground, and substation field crews that perform construction and maintenance work on the distribution system.  </w:t>
      </w:r>
      <w:r>
        <w:rPr>
          <w:rFonts w:cs="Arial"/>
          <w:szCs w:val="24"/>
        </w:rPr>
        <w:t xml:space="preserve">Field crews are deployed to 27 service center locations across the service area.  </w:t>
      </w:r>
      <w:r>
        <w:t>Distribution Operations maintains sufficient in-house field crews to accomplish maintenance work and most minor capital work.  Larger capital jobs are typically contracted out.  PPL EU crews will occasionally work a larger capital job in order to refresh and maintain the necessary skill sets for typical distribution construction work.</w:t>
      </w:r>
    </w:p>
    <w:p w:rsidR="00AE554B" w:rsidRDefault="00AE554B" w:rsidP="00701DCF">
      <w:pPr>
        <w:rPr>
          <w:rFonts w:cs="Arial"/>
          <w:szCs w:val="24"/>
        </w:rPr>
      </w:pPr>
      <w:r>
        <w:rPr>
          <w:rFonts w:cs="Arial"/>
          <w:szCs w:val="24"/>
        </w:rPr>
        <w:t xml:space="preserve">Local 1600 </w:t>
      </w:r>
      <w:proofErr w:type="gramStart"/>
      <w:r>
        <w:rPr>
          <w:rFonts w:cs="Arial"/>
          <w:szCs w:val="24"/>
        </w:rPr>
        <w:t>is</w:t>
      </w:r>
      <w:proofErr w:type="gramEnd"/>
      <w:r>
        <w:rPr>
          <w:rFonts w:cs="Arial"/>
          <w:szCs w:val="24"/>
        </w:rPr>
        <w:t xml:space="preserve"> the union local representing PPL EU field employees.  The contract was renewed in 2014 and overall relations are good.  The VP Distribution Operations and the Director Technical Development and Improvement meet quarterly with the Local to review the state of the business and discuss any issues.  Operations supervisors also meet with the Chief Stewards on a quarterly basis.</w:t>
      </w:r>
    </w:p>
    <w:p w:rsidR="00AE554B" w:rsidRDefault="00AE554B" w:rsidP="00701DCF">
      <w:pPr>
        <w:rPr>
          <w:rFonts w:cs="Arial"/>
          <w:szCs w:val="24"/>
        </w:rPr>
      </w:pPr>
      <w:r>
        <w:rPr>
          <w:rFonts w:cs="Arial"/>
          <w:szCs w:val="24"/>
        </w:rPr>
        <w:t xml:space="preserve">The work load varies by season and consists mainly of planned and unplanned maintenance.  Some smaller capital work is also performed.  Maintenance work includes repairs, installing animal guards, replacing copper to aluminum crimps, cut-outs, damaged poles, and failed equipment.  The overhead crews also commission the smart reclosers </w:t>
      </w:r>
      <w:r w:rsidRPr="00726A1A">
        <w:rPr>
          <w:rFonts w:cs="Arial"/>
          <w:szCs w:val="24"/>
        </w:rPr>
        <w:t xml:space="preserve">which are </w:t>
      </w:r>
      <w:r>
        <w:rPr>
          <w:rFonts w:cs="Arial"/>
          <w:szCs w:val="24"/>
        </w:rPr>
        <w:t xml:space="preserve">mostly </w:t>
      </w:r>
      <w:r w:rsidRPr="00726A1A">
        <w:rPr>
          <w:rFonts w:cs="Arial"/>
          <w:szCs w:val="24"/>
        </w:rPr>
        <w:t>installed by contractor crews.  If the workload exceeds in</w:t>
      </w:r>
      <w:r>
        <w:rPr>
          <w:rFonts w:cs="Arial"/>
          <w:szCs w:val="24"/>
        </w:rPr>
        <w:t>-</w:t>
      </w:r>
      <w:r w:rsidRPr="00726A1A">
        <w:rPr>
          <w:rFonts w:cs="Arial"/>
          <w:szCs w:val="24"/>
        </w:rPr>
        <w:t xml:space="preserve">house crew capacity, the </w:t>
      </w:r>
      <w:r>
        <w:rPr>
          <w:rFonts w:cs="Arial"/>
          <w:szCs w:val="24"/>
        </w:rPr>
        <w:t xml:space="preserve">additional </w:t>
      </w:r>
      <w:r w:rsidRPr="00726A1A">
        <w:rPr>
          <w:rFonts w:cs="Arial"/>
          <w:szCs w:val="24"/>
        </w:rPr>
        <w:t>work is given to contract crews to perform.</w:t>
      </w:r>
    </w:p>
    <w:p w:rsidR="00AE554B" w:rsidRPr="002D256D" w:rsidRDefault="00AE554B" w:rsidP="00701DCF">
      <w:pPr>
        <w:rPr>
          <w:rFonts w:cs="Arial"/>
          <w:szCs w:val="24"/>
        </w:rPr>
      </w:pPr>
      <w:r w:rsidRPr="002D256D">
        <w:rPr>
          <w:rFonts w:cs="Arial"/>
          <w:szCs w:val="24"/>
        </w:rPr>
        <w:t xml:space="preserve">There are three Regional Work Management teams, one for each super region.  </w:t>
      </w:r>
      <w:r w:rsidRPr="00FD00B9">
        <w:t>Regional Work Management</w:t>
      </w:r>
      <w:r>
        <w:t xml:space="preserve"> is responsible for development of the long term schedules to meet the annual long range work plans and the short range 12 week </w:t>
      </w:r>
      <w:proofErr w:type="gramStart"/>
      <w:r>
        <w:t>schedule</w:t>
      </w:r>
      <w:proofErr w:type="gramEnd"/>
      <w:r>
        <w:t xml:space="preserve"> in conjunction with Asset Management and Distribution Design.  </w:t>
      </w:r>
      <w:r w:rsidRPr="002D256D">
        <w:rPr>
          <w:rFonts w:cs="Arial"/>
          <w:szCs w:val="24"/>
        </w:rPr>
        <w:t>The work to be scheduled consists of customer connections, planned program work (Act 11) pole replacement and line reconductoring, smaller transmission and substation work, distribution substation work, line inspections, and unscheduled maintenance work.</w:t>
      </w:r>
    </w:p>
    <w:p w:rsidR="00AE554B" w:rsidRPr="00342F52" w:rsidRDefault="00AE554B" w:rsidP="00701DCF">
      <w:pPr>
        <w:rPr>
          <w:rFonts w:cs="Arial"/>
          <w:szCs w:val="24"/>
        </w:rPr>
      </w:pPr>
      <w:r w:rsidRPr="00342F52">
        <w:rPr>
          <w:rFonts w:cs="Arial"/>
          <w:szCs w:val="24"/>
        </w:rPr>
        <w:lastRenderedPageBreak/>
        <w:t>The Long Range Planners in Regional Work Management look at all pending distribution project and program work orders</w:t>
      </w:r>
      <w:r>
        <w:rPr>
          <w:rFonts w:cs="Arial"/>
          <w:szCs w:val="24"/>
        </w:rPr>
        <w:t xml:space="preserve"> as well as historical trends of unplanned/emergent work to</w:t>
      </w:r>
      <w:r w:rsidRPr="00342F52">
        <w:rPr>
          <w:rFonts w:cs="Arial"/>
          <w:szCs w:val="24"/>
        </w:rPr>
        <w:t xml:space="preserve"> develop a long range schedule for the work based on available resources, priorities, and need dates for the calendar year.  The planners also monitor completion of the work according to the schedule and budget.</w:t>
      </w:r>
    </w:p>
    <w:p w:rsidR="00AE554B" w:rsidRPr="00342F52" w:rsidRDefault="00AE554B" w:rsidP="00701DCF">
      <w:pPr>
        <w:rPr>
          <w:rFonts w:cs="Arial"/>
          <w:szCs w:val="24"/>
        </w:rPr>
      </w:pPr>
      <w:r w:rsidRPr="00342F52">
        <w:rPr>
          <w:rFonts w:cs="Arial"/>
          <w:szCs w:val="24"/>
        </w:rPr>
        <w:t>The Long Range Planners receive information on planned work for the calendar year from Distribution Asset Management.  Distribution Asset Management defines the planned capital jobs and the scope of work for the maintenance programs.  For example, $100,000 may be allocated for copper</w:t>
      </w:r>
      <w:r>
        <w:rPr>
          <w:rFonts w:cs="Arial"/>
          <w:szCs w:val="24"/>
        </w:rPr>
        <w:t xml:space="preserve"> </w:t>
      </w:r>
      <w:r w:rsidRPr="00342F52">
        <w:rPr>
          <w:rFonts w:cs="Arial"/>
          <w:szCs w:val="24"/>
        </w:rPr>
        <w:t>weld wire replacements during the year.  The Region Operations Regional Engineering Reliability group identifies the specific lines for the work, and the Long Range Planners then begin developing the calendar year schedule.</w:t>
      </w:r>
    </w:p>
    <w:p w:rsidR="00AE554B" w:rsidRPr="00342F52" w:rsidRDefault="00AE554B" w:rsidP="00701DCF">
      <w:pPr>
        <w:rPr>
          <w:rFonts w:cs="Arial"/>
          <w:szCs w:val="24"/>
        </w:rPr>
      </w:pPr>
      <w:r w:rsidRPr="00342F52">
        <w:rPr>
          <w:rFonts w:cs="Arial"/>
          <w:szCs w:val="24"/>
        </w:rPr>
        <w:t>The Operations Distribution Schedulers in Regional Work Management are responsible for assigning work to specific in-house or contractor crews.  Regions with higher contractor scheduled work will dedicate some of the Operations Distribution Schedulers specifically to that work.  In regions with lower levels of contractor scheduled work, the Operations Distribution Schedulers will schedule both in-house and contractor work.</w:t>
      </w:r>
    </w:p>
    <w:p w:rsidR="00AE554B" w:rsidRPr="00342F52" w:rsidRDefault="00AE554B" w:rsidP="00701DCF">
      <w:pPr>
        <w:rPr>
          <w:rFonts w:cs="Arial"/>
          <w:szCs w:val="24"/>
        </w:rPr>
      </w:pPr>
      <w:r w:rsidRPr="00342F52">
        <w:rPr>
          <w:rFonts w:cs="Arial"/>
          <w:szCs w:val="24"/>
        </w:rPr>
        <w:t>The Operations Distribution Schedulers work to create a firm five week schedule with placeholders for the anticipated volume of customer work and emergent/unplanned maintenance/repairs.  At five weeks out the schedules are approximately 60% loaded and at four weeks out the schedule is approximately 70% loaded.  Pending maintenance or inspection jobs that are not time sensitive are used to fill the final weekly schedule.  The schedulers will coordinate the pending jobs with field crews, vegetation management, logistics, customers, and engineering as necessary.</w:t>
      </w:r>
    </w:p>
    <w:p w:rsidR="00AE554B" w:rsidRPr="00342F52" w:rsidRDefault="00AE554B" w:rsidP="00701DCF">
      <w:pPr>
        <w:rPr>
          <w:rFonts w:cs="Arial"/>
          <w:szCs w:val="24"/>
        </w:rPr>
      </w:pPr>
      <w:r w:rsidRPr="00342F52">
        <w:rPr>
          <w:rFonts w:cs="Arial"/>
          <w:szCs w:val="24"/>
        </w:rPr>
        <w:t xml:space="preserve">Operations Transmission/Substation Schedulers in Regional Work Management are responsible for scheduling planned maintenance, smaller capital work, and emergent/unplanned work.  The schedulers focus on the schedule for the next six weeks and review the status of outage requests and crew availability.  In 2016, all </w:t>
      </w:r>
      <w:r>
        <w:rPr>
          <w:rFonts w:cs="Arial"/>
          <w:szCs w:val="24"/>
        </w:rPr>
        <w:t xml:space="preserve">capital </w:t>
      </w:r>
      <w:r w:rsidRPr="00342F52">
        <w:rPr>
          <w:rFonts w:cs="Arial"/>
          <w:szCs w:val="24"/>
        </w:rPr>
        <w:t>transmission line scheduling is planned to be transferred to the T&amp;S Project Management group for scheduling and managing the contractor work.</w:t>
      </w:r>
      <w:r>
        <w:rPr>
          <w:rFonts w:cs="Arial"/>
          <w:szCs w:val="24"/>
        </w:rPr>
        <w:t xml:space="preserve">  The maintenance work will remain with Regional Work Management as this work is executed by PPL crews.</w:t>
      </w:r>
      <w:r w:rsidRPr="00440B39">
        <w:t xml:space="preserve"> </w:t>
      </w:r>
    </w:p>
    <w:p w:rsidR="00AE554B" w:rsidRPr="00FF2FC3" w:rsidRDefault="00AE554B" w:rsidP="00701DCF">
      <w:r w:rsidRPr="00FF2FC3">
        <w:t>Regional Engineering</w:t>
      </w:r>
      <w:r>
        <w:t xml:space="preserve"> consists of </w:t>
      </w:r>
      <w:r w:rsidRPr="00FF2FC3">
        <w:t>a Reliability Supervisor</w:t>
      </w:r>
      <w:r>
        <w:t xml:space="preserve"> group</w:t>
      </w:r>
      <w:r w:rsidRPr="00FF2FC3">
        <w:t>, two Distribution Design Supervisor groups, a Supervising Engineer group, and a Right-of-way Supervisor</w:t>
      </w:r>
      <w:r>
        <w:t>.  The Reliability Supervisor group works with customers on power quality and reliability issues and coordinates solutions with the distribution planners and the field crews.  The technicians in the Distribution Design Supervisor groups are responsible for customer related work such as new service installations and service upgrades due to increased load.  The two engineers in the S</w:t>
      </w:r>
      <w:r w:rsidRPr="00FF2FC3">
        <w:t>upervising Engineer group</w:t>
      </w:r>
      <w:r>
        <w:t xml:space="preserve"> provide support to designers.  The Right-of-way group assists Vegetation Management by working with property owners on agreements for trimming hazard trees adjacent to the right-of-ways and works with customers on underground easement issues.</w:t>
      </w:r>
    </w:p>
    <w:p w:rsidR="00AE554B" w:rsidRDefault="00AE554B" w:rsidP="00701DCF">
      <w:pPr>
        <w:rPr>
          <w:rFonts w:cs="Arial"/>
          <w:szCs w:val="24"/>
        </w:rPr>
      </w:pPr>
      <w:proofErr w:type="gramStart"/>
      <w:r w:rsidRPr="00584294">
        <w:rPr>
          <w:b/>
        </w:rPr>
        <w:t>Vegetation Management</w:t>
      </w:r>
      <w:r w:rsidR="00584294" w:rsidRPr="00584294">
        <w:rPr>
          <w:b/>
        </w:rPr>
        <w:t>.</w:t>
      </w:r>
      <w:proofErr w:type="gramEnd"/>
      <w:r w:rsidR="00584294">
        <w:t xml:space="preserve">  </w:t>
      </w:r>
      <w:r>
        <w:t xml:space="preserve">The PPL EU Vegetation Management group consists of six Foresters and one Senior Analyst.  All vegetation management work is performed by </w:t>
      </w:r>
      <w:r>
        <w:lastRenderedPageBreak/>
        <w:t>contractors.</w:t>
      </w:r>
      <w:r>
        <w:rPr>
          <w:rFonts w:cs="Arial"/>
          <w:szCs w:val="24"/>
        </w:rPr>
        <w:t xml:space="preserve">  The group is responsible for approximately 28,100 miles of overhead distribution lines, approximately 5,000 miles of transmission corridors, and spraying inside substations.  The PPL EU Specification for Transmission Vegetation Management applies to lines operating at 69 kV or higher, while the Distribution Vegetation Management</w:t>
      </w:r>
      <w:r w:rsidRPr="00CD17A9">
        <w:rPr>
          <w:rFonts w:cs="Arial"/>
          <w:szCs w:val="24"/>
        </w:rPr>
        <w:t xml:space="preserve"> </w:t>
      </w:r>
      <w:r>
        <w:rPr>
          <w:rFonts w:cs="Arial"/>
          <w:szCs w:val="24"/>
        </w:rPr>
        <w:t xml:space="preserve">Specification applies to lower voltage lines.  PPL EU was on a three year cycle for the transmission corridors to reclaim the ROWs.  PPL EU is now moving into the maintenance phase for transmission on a four </w:t>
      </w:r>
      <w:r w:rsidRPr="008E6531">
        <w:rPr>
          <w:rFonts w:cs="Arial"/>
          <w:szCs w:val="24"/>
        </w:rPr>
        <w:t xml:space="preserve">year cycle with alternating herbicide and trimming every two years.  The herbicide use is for spot treatments and there is some public resistance to its use in the transmission corridors.  </w:t>
      </w:r>
      <w:r>
        <w:rPr>
          <w:rFonts w:cs="Arial"/>
          <w:szCs w:val="24"/>
        </w:rPr>
        <w:t>The d</w:t>
      </w:r>
      <w:r w:rsidRPr="008E6531">
        <w:rPr>
          <w:rFonts w:cs="Arial"/>
          <w:szCs w:val="24"/>
        </w:rPr>
        <w:t>istribution</w:t>
      </w:r>
      <w:r>
        <w:rPr>
          <w:rFonts w:cs="Arial"/>
          <w:szCs w:val="24"/>
        </w:rPr>
        <w:t xml:space="preserve"> system</w:t>
      </w:r>
      <w:r w:rsidRPr="008E6531">
        <w:rPr>
          <w:rFonts w:cs="Arial"/>
          <w:szCs w:val="24"/>
        </w:rPr>
        <w:t xml:space="preserve"> is on a five year cycle in the higher elevations and a four year cycle for the lower elevations where the growth season is longer.  Herbicide is used to treat </w:t>
      </w:r>
      <w:r>
        <w:rPr>
          <w:szCs w:val="24"/>
        </w:rPr>
        <w:t>non-compatible species to</w:t>
      </w:r>
      <w:r w:rsidRPr="008E6531">
        <w:rPr>
          <w:szCs w:val="24"/>
        </w:rPr>
        <w:t xml:space="preserve"> prevent resurgent growth where either permission can be obtained from the property owner or right-of-way agreements specifically give PPL the right to use the herbicide.  </w:t>
      </w:r>
      <w:r w:rsidRPr="008E6531">
        <w:rPr>
          <w:rFonts w:cs="Arial"/>
          <w:szCs w:val="24"/>
        </w:rPr>
        <w:t xml:space="preserve">PPL EU is still working to reclaim the distribution </w:t>
      </w:r>
      <w:r>
        <w:rPr>
          <w:rFonts w:cs="Arial"/>
          <w:szCs w:val="24"/>
        </w:rPr>
        <w:t>rights of way (ROW)</w:t>
      </w:r>
      <w:r w:rsidRPr="008E6531">
        <w:rPr>
          <w:rFonts w:cs="Arial"/>
          <w:szCs w:val="24"/>
        </w:rPr>
        <w:t xml:space="preserve"> by removing overhanging limbs on the </w:t>
      </w:r>
      <w:r>
        <w:rPr>
          <w:rFonts w:cs="Arial"/>
          <w:szCs w:val="24"/>
        </w:rPr>
        <w:t>main three phase circuits extending from the substations</w:t>
      </w:r>
      <w:r w:rsidRPr="008E6531">
        <w:rPr>
          <w:rFonts w:cs="Arial"/>
          <w:szCs w:val="24"/>
        </w:rPr>
        <w:t xml:space="preserve"> and multi-phase circuits.  The</w:t>
      </w:r>
      <w:r>
        <w:rPr>
          <w:rFonts w:cs="Arial"/>
          <w:szCs w:val="24"/>
        </w:rPr>
        <w:t xml:space="preserve"> south region should be completed during 2016 and the north by year-end 2017.</w:t>
      </w:r>
    </w:p>
    <w:p w:rsidR="00AE554B" w:rsidRDefault="00AE554B" w:rsidP="00701DCF">
      <w:pPr>
        <w:rPr>
          <w:rFonts w:cs="Arial"/>
          <w:szCs w:val="24"/>
        </w:rPr>
      </w:pPr>
      <w:r>
        <w:rPr>
          <w:rFonts w:cs="Arial"/>
          <w:szCs w:val="24"/>
        </w:rPr>
        <w:t>In 2016, Vegetation Management plans to move to granular unit based contract pricing for transmission since the ROWs have been reclaimed.  Distribution trimming is on a cost per mile basis since the reclamation effort is not complete.</w:t>
      </w:r>
    </w:p>
    <w:p w:rsidR="00AE554B" w:rsidRPr="00492242" w:rsidRDefault="00AE554B" w:rsidP="00701DCF">
      <w:pPr>
        <w:rPr>
          <w:rFonts w:cs="Arial"/>
          <w:szCs w:val="24"/>
        </w:rPr>
      </w:pPr>
      <w:r>
        <w:rPr>
          <w:rFonts w:cs="Arial"/>
          <w:szCs w:val="24"/>
        </w:rPr>
        <w:t>The 230 kV and 500 kV transmission lines, about 1,550 miles total, are flown every year with LIDAR to check for encroachments, including vegetation needing removal.  The raw LIDAR data is being processed by the contractor for PPL EU use.  The LIDAR data is used to flag potential issues for the foresters to field check and then assign a contract crew if remediation work is needed.</w:t>
      </w:r>
    </w:p>
    <w:p w:rsidR="00AE554B" w:rsidRDefault="00AE554B" w:rsidP="00701DCF">
      <w:pPr>
        <w:rPr>
          <w:rFonts w:cs="Arial"/>
          <w:szCs w:val="24"/>
        </w:rPr>
      </w:pPr>
      <w:r>
        <w:rPr>
          <w:rFonts w:cs="Arial"/>
          <w:szCs w:val="24"/>
        </w:rPr>
        <w:t>One forester is assigned to each region and develops an annual vegetation management plan, sets the trim priorities, and develops the schedule for the year.  An access database is used to maintain the trim history for the circuits using input provided by the contractors.  The forester oversees the maintenance program, trimming for capital jobs, and storm response within the region.  The foresters are primarily responsible for field inspection of the transmission work.  The line clearance supervisors in each region inspect the distribution line trimming work on a daily basis.  The foresters have tablets to view GIS information.  The tablets are expected to interface with the new geospatial application to provide additional information in the field and allow for inputting information.</w:t>
      </w:r>
    </w:p>
    <w:p w:rsidR="00AE554B" w:rsidRDefault="00AE554B" w:rsidP="00701DCF">
      <w:pPr>
        <w:rPr>
          <w:rFonts w:cs="Arial"/>
          <w:szCs w:val="24"/>
        </w:rPr>
      </w:pPr>
      <w:r>
        <w:rPr>
          <w:rFonts w:cs="Arial"/>
          <w:szCs w:val="24"/>
        </w:rPr>
        <w:t xml:space="preserve">The Vegetation Management group is converting from manual to more automated processes.  Geospatial software is being implemented for transmission work with an expected January 2016 implementation.  The group is also adding vegetation management on the distribution system to the new software with a projected completion of mid-2017.  This application will be populated with LIDAR data, overlaid with vegetation management results, and will be used for managing transmission vegetation work in the field. </w:t>
      </w:r>
      <w:r w:rsidRPr="00963375">
        <w:rPr>
          <w:rFonts w:cs="Arial"/>
          <w:szCs w:val="24"/>
        </w:rPr>
        <w:t xml:space="preserve"> </w:t>
      </w:r>
      <w:r>
        <w:rPr>
          <w:rFonts w:cs="Arial"/>
          <w:szCs w:val="24"/>
        </w:rPr>
        <w:t>The business case projects a 10 to 20% savings in future vegetation management costs through use of the more granular data to enable competitive unit price bidding.</w:t>
      </w:r>
    </w:p>
    <w:p w:rsidR="00AE554B" w:rsidRDefault="00AE554B" w:rsidP="00701DCF">
      <w:pPr>
        <w:rPr>
          <w:rFonts w:cs="Arial"/>
          <w:szCs w:val="24"/>
        </w:rPr>
      </w:pPr>
      <w:r>
        <w:rPr>
          <w:rFonts w:cs="Arial"/>
          <w:szCs w:val="24"/>
        </w:rPr>
        <w:lastRenderedPageBreak/>
        <w:t xml:space="preserve">Currently there are 700 to 900 personnel performing vegetation management services for PPL EU from the two contractors performing transmission work and four contractors for distribution.  There are sufficient resources available to meet the annual plan and there is sufficient capacity to handle major storm events (i.e. hurricanes) for up to two or three regions.  Additional tree crews have not been necessary for storm response in the last several years.  As the vegetation work load stabilizes to a maintenance mode in 2017-2018, the contractor personnel will probably reduce to around 450 which still should be adequate to provide trimming for most storm events.  Owner refusals represent the biggest challenge on the 69 kV </w:t>
      </w:r>
      <w:proofErr w:type="gramStart"/>
      <w:r>
        <w:rPr>
          <w:rFonts w:cs="Arial"/>
          <w:szCs w:val="24"/>
        </w:rPr>
        <w:t>system</w:t>
      </w:r>
      <w:proofErr w:type="gramEnd"/>
      <w:r>
        <w:rPr>
          <w:rFonts w:cs="Arial"/>
          <w:szCs w:val="24"/>
        </w:rPr>
        <w:t xml:space="preserve"> since trimming practices have changed significantly for these corridors.  The foresters work with the property owners that are escalated from the contractors.  Ninety-five percent of the time the concerns are alleviated, about five percent of the cases proceed to Legal for action.</w:t>
      </w:r>
    </w:p>
    <w:p w:rsidR="00AE554B" w:rsidRDefault="00AE554B" w:rsidP="00701DCF">
      <w:pPr>
        <w:rPr>
          <w:rFonts w:cs="Arial"/>
          <w:szCs w:val="24"/>
        </w:rPr>
      </w:pPr>
      <w:r>
        <w:rPr>
          <w:rFonts w:cs="Arial"/>
          <w:szCs w:val="24"/>
        </w:rPr>
        <w:t>The Vegetation Management Senior Analyst maintains the records, processes invoices, and manages the Access database.  The analyst will be responsible for managing the new geospatial application.  The current transmission records are detailed with records kept at the circuit level.  This allows for bidding out brush clearing by the acre and side trimming by the foot using the defined right of way.  Distribution vegetation management records have historically been kept at the circuit level.  As the distribution records are added to the new application, more granular information will be captured and maintained to facilitate future use of unit price bidding for work.</w:t>
      </w:r>
    </w:p>
    <w:p w:rsidR="00AE554B" w:rsidRDefault="00AE554B" w:rsidP="00701DCF">
      <w:pPr>
        <w:rPr>
          <w:rFonts w:cs="Arial"/>
          <w:szCs w:val="24"/>
        </w:rPr>
      </w:pPr>
      <w:r>
        <w:rPr>
          <w:rFonts w:cs="Arial"/>
          <w:szCs w:val="24"/>
        </w:rPr>
        <w:t>The Vegetation Management Manager and one forester are on call for storm response and participate in any pre-storm planning calls.  The Manager is stationed at the Emergency Command Center (ECC) during significant storm events to facilitate the assignment of the contract vegetation management crews to areas requiring limb and tree removal.  In smaller storms the foresters work with the Regional Emergency Managers to coordinate the tree crews.  For larger storms the line clearance supervisors are brought in to manage the crews working in the field.</w:t>
      </w:r>
    </w:p>
    <w:p w:rsidR="00AE554B" w:rsidRDefault="00AE554B" w:rsidP="00701DCF">
      <w:pPr>
        <w:rPr>
          <w:rFonts w:cs="Arial"/>
          <w:szCs w:val="24"/>
        </w:rPr>
      </w:pPr>
      <w:r>
        <w:rPr>
          <w:rFonts w:cs="Arial"/>
          <w:szCs w:val="24"/>
        </w:rPr>
        <w:t>Vegetation Management is included in the TOM process for projects and is involved in the project planning phase to address any vegetation needs early in the project development process.  The Manager Vegetation Management attends the Transmission Operating Model (TOM) meetings on a quarterly basis to update the participants on vegetation management activities.</w:t>
      </w:r>
      <w:r w:rsidRPr="00DB712F">
        <w:rPr>
          <w:rFonts w:cs="Arial"/>
          <w:szCs w:val="24"/>
        </w:rPr>
        <w:t xml:space="preserve"> </w:t>
      </w:r>
      <w:r>
        <w:rPr>
          <w:rFonts w:cs="Arial"/>
          <w:szCs w:val="24"/>
        </w:rPr>
        <w:t xml:space="preserve">.  </w:t>
      </w:r>
    </w:p>
    <w:p w:rsidR="00AE554B" w:rsidRDefault="00AE554B" w:rsidP="00701DCF">
      <w:pPr>
        <w:rPr>
          <w:rFonts w:cs="Arial"/>
          <w:szCs w:val="24"/>
        </w:rPr>
      </w:pPr>
      <w:r>
        <w:rPr>
          <w:rFonts w:cs="Arial"/>
          <w:szCs w:val="24"/>
        </w:rPr>
        <w:t>Key performance indicators have been established for the tree contractors to track their performance.  The contracts allow PPL EU to reassign work to other contractors if a contractor is underperforming.  There is a weekly call with the contractors to discuss any issues and a monthly meeting to review safety and work performance.</w:t>
      </w:r>
    </w:p>
    <w:p w:rsidR="00AE554B" w:rsidRDefault="00AE554B" w:rsidP="00584294">
      <w:pPr>
        <w:rPr>
          <w:highlight w:val="yellow"/>
        </w:rPr>
      </w:pPr>
      <w:bookmarkStart w:id="156" w:name="_Toc442617422"/>
      <w:proofErr w:type="gramStart"/>
      <w:r w:rsidRPr="00584294">
        <w:rPr>
          <w:b/>
        </w:rPr>
        <w:t>Operations</w:t>
      </w:r>
      <w:r w:rsidR="00584294" w:rsidRPr="00584294">
        <w:rPr>
          <w:b/>
        </w:rPr>
        <w:t>.</w:t>
      </w:r>
      <w:proofErr w:type="gramEnd"/>
      <w:r w:rsidR="00584294">
        <w:t xml:space="preserve">  </w:t>
      </w:r>
      <w:r>
        <w:t>The following exhibit shows the organizational structure for the Distribution Operations department.</w:t>
      </w:r>
      <w:r w:rsidRPr="00590A87">
        <w:rPr>
          <w:highlight w:val="yellow"/>
        </w:rPr>
        <w:t xml:space="preserve"> </w:t>
      </w:r>
    </w:p>
    <w:p w:rsidR="00AE554B" w:rsidRPr="00C00477" w:rsidRDefault="00AD2223" w:rsidP="00AD2223">
      <w:pPr>
        <w:pStyle w:val="Caption"/>
      </w:pPr>
      <w:bookmarkStart w:id="157" w:name="_Toc464552989"/>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22</w:t>
      </w:r>
      <w:r w:rsidR="00CB2B2A">
        <w:rPr>
          <w:noProof/>
        </w:rPr>
        <w:fldChar w:fldCharType="end"/>
      </w:r>
      <w:r w:rsidR="002F6183">
        <w:br/>
      </w:r>
      <w:r w:rsidR="00AE554B">
        <w:t>Operations Organization Structure</w:t>
      </w:r>
      <w:bookmarkEnd w:id="157"/>
    </w:p>
    <w:p w:rsidR="00AE554B" w:rsidRDefault="00B3476F" w:rsidP="00701DCF">
      <w:r>
        <w:rPr>
          <w:noProof/>
        </w:rPr>
        <w:drawing>
          <wp:inline distT="0" distB="0" distL="0" distR="0">
            <wp:extent cx="5943600" cy="1401445"/>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PL-EU_Operations_01071_page28_v2.jpg"/>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401445"/>
                    </a:xfrm>
                    <a:prstGeom prst="rect">
                      <a:avLst/>
                    </a:prstGeom>
                  </pic:spPr>
                </pic:pic>
              </a:graphicData>
            </a:graphic>
          </wp:inline>
        </w:drawing>
      </w:r>
    </w:p>
    <w:p w:rsidR="00AE554B" w:rsidRDefault="00AE554B" w:rsidP="00701DCF">
      <w:pPr>
        <w:pStyle w:val="Normal-aftertable"/>
      </w:pPr>
      <w:r>
        <w:t>Source: DN 01-071</w:t>
      </w:r>
    </w:p>
    <w:p w:rsidR="00AE554B" w:rsidRDefault="00AE554B" w:rsidP="00701DCF">
      <w:pPr>
        <w:pStyle w:val="Normal-aftertable"/>
      </w:pPr>
      <w:r>
        <w:t>The Respond to Customer - Operations group consists of the Distribution System Operations and Dispatch, Trouble Department, Facility Records, and a Business Operations Analyst.</w:t>
      </w:r>
    </w:p>
    <w:p w:rsidR="00AE554B" w:rsidRDefault="00AE554B" w:rsidP="00701DCF">
      <w:pPr>
        <w:rPr>
          <w:rFonts w:cs="Arial"/>
          <w:szCs w:val="24"/>
        </w:rPr>
      </w:pPr>
      <w:r>
        <w:rPr>
          <w:rFonts w:cs="Arial"/>
          <w:szCs w:val="24"/>
        </w:rPr>
        <w:t>The Distribution System Operations and Dispatch staff is responsible for operation of the Distribution Control Center (DCC) and consists of 35 Distribution System Operators (DSOs) and 14 dispatchers.  The DSOs and dispatchers are split into seven teams of DSOs, each with two dispatchers, and each led by a Shift Supervisor.</w:t>
      </w:r>
    </w:p>
    <w:p w:rsidR="00AE554B" w:rsidRDefault="00AE554B" w:rsidP="00701DCF">
      <w:r>
        <w:t>The Trouble Department consists of the troubleshooters who provide 2</w:t>
      </w:r>
      <w:r w:rsidRPr="001044DD">
        <w:rPr>
          <w:vertAlign w:val="superscript"/>
        </w:rPr>
        <w:t>nd</w:t>
      </w:r>
      <w:r>
        <w:t xml:space="preserve"> and 3</w:t>
      </w:r>
      <w:r w:rsidRPr="001044DD">
        <w:rPr>
          <w:vertAlign w:val="superscript"/>
        </w:rPr>
        <w:t>rd</w:t>
      </w:r>
      <w:r>
        <w:t xml:space="preserve"> shift coverage for outages and E911 calls requiring an EU response.  The group has six foreman and 50 troubleshooters.  There are one to three troubleshooters on shift operating out of most service centers.</w:t>
      </w:r>
    </w:p>
    <w:p w:rsidR="00AE554B" w:rsidRDefault="00AE554B" w:rsidP="00701DCF">
      <w:pPr>
        <w:rPr>
          <w:rFonts w:cs="Arial"/>
          <w:szCs w:val="24"/>
        </w:rPr>
      </w:pPr>
      <w:r>
        <w:rPr>
          <w:rFonts w:cs="Arial"/>
          <w:szCs w:val="24"/>
        </w:rPr>
        <w:t>Operations Support</w:t>
      </w:r>
      <w:r w:rsidRPr="00853B3A">
        <w:rPr>
          <w:rFonts w:cs="Arial"/>
          <w:szCs w:val="24"/>
        </w:rPr>
        <w:t xml:space="preserve"> </w:t>
      </w:r>
      <w:r>
        <w:rPr>
          <w:rFonts w:cs="Arial"/>
          <w:szCs w:val="24"/>
        </w:rPr>
        <w:t>is responsible for our main Operations software tools, including the DMS, OMS, and GIS systems.  There are Facility Records Specialists embedded in the group who manage</w:t>
      </w:r>
      <w:r w:rsidRPr="00853B3A">
        <w:rPr>
          <w:rFonts w:cs="Arial"/>
          <w:szCs w:val="24"/>
        </w:rPr>
        <w:t xml:space="preserve"> the </w:t>
      </w:r>
      <w:r>
        <w:rPr>
          <w:rFonts w:cs="Arial"/>
          <w:szCs w:val="24"/>
        </w:rPr>
        <w:t xml:space="preserve">distribution </w:t>
      </w:r>
      <w:r w:rsidRPr="00853B3A">
        <w:t>work order job packet</w:t>
      </w:r>
      <w:r>
        <w:t xml:space="preserve">s which </w:t>
      </w:r>
      <w:r w:rsidRPr="00853B3A">
        <w:t xml:space="preserve">includes the job </w:t>
      </w:r>
      <w:r>
        <w:t>summary</w:t>
      </w:r>
      <w:r w:rsidRPr="00853B3A">
        <w:t>, construction order, red line markings</w:t>
      </w:r>
      <w:r>
        <w:t>,</w:t>
      </w:r>
      <w:r w:rsidRPr="00853B3A">
        <w:t xml:space="preserve"> and construction prints</w:t>
      </w:r>
      <w:r>
        <w:t>.  These completed construction documents are currently re</w:t>
      </w:r>
      <w:r w:rsidRPr="00853B3A">
        <w:rPr>
          <w:rFonts w:cs="Arial"/>
          <w:szCs w:val="24"/>
        </w:rPr>
        <w:t>tained for 13 years.</w:t>
      </w:r>
    </w:p>
    <w:p w:rsidR="00AE554B" w:rsidRDefault="00AE554B" w:rsidP="00701DCF">
      <w:pPr>
        <w:rPr>
          <w:rFonts w:cs="Arial"/>
          <w:szCs w:val="24"/>
        </w:rPr>
      </w:pPr>
      <w:r>
        <w:rPr>
          <w:rFonts w:cs="Arial"/>
          <w:szCs w:val="24"/>
        </w:rPr>
        <w:t>The Business Operations Analyst maintains the metrics for the Operations group including those in the corporate performance indicators.</w:t>
      </w:r>
    </w:p>
    <w:p w:rsidR="00AE554B" w:rsidRDefault="00584294" w:rsidP="00584294">
      <w:pPr>
        <w:pStyle w:val="Heading40"/>
      </w:pPr>
      <w:r>
        <w:t>D</w:t>
      </w:r>
      <w:r w:rsidR="00AE554B">
        <w:t>istribution Project</w:t>
      </w:r>
      <w:r>
        <w:t xml:space="preserve"> M</w:t>
      </w:r>
      <w:r w:rsidR="00AE554B">
        <w:t xml:space="preserve">anagement </w:t>
      </w:r>
      <w:r>
        <w:t>P</w:t>
      </w:r>
      <w:r w:rsidR="00AE554B">
        <w:t>rocess</w:t>
      </w:r>
    </w:p>
    <w:p w:rsidR="00AE554B" w:rsidRPr="00B33275" w:rsidRDefault="00AE554B" w:rsidP="00701DCF">
      <w:r w:rsidRPr="00B33275">
        <w:t xml:space="preserve">The </w:t>
      </w:r>
      <w:r>
        <w:t xml:space="preserve">project management </w:t>
      </w:r>
      <w:r w:rsidRPr="00B33275">
        <w:t>process employs five approval points, or gates, in the life cycle of a project</w:t>
      </w:r>
      <w:r>
        <w:t>:</w:t>
      </w:r>
    </w:p>
    <w:p w:rsidR="00AE554B" w:rsidRPr="00B33275" w:rsidRDefault="00AE554B" w:rsidP="00701DCF">
      <w:pPr>
        <w:pStyle w:val="Bullet"/>
      </w:pPr>
      <w:r w:rsidRPr="00B33275">
        <w:t>Gate 0 – Project Definition and Development</w:t>
      </w:r>
    </w:p>
    <w:p w:rsidR="00AE554B" w:rsidRPr="00B33275" w:rsidRDefault="00AE554B" w:rsidP="00701DCF">
      <w:pPr>
        <w:pStyle w:val="Bullet"/>
      </w:pPr>
      <w:r w:rsidRPr="00B33275">
        <w:t>Gate 1 – Project Approval, Commence Engineering</w:t>
      </w:r>
    </w:p>
    <w:p w:rsidR="00AE554B" w:rsidRPr="00B33275" w:rsidRDefault="00AE554B" w:rsidP="00701DCF">
      <w:pPr>
        <w:pStyle w:val="Bullet"/>
      </w:pPr>
      <w:r w:rsidRPr="00B33275">
        <w:t>Gate 2 –Detailed Project Design Validation, Commence Construction Planning</w:t>
      </w:r>
    </w:p>
    <w:p w:rsidR="00AE554B" w:rsidRPr="00B33275" w:rsidRDefault="00AE554B" w:rsidP="00701DCF">
      <w:pPr>
        <w:pStyle w:val="Bullet"/>
      </w:pPr>
      <w:r w:rsidRPr="00B33275">
        <w:t>Gate 3 – Construction Plan Validation, Commence Construction</w:t>
      </w:r>
    </w:p>
    <w:p w:rsidR="00AE554B" w:rsidRPr="00B33275" w:rsidRDefault="00AE554B" w:rsidP="00701DCF">
      <w:pPr>
        <w:pStyle w:val="Bullet"/>
      </w:pPr>
      <w:r w:rsidRPr="00B33275">
        <w:t>Gate 4 – Construction Complete, Closeout Project</w:t>
      </w:r>
    </w:p>
    <w:p w:rsidR="00AE554B" w:rsidRDefault="00AE554B" w:rsidP="00701DCF">
      <w:r>
        <w:t xml:space="preserve">Projects consist of capital work to construct new distribution lines or substations, replace existing lines or substation transformers, or similar specific capital jobs.  </w:t>
      </w:r>
      <w:r w:rsidRPr="00EF28AA">
        <w:t xml:space="preserve">The typical flow for distribution through the </w:t>
      </w:r>
      <w:r>
        <w:t>project management</w:t>
      </w:r>
      <w:r w:rsidRPr="00EF28AA">
        <w:t xml:space="preserve"> process begins with the initiation of a job by </w:t>
      </w:r>
      <w:r>
        <w:t xml:space="preserve">Distribution </w:t>
      </w:r>
      <w:r w:rsidRPr="00EF28AA">
        <w:t xml:space="preserve">Asset Management in a Purpose </w:t>
      </w:r>
      <w:r>
        <w:t>and</w:t>
      </w:r>
      <w:r w:rsidRPr="00EF28AA">
        <w:t xml:space="preserve"> Necessity </w:t>
      </w:r>
      <w:r>
        <w:t>form</w:t>
      </w:r>
      <w:r w:rsidRPr="00EF28AA">
        <w:t>.</w:t>
      </w:r>
      <w:r>
        <w:t xml:space="preserve">  </w:t>
      </w:r>
      <w:r w:rsidRPr="00EF28AA">
        <w:lastRenderedPageBreak/>
        <w:t xml:space="preserve">The project plan is placed in </w:t>
      </w:r>
      <w:r>
        <w:t xml:space="preserve">the </w:t>
      </w:r>
      <w:r>
        <w:rPr>
          <w:rFonts w:cs="Arial"/>
          <w:szCs w:val="24"/>
        </w:rPr>
        <w:t>project scheduling and resource management application,</w:t>
      </w:r>
      <w:r w:rsidRPr="00EF28AA">
        <w:t xml:space="preserve"> design options</w:t>
      </w:r>
      <w:r>
        <w:t xml:space="preserve"> are</w:t>
      </w:r>
      <w:r w:rsidRPr="00EF28AA">
        <w:t xml:space="preserve"> reviewed</w:t>
      </w:r>
      <w:r>
        <w:t>,</w:t>
      </w:r>
      <w:r w:rsidRPr="00EF28AA">
        <w:t xml:space="preserve"> and the preferred option is selected.  Upon approval of the project, it is </w:t>
      </w:r>
      <w:r>
        <w:t>assigned</w:t>
      </w:r>
      <w:r w:rsidRPr="00EF28AA">
        <w:t xml:space="preserve"> to </w:t>
      </w:r>
      <w:r>
        <w:t xml:space="preserve">Distribution Asset Management </w:t>
      </w:r>
      <w:r w:rsidRPr="00EF28AA">
        <w:t>Project Management. (Gate 0)  A project manager oversee</w:t>
      </w:r>
      <w:r>
        <w:t>s</w:t>
      </w:r>
      <w:r w:rsidRPr="00EF28AA">
        <w:t xml:space="preserve"> the project process and </w:t>
      </w:r>
      <w:r>
        <w:t>an engineer</w:t>
      </w:r>
      <w:r w:rsidRPr="00EF28AA">
        <w:t xml:space="preserve"> generates a conceptual design.</w:t>
      </w:r>
      <w:r>
        <w:t xml:space="preserve"> </w:t>
      </w:r>
      <w:r w:rsidRPr="00EF28AA">
        <w:t xml:space="preserve"> A contracting decision is </w:t>
      </w:r>
      <w:r>
        <w:t xml:space="preserve">then </w:t>
      </w:r>
      <w:r w:rsidRPr="00EF28AA">
        <w:t>made, a cost estimate is prepared, and a</w:t>
      </w:r>
      <w:r>
        <w:t xml:space="preserve"> </w:t>
      </w:r>
      <w:r w:rsidRPr="00EF28AA">
        <w:t xml:space="preserve">walk through is conducted.  The project then proceeds to Gate 1 approval.  </w:t>
      </w:r>
      <w:r>
        <w:t xml:space="preserve">Following Gate 1 approval, Distribution </w:t>
      </w:r>
      <w:r w:rsidRPr="00EF28AA">
        <w:t xml:space="preserve">Engineering completes the design, materials are ordered, the budget is updated and contract documents are prepared.  The project then proceeds to Gate 2 approval.  The contract is then put out to bid and a contractor is selected.  The project then goes through Gate 3 approval and is transferred to </w:t>
      </w:r>
      <w:r>
        <w:t>a</w:t>
      </w:r>
      <w:r w:rsidRPr="00EF28AA">
        <w:t xml:space="preserve"> </w:t>
      </w:r>
      <w:r>
        <w:t xml:space="preserve">Project &amp; Construction </w:t>
      </w:r>
      <w:r w:rsidRPr="00EF28AA">
        <w:t>Managemen</w:t>
      </w:r>
      <w:r>
        <w:t xml:space="preserve">t </w:t>
      </w:r>
      <w:r w:rsidRPr="00EF28AA">
        <w:t>Construction Supervisor to manage the construction.  The project manager monitors the construction progress through to Gate 4 completion</w:t>
      </w:r>
      <w:r>
        <w:t>.</w:t>
      </w:r>
    </w:p>
    <w:p w:rsidR="00AE554B" w:rsidRDefault="00AE554B" w:rsidP="00584294">
      <w:pPr>
        <w:pStyle w:val="Heading40"/>
      </w:pPr>
      <w:r>
        <w:t>Distribution Operating Model</w:t>
      </w:r>
      <w:bookmarkEnd w:id="156"/>
    </w:p>
    <w:p w:rsidR="00AE554B" w:rsidRDefault="00AE554B" w:rsidP="00701DCF">
      <w:pPr>
        <w:rPr>
          <w:rFonts w:cs="Arial"/>
          <w:szCs w:val="24"/>
        </w:rPr>
      </w:pPr>
      <w:r>
        <w:rPr>
          <w:rFonts w:cs="Arial"/>
          <w:szCs w:val="24"/>
        </w:rPr>
        <w:t>The Distribution Operating Model (DOM) was developed to clearly define roles and responsibilities and handoffs, and to align workflows in the organization for programmatic work.  Programmatic work includes specific program initiatives identified in the Long Term Infrastructure Improvement Plan for improving the reliability and performance of the system.  The DOM is being implemented with the current focus on developing vision statements in each group and developing supporting process charts and procedures.  The dialog process in developing the model brought the team together and increased awareness of respective needs and ownership.  It is helping to establish clear expectations and deadlines for implementing program work in the organization.</w:t>
      </w:r>
    </w:p>
    <w:p w:rsidR="00AE554B" w:rsidRDefault="00AE554B" w:rsidP="00701DCF">
      <w:pPr>
        <w:rPr>
          <w:rFonts w:cs="Arial"/>
          <w:szCs w:val="24"/>
        </w:rPr>
      </w:pPr>
      <w:r>
        <w:rPr>
          <w:rFonts w:cs="Arial"/>
          <w:szCs w:val="24"/>
        </w:rPr>
        <w:t>The DOM consists of seven stages for distribution programs:</w:t>
      </w:r>
    </w:p>
    <w:p w:rsidR="00AE554B" w:rsidRDefault="00AE554B" w:rsidP="00701DCF">
      <w:pPr>
        <w:pStyle w:val="Bullet"/>
      </w:pPr>
      <w:r>
        <w:t>Identify Distribution Program</w:t>
      </w:r>
    </w:p>
    <w:p w:rsidR="00AE554B" w:rsidRDefault="00AE554B" w:rsidP="00701DCF">
      <w:pPr>
        <w:pStyle w:val="Bullet"/>
      </w:pPr>
      <w:r>
        <w:t>Initiate Distribution Program</w:t>
      </w:r>
    </w:p>
    <w:p w:rsidR="00AE554B" w:rsidRDefault="00AE554B" w:rsidP="00701DCF">
      <w:pPr>
        <w:pStyle w:val="Bullet"/>
      </w:pPr>
      <w:r>
        <w:t>Engineer Distribution Program</w:t>
      </w:r>
    </w:p>
    <w:p w:rsidR="00AE554B" w:rsidRDefault="00AE554B" w:rsidP="00701DCF">
      <w:pPr>
        <w:pStyle w:val="Bullet"/>
      </w:pPr>
      <w:r>
        <w:t>Schedule Distribution Program</w:t>
      </w:r>
    </w:p>
    <w:p w:rsidR="00AE554B" w:rsidRDefault="00AE554B" w:rsidP="00701DCF">
      <w:pPr>
        <w:pStyle w:val="Bullet"/>
      </w:pPr>
      <w:r>
        <w:t>Construct Distribution Program</w:t>
      </w:r>
    </w:p>
    <w:p w:rsidR="00AE554B" w:rsidRDefault="00AE554B" w:rsidP="00701DCF">
      <w:pPr>
        <w:pStyle w:val="Bullet"/>
      </w:pPr>
      <w:r>
        <w:t>Monitor</w:t>
      </w:r>
      <w:r w:rsidRPr="000C1D47">
        <w:t xml:space="preserve"> </w:t>
      </w:r>
      <w:r>
        <w:t>Distribution Program</w:t>
      </w:r>
    </w:p>
    <w:p w:rsidR="00AE554B" w:rsidRDefault="00AE554B" w:rsidP="00701DCF">
      <w:pPr>
        <w:pStyle w:val="Bullet"/>
      </w:pPr>
      <w:r>
        <w:t>Close Distribution Program</w:t>
      </w:r>
    </w:p>
    <w:p w:rsidR="00AE554B" w:rsidRDefault="00AE554B" w:rsidP="00701DCF">
      <w:pPr>
        <w:pStyle w:val="Normal-aftertable"/>
      </w:pPr>
      <w:r>
        <w:t>The DOM is being implemented in five phases.  As of June 2015, phase two was complete with 27 of 106 initiatives implemented.</w:t>
      </w:r>
      <w:r w:rsidRPr="006718DB">
        <w:t xml:space="preserve"> </w:t>
      </w:r>
      <w:r>
        <w:t xml:space="preserve"> The DOM is expected to be fully implemented and in use for programmatic work by year end 2015.</w:t>
      </w:r>
    </w:p>
    <w:p w:rsidR="00AE554B" w:rsidRPr="00EF28AA" w:rsidRDefault="00AE554B" w:rsidP="00701DCF">
      <w:pPr>
        <w:pStyle w:val="Normal-aftertable"/>
      </w:pPr>
      <w:r w:rsidRPr="00EF28AA">
        <w:t xml:space="preserve">The typical flow for distribution </w:t>
      </w:r>
      <w:r>
        <w:t>planned work</w:t>
      </w:r>
      <w:r w:rsidRPr="00EF28AA">
        <w:t xml:space="preserve"> through the DOM process begins with the initiation of a job by </w:t>
      </w:r>
      <w:r>
        <w:t xml:space="preserve">Distribution </w:t>
      </w:r>
      <w:r w:rsidRPr="00EF28AA">
        <w:t xml:space="preserve">Asset Management in a </w:t>
      </w:r>
      <w:r>
        <w:t>Program Proposal</w:t>
      </w:r>
      <w:r w:rsidRPr="00EF28AA">
        <w:t xml:space="preserve"> </w:t>
      </w:r>
      <w:r>
        <w:t>form</w:t>
      </w:r>
      <w:r w:rsidRPr="00EF28AA">
        <w:t xml:space="preserve">.  </w:t>
      </w:r>
      <w:r>
        <w:t>Scope is identified based on priority, cost and overall reliability impact by a program owner.  Work orders are generated for the work to be engineered, material ordered and resources assigned based on schedule availability</w:t>
      </w:r>
      <w:r w:rsidRPr="00EF28AA">
        <w:t>.</w:t>
      </w:r>
    </w:p>
    <w:p w:rsidR="00AE554B" w:rsidRPr="00EF28AA" w:rsidRDefault="00AE554B" w:rsidP="00701DCF">
      <w:pPr>
        <w:rPr>
          <w:szCs w:val="24"/>
        </w:rPr>
      </w:pPr>
      <w:r>
        <w:rPr>
          <w:szCs w:val="24"/>
        </w:rPr>
        <w:t xml:space="preserve">The Distribution Asset Management </w:t>
      </w:r>
      <w:r w:rsidRPr="00EF28AA">
        <w:rPr>
          <w:szCs w:val="24"/>
        </w:rPr>
        <w:t>Work and Resource Planning</w:t>
      </w:r>
      <w:r>
        <w:rPr>
          <w:szCs w:val="24"/>
        </w:rPr>
        <w:t xml:space="preserve"> group</w:t>
      </w:r>
      <w:r w:rsidRPr="00EF28AA">
        <w:rPr>
          <w:szCs w:val="24"/>
        </w:rPr>
        <w:t xml:space="preserve"> is the owner of the Monitoring phase of the DOM.  The group </w:t>
      </w:r>
      <w:r w:rsidRPr="00EF28AA">
        <w:rPr>
          <w:bCs/>
          <w:szCs w:val="28"/>
        </w:rPr>
        <w:t xml:space="preserve">publishes a monthly Distribution Project </w:t>
      </w:r>
      <w:r w:rsidRPr="00EF28AA">
        <w:rPr>
          <w:bCs/>
          <w:szCs w:val="28"/>
        </w:rPr>
        <w:lastRenderedPageBreak/>
        <w:t xml:space="preserve">Management capital and expense budget report using the reporting application in </w:t>
      </w:r>
      <w:r>
        <w:rPr>
          <w:bCs/>
          <w:szCs w:val="28"/>
        </w:rPr>
        <w:t>the financial planning and modeling application.</w:t>
      </w:r>
    </w:p>
    <w:p w:rsidR="00AE554B" w:rsidRPr="00B33275" w:rsidRDefault="00AE554B" w:rsidP="00701DCF">
      <w:r>
        <w:t>Distribution Operations has also developed detailed flow charts for major processes associated with the DOM, including asset condition assessment, program needs definition, budget development, project planning, and construction.</w:t>
      </w:r>
    </w:p>
    <w:p w:rsidR="00AE554B" w:rsidRDefault="00AE554B" w:rsidP="00701DCF">
      <w:proofErr w:type="gramStart"/>
      <w:r w:rsidRPr="00584294">
        <w:rPr>
          <w:b/>
        </w:rPr>
        <w:t>Project Review Meetings</w:t>
      </w:r>
      <w:r w:rsidR="00584294" w:rsidRPr="00584294">
        <w:rPr>
          <w:b/>
        </w:rPr>
        <w:t>.</w:t>
      </w:r>
      <w:proofErr w:type="gramEnd"/>
      <w:r w:rsidR="00584294">
        <w:t xml:space="preserve">  </w:t>
      </w:r>
      <w:r w:rsidRPr="00EF28AA">
        <w:t xml:space="preserve">The Distribution Asset Management (DAM) meetings include a monthly review of plans, projects and major new customer loads and are facilitated by the Manager Work </w:t>
      </w:r>
      <w:r>
        <w:t>and</w:t>
      </w:r>
      <w:r w:rsidRPr="00EF28AA">
        <w:t xml:space="preserve"> Resource Planning.  </w:t>
      </w:r>
      <w:r>
        <w:t>T</w:t>
      </w:r>
      <w:r w:rsidRPr="00EF28AA">
        <w:t xml:space="preserve">he DAM meetings </w:t>
      </w:r>
      <w:r>
        <w:t xml:space="preserve">also </w:t>
      </w:r>
      <w:r w:rsidRPr="00EF28AA">
        <w:t xml:space="preserve">review </w:t>
      </w:r>
      <w:r>
        <w:t xml:space="preserve">any </w:t>
      </w:r>
      <w:r w:rsidRPr="00EF28AA">
        <w:t>changes to budgets and programs.</w:t>
      </w:r>
    </w:p>
    <w:p w:rsidR="00AE554B" w:rsidRDefault="00AE554B" w:rsidP="00701DCF">
      <w:pPr>
        <w:rPr>
          <w:rFonts w:cs="Arial"/>
          <w:szCs w:val="24"/>
        </w:rPr>
      </w:pPr>
      <w:r>
        <w:rPr>
          <w:rFonts w:cs="Arial"/>
          <w:szCs w:val="24"/>
        </w:rPr>
        <w:t>Representatives from Asset Management, Distribution Engineering, Work and Resource Planning, IT, and Project and Construction Management attend the DAM meetings</w:t>
      </w:r>
      <w:r w:rsidRPr="00B33275">
        <w:t>.</w:t>
      </w:r>
      <w:r>
        <w:t xml:space="preserve">  </w:t>
      </w:r>
      <w:r w:rsidRPr="00B33275">
        <w:t xml:space="preserve">Approval of completion of the activities for each gate is made by the Distribution Portfolio Governance Committee which meets as part of the monthly </w:t>
      </w:r>
      <w:r>
        <w:t xml:space="preserve">DAM meetings.  The governance committee is focused on project finances and overall budget management.  </w:t>
      </w:r>
      <w:r>
        <w:rPr>
          <w:rFonts w:cs="Arial"/>
          <w:szCs w:val="24"/>
        </w:rPr>
        <w:t>Any project going more than $50,000 or 15% over the cost estimates are reviewed for cause.</w:t>
      </w:r>
    </w:p>
    <w:p w:rsidR="00AE554B" w:rsidRDefault="00AE554B" w:rsidP="00701DCF">
      <w:pPr>
        <w:rPr>
          <w:rFonts w:cs="Arial"/>
          <w:szCs w:val="24"/>
        </w:rPr>
      </w:pPr>
      <w:r w:rsidRPr="00EF28AA">
        <w:rPr>
          <w:rFonts w:cs="Arial"/>
          <w:szCs w:val="24"/>
        </w:rPr>
        <w:t>The monthly true-up of the budget is performed after the books close on the 6</w:t>
      </w:r>
      <w:r w:rsidRPr="00EF28AA">
        <w:rPr>
          <w:rFonts w:cs="Arial"/>
          <w:szCs w:val="24"/>
          <w:vertAlign w:val="superscript"/>
        </w:rPr>
        <w:t>th</w:t>
      </w:r>
      <w:r w:rsidRPr="00EF28AA">
        <w:rPr>
          <w:rFonts w:cs="Arial"/>
          <w:szCs w:val="24"/>
        </w:rPr>
        <w:t xml:space="preserve"> day of the month.  The results are reviewed at the system level and the super region level to look at variances.  If necessary, budget dollars may be transferred from one region to another, additional program funds may be requested, or lower impact work may be deferred.  These types of changes go through the change log approval process.  A monthly Change Log report is prepared for review in the monthly DAM meetings.  The goal is to be within one percent of the budget by year end.</w:t>
      </w:r>
    </w:p>
    <w:p w:rsidR="00AE554B" w:rsidRDefault="00AE554B" w:rsidP="00584294">
      <w:pPr>
        <w:pStyle w:val="Heading40"/>
      </w:pPr>
      <w:bookmarkStart w:id="158" w:name="_Toc442617423"/>
      <w:r>
        <w:t>Performance Monitoring</w:t>
      </w:r>
      <w:bookmarkEnd w:id="158"/>
    </w:p>
    <w:p w:rsidR="00AE554B" w:rsidRDefault="00AE554B" w:rsidP="00701DCF">
      <w:pPr>
        <w:rPr>
          <w:rFonts w:cs="Arial"/>
          <w:szCs w:val="24"/>
        </w:rPr>
      </w:pPr>
      <w:r>
        <w:rPr>
          <w:rFonts w:cs="Arial"/>
          <w:szCs w:val="24"/>
        </w:rPr>
        <w:t xml:space="preserve">An effort is underway to automate data collection and reporting and to develop dashboard views of the results as part of the Distribution Operations Model efforts.  Development of metrics with a stronger focus on the project portfolio resources and dollars perspective is planned to facilitate management of the programs.  Dashboards are used to illustrate the program year to date spending versus budget.  </w:t>
      </w:r>
      <w:r w:rsidRPr="00F564AA">
        <w:rPr>
          <w:rFonts w:cs="Arial"/>
          <w:szCs w:val="24"/>
        </w:rPr>
        <w:t>Performance indicator results a</w:t>
      </w:r>
      <w:r>
        <w:rPr>
          <w:rFonts w:cs="Arial"/>
          <w:szCs w:val="24"/>
        </w:rPr>
        <w:t>re generated on a monthly basis and include expense versus budget, schedule adherence, and reliability results.  There is a job aid for each metric that details the formula, data sources, and the process to determine results.</w:t>
      </w:r>
    </w:p>
    <w:p w:rsidR="00AE554B" w:rsidRDefault="00AE554B" w:rsidP="00701DCF">
      <w:r>
        <w:t>The Distribution Operations performance monitoring program is very extensive and reports results on a monthly basis at the region level and at the individual work group level.  Approximately 21 distribution work execution metrics are maintained, including Schedule Stability and Schedule Adherence.</w:t>
      </w:r>
    </w:p>
    <w:p w:rsidR="00AE554B" w:rsidRDefault="00AE554B" w:rsidP="00584294">
      <w:pPr>
        <w:pStyle w:val="Heading40"/>
      </w:pPr>
      <w:bookmarkStart w:id="159" w:name="_Toc442617424"/>
      <w:r>
        <w:t>Planning</w:t>
      </w:r>
      <w:bookmarkEnd w:id="159"/>
    </w:p>
    <w:p w:rsidR="00AE554B" w:rsidRDefault="00AE554B" w:rsidP="00701DCF">
      <w:pPr>
        <w:rPr>
          <w:rFonts w:cs="Arial"/>
          <w:szCs w:val="24"/>
        </w:rPr>
      </w:pPr>
      <w:r>
        <w:rPr>
          <w:rFonts w:cs="Arial"/>
          <w:szCs w:val="24"/>
        </w:rPr>
        <w:t>A comprehensive distribution planning practices document establishes guidelines for the planning, reliability, and design of distribution substations, lines, and the low tension network.  The guidelines also address customer connections and distributed generation.</w:t>
      </w:r>
    </w:p>
    <w:p w:rsidR="00AE554B" w:rsidRPr="006D1B9D" w:rsidRDefault="00AE554B" w:rsidP="00701DCF">
      <w:pPr>
        <w:rPr>
          <w:rFonts w:cs="Arial"/>
          <w:szCs w:val="24"/>
        </w:rPr>
      </w:pPr>
      <w:r>
        <w:rPr>
          <w:rFonts w:cs="Arial"/>
          <w:szCs w:val="24"/>
        </w:rPr>
        <w:t xml:space="preserve">The DOM has clarified roles between Distribution Asset Management, Project &amp; Construction Management, and the region schedulers.  Electronic work package </w:t>
      </w:r>
      <w:r>
        <w:rPr>
          <w:rFonts w:cs="Arial"/>
          <w:szCs w:val="24"/>
        </w:rPr>
        <w:lastRenderedPageBreak/>
        <w:t>reviews are utilized and the change process for job redesign and scope change is in the process of being formalized.</w:t>
      </w:r>
    </w:p>
    <w:p w:rsidR="00AE554B" w:rsidRDefault="00AE554B" w:rsidP="00701DCF">
      <w:pPr>
        <w:rPr>
          <w:rFonts w:cs="Arial"/>
          <w:szCs w:val="24"/>
        </w:rPr>
      </w:pPr>
      <w:r>
        <w:rPr>
          <w:rFonts w:cs="Arial"/>
          <w:szCs w:val="24"/>
        </w:rPr>
        <w:t xml:space="preserve">Distribution Asset Management has begun using a web-based asset investment optimization tool to better prioritize program and project activity for the annual work portfolio development.  </w:t>
      </w:r>
    </w:p>
    <w:p w:rsidR="00AE554B" w:rsidRDefault="00AE554B" w:rsidP="00701DCF">
      <w:pPr>
        <w:rPr>
          <w:rFonts w:cs="Arial"/>
          <w:szCs w:val="24"/>
        </w:rPr>
      </w:pPr>
      <w:r>
        <w:rPr>
          <w:rFonts w:cs="Arial"/>
          <w:szCs w:val="24"/>
        </w:rPr>
        <w:t>Distribution Asset Management uses an internally developed planning system that captures circuit loading data, distributed generation locations, and retains notes on loads and customers for each circuit.  Power system analysis software uses the data for power flow and capacity analysis and short circuit studies based upon the electrical connectivity of the system that is maintained in the geographic information system (GIS) application.</w:t>
      </w:r>
    </w:p>
    <w:p w:rsidR="00AE554B" w:rsidRDefault="00AE554B" w:rsidP="00701DCF">
      <w:pPr>
        <w:rPr>
          <w:rFonts w:cs="Arial"/>
          <w:szCs w:val="24"/>
        </w:rPr>
      </w:pPr>
      <w:r>
        <w:rPr>
          <w:rFonts w:cs="Arial"/>
          <w:szCs w:val="24"/>
        </w:rPr>
        <w:t xml:space="preserve">The GIS connectivity model is updated automatically based on completed job designs.  The automated updates allow </w:t>
      </w:r>
      <w:r w:rsidRPr="00045FB3">
        <w:rPr>
          <w:rFonts w:cs="Arial"/>
          <w:szCs w:val="24"/>
        </w:rPr>
        <w:t xml:space="preserve">for all supporting systems such as the mobile </w:t>
      </w:r>
      <w:r>
        <w:rPr>
          <w:rFonts w:cs="Arial"/>
          <w:szCs w:val="24"/>
        </w:rPr>
        <w:t>data terminals</w:t>
      </w:r>
      <w:r w:rsidRPr="00045FB3">
        <w:rPr>
          <w:rFonts w:cs="Arial"/>
          <w:szCs w:val="24"/>
        </w:rPr>
        <w:t xml:space="preserve"> (MOMs) and</w:t>
      </w:r>
      <w:r>
        <w:rPr>
          <w:rFonts w:cs="Arial"/>
          <w:szCs w:val="24"/>
        </w:rPr>
        <w:t xml:space="preserve"> the distribution management system (DMS) system to be updated within hours of a change in the system.</w:t>
      </w:r>
    </w:p>
    <w:p w:rsidR="00AE554B" w:rsidRDefault="00AE554B" w:rsidP="00701DCF">
      <w:pPr>
        <w:rPr>
          <w:rFonts w:cs="Arial"/>
          <w:szCs w:val="24"/>
        </w:rPr>
      </w:pPr>
      <w:proofErr w:type="gramStart"/>
      <w:r w:rsidRPr="00584294">
        <w:rPr>
          <w:b/>
        </w:rPr>
        <w:t>System Additions and Maintenance Programs</w:t>
      </w:r>
      <w:r w:rsidR="00584294" w:rsidRPr="00584294">
        <w:rPr>
          <w:b/>
        </w:rPr>
        <w:t>.</w:t>
      </w:r>
      <w:proofErr w:type="gramEnd"/>
      <w:r w:rsidR="00584294">
        <w:t xml:space="preserve">  </w:t>
      </w:r>
      <w:r>
        <w:rPr>
          <w:rFonts w:cs="Arial"/>
          <w:szCs w:val="24"/>
        </w:rPr>
        <w:t>Load and voltage control studies are performed at the substation and line level.  PPL EU is a dual peaking utility with a similar peak in both the winter and summer.  The group identifies line and substation additions to meet expected loads and also develops maintenance and reliability programs on a five year horizon.  The maintenance and reliability programs are incorporated into the Long Range Infrastructure Improvement Plan and the Annual Asset Optimization Plan.  Asset health is collected on circuit breakers, transformers, and low tension network vaults via tablet and uploaded to the system.  This is an ongoing project that is expected to take until the 2017/2018 time frame to fully implement for all distribution assets.  Although condition-based maintenance is utilized in the pole inspection and treatment, underground cable injection, and circuit breaker maintenance programs most other maintenance cycles are time based.  Pole inspections are currently performed on a 10 year cycle but this program is being benchmarked with other utilities to identify additional best practices to incorporate.  A risk-based list of worst performing 12.5 kV circuit breakers has been developed for replacement due to a significant number of misoperations.  The asset management application is used to retain asset data and generate work orders.</w:t>
      </w:r>
    </w:p>
    <w:p w:rsidR="00AE554B" w:rsidRDefault="00AE554B" w:rsidP="00701DCF">
      <w:pPr>
        <w:rPr>
          <w:rFonts w:cs="Arial"/>
          <w:szCs w:val="24"/>
        </w:rPr>
      </w:pPr>
      <w:r>
        <w:rPr>
          <w:rFonts w:cs="Arial"/>
          <w:szCs w:val="24"/>
        </w:rPr>
        <w:t>There are approximately 60 repair, replacement, and reliability related programs overall that often are integrated into other line projects.  The programs are reviewed annually to assess effectiveness and identify any modifications.  The resulting individual projects are typically smaller and of shorter duration.</w:t>
      </w:r>
    </w:p>
    <w:p w:rsidR="00AE554B" w:rsidRDefault="00AE554B">
      <w:pPr>
        <w:rPr>
          <w:rFonts w:cs="Arial"/>
          <w:szCs w:val="24"/>
        </w:rPr>
      </w:pPr>
      <w:r>
        <w:rPr>
          <w:rFonts w:cs="Arial"/>
          <w:szCs w:val="24"/>
        </w:rPr>
        <w:t>The Distribution Asset Management Supervising Engineer group (Distribution Planning) performs bi-annual system reviews, after summer and winter peaks, to review the circuits for any voltage or load issues.  The worst performing circuits’ analysis is also reviewed to assess reliability trends and develop solutions.  A regional team discusses potential circuit improvements such as adding sectionalizing, fuses, and larger projects to improve performance.</w:t>
      </w:r>
      <w:r w:rsidRPr="007C4322">
        <w:rPr>
          <w:rFonts w:cs="Arial"/>
          <w:szCs w:val="24"/>
        </w:rPr>
        <w:t xml:space="preserve"> </w:t>
      </w:r>
      <w:r>
        <w:rPr>
          <w:rFonts w:cs="Arial"/>
          <w:szCs w:val="24"/>
        </w:rPr>
        <w:t xml:space="preserve"> The group also receives new customer loads to review.</w:t>
      </w:r>
    </w:p>
    <w:p w:rsidR="00AE554B" w:rsidRDefault="00AE554B" w:rsidP="00701DCF">
      <w:pPr>
        <w:rPr>
          <w:rFonts w:cs="Arial"/>
          <w:szCs w:val="24"/>
        </w:rPr>
      </w:pPr>
      <w:proofErr w:type="gramStart"/>
      <w:r w:rsidRPr="00584294">
        <w:rPr>
          <w:b/>
        </w:rPr>
        <w:lastRenderedPageBreak/>
        <w:t>Long Term Infrastructure Improvement Plan</w:t>
      </w:r>
      <w:r w:rsidR="00584294" w:rsidRPr="00584294">
        <w:rPr>
          <w:b/>
        </w:rPr>
        <w:t>.</w:t>
      </w:r>
      <w:proofErr w:type="gramEnd"/>
      <w:r w:rsidR="00584294">
        <w:t xml:space="preserve">  </w:t>
      </w:r>
      <w:r>
        <w:rPr>
          <w:rFonts w:cs="Arial"/>
          <w:szCs w:val="24"/>
        </w:rPr>
        <w:t>The projects and programs identified by Distribution Asset Management are included in the Long Term Infrastructure Improvement Plan (LTIIP) that the Work and Resource Planning group prepares.  The LTIIP was submitted to the PA PUC in 2012 for implementation of the Distribution System Improvement Charge (DSIC) and identifies a five year program of capital initiatives for improving the reliability and performance of the system.  The plan consists of five program elements with 32 program initiatives.  The program elements cover:</w:t>
      </w:r>
    </w:p>
    <w:p w:rsidR="00AE554B" w:rsidRDefault="00AE554B" w:rsidP="00701DCF">
      <w:pPr>
        <w:pStyle w:val="Bullet"/>
      </w:pPr>
      <w:r w:rsidRPr="0063155A">
        <w:t>Asset Optimization Strategy (AOS)</w:t>
      </w:r>
    </w:p>
    <w:p w:rsidR="00AE554B" w:rsidRDefault="00AE554B" w:rsidP="00701DCF">
      <w:pPr>
        <w:pStyle w:val="Bullet"/>
      </w:pPr>
      <w:r>
        <w:t xml:space="preserve">Improve System Reliability.  </w:t>
      </w:r>
      <w:r>
        <w:rPr>
          <w:rFonts w:cs="Arial"/>
        </w:rPr>
        <w:t>I</w:t>
      </w:r>
      <w:r w:rsidRPr="00C334A7">
        <w:rPr>
          <w:rFonts w:cs="Arial"/>
        </w:rPr>
        <w:t>ncludes funding for the identification and remedy of deteriorated, obsolete, or failed equipment</w:t>
      </w:r>
      <w:r>
        <w:rPr>
          <w:rFonts w:cs="Arial"/>
        </w:rPr>
        <w:t>.</w:t>
      </w:r>
    </w:p>
    <w:p w:rsidR="00AE554B" w:rsidRDefault="00AE554B" w:rsidP="00701DCF">
      <w:pPr>
        <w:pStyle w:val="Bullet"/>
      </w:pPr>
      <w:r>
        <w:t>Smart Grid Investment</w:t>
      </w:r>
    </w:p>
    <w:p w:rsidR="00AE554B" w:rsidRDefault="00AE554B" w:rsidP="00701DCF">
      <w:pPr>
        <w:pStyle w:val="Bullet"/>
      </w:pPr>
      <w:r>
        <w:t>Maintain System Reliability.  In</w:t>
      </w:r>
      <w:r w:rsidRPr="00C334A7">
        <w:rPr>
          <w:rFonts w:cs="Arial"/>
        </w:rPr>
        <w:t>cludes maintenance, engineering, and technology initiatives and programs to improve system reliability performance</w:t>
      </w:r>
      <w:r>
        <w:rPr>
          <w:rFonts w:cs="Arial"/>
        </w:rPr>
        <w:t>.</w:t>
      </w:r>
    </w:p>
    <w:p w:rsidR="00AE554B" w:rsidRDefault="00AE554B" w:rsidP="00701DCF">
      <w:pPr>
        <w:pStyle w:val="Bullet"/>
      </w:pPr>
      <w:r>
        <w:t>Unreimbursed Highway Relocations (PennDOT)</w:t>
      </w:r>
    </w:p>
    <w:p w:rsidR="00AE554B" w:rsidRPr="0063155A" w:rsidRDefault="00AE554B" w:rsidP="00701DCF">
      <w:proofErr w:type="gramStart"/>
      <w:r w:rsidRPr="00584294">
        <w:rPr>
          <w:b/>
        </w:rPr>
        <w:t>Asset Optimization Strategy</w:t>
      </w:r>
      <w:r w:rsidR="00584294" w:rsidRPr="00584294">
        <w:rPr>
          <w:b/>
        </w:rPr>
        <w:t>.</w:t>
      </w:r>
      <w:proofErr w:type="gramEnd"/>
      <w:r w:rsidR="00584294">
        <w:t xml:space="preserve">  </w:t>
      </w:r>
      <w:r>
        <w:t xml:space="preserve">The </w:t>
      </w:r>
      <w:r w:rsidRPr="0063155A">
        <w:t>Asset Optimization Strategy (AOS) includes funding to replace infrastructure that has reached the end of its useful life including deteriorated transformers, 12</w:t>
      </w:r>
      <w:r>
        <w:t xml:space="preserve"> </w:t>
      </w:r>
      <w:r w:rsidRPr="0063155A">
        <w:t xml:space="preserve">kV interrupting </w:t>
      </w:r>
      <w:r w:rsidRPr="006A055E">
        <w:t>devices, deteriorated copper-weld and copper distribution circuits, and equipment pro</w:t>
      </w:r>
      <w:r w:rsidRPr="0063155A">
        <w:t xml:space="preserve">tection and control devices.  </w:t>
      </w:r>
      <w:r>
        <w:t xml:space="preserve">The </w:t>
      </w:r>
      <w:r w:rsidRPr="0063155A">
        <w:t>AOS funding target</w:t>
      </w:r>
      <w:r>
        <w:t>s</w:t>
      </w:r>
      <w:r w:rsidRPr="0063155A">
        <w:t xml:space="preserve"> aging infrastructure based on equipment condition analysis studies to ensure continued reliabl</w:t>
      </w:r>
      <w:r>
        <w:t>e</w:t>
      </w:r>
      <w:r w:rsidRPr="0063155A">
        <w:t xml:space="preserve"> performance for customers.</w:t>
      </w:r>
    </w:p>
    <w:p w:rsidR="00AE554B" w:rsidRDefault="00AE554B" w:rsidP="00701DCF">
      <w:pPr>
        <w:rPr>
          <w:rFonts w:cs="Arial"/>
          <w:szCs w:val="24"/>
        </w:rPr>
      </w:pPr>
      <w:proofErr w:type="gramStart"/>
      <w:r w:rsidRPr="00584294">
        <w:rPr>
          <w:b/>
        </w:rPr>
        <w:t>Asset Optimization Plan</w:t>
      </w:r>
      <w:r w:rsidR="00584294" w:rsidRPr="00584294">
        <w:rPr>
          <w:b/>
        </w:rPr>
        <w:t>.</w:t>
      </w:r>
      <w:proofErr w:type="gramEnd"/>
      <w:r w:rsidR="00584294">
        <w:t xml:space="preserve">  </w:t>
      </w:r>
      <w:r w:rsidRPr="00807307">
        <w:rPr>
          <w:rFonts w:cs="Arial"/>
          <w:szCs w:val="24"/>
        </w:rPr>
        <w:t xml:space="preserve">The Annual Asset Optimization Plan (AOP) is filed annually with the PA PUC and provides a summary of the past twelve months activity and spending on the 32 initiatives in </w:t>
      </w:r>
      <w:r>
        <w:rPr>
          <w:rFonts w:cs="Arial"/>
          <w:szCs w:val="24"/>
        </w:rPr>
        <w:t xml:space="preserve">the LTIIP </w:t>
      </w:r>
      <w:r w:rsidRPr="00807307">
        <w:rPr>
          <w:rFonts w:cs="Arial"/>
          <w:szCs w:val="24"/>
        </w:rPr>
        <w:t>and the planned spending for</w:t>
      </w:r>
      <w:r>
        <w:rPr>
          <w:rFonts w:cs="Arial"/>
          <w:szCs w:val="24"/>
        </w:rPr>
        <w:t xml:space="preserve"> the next twelve months.</w:t>
      </w:r>
    </w:p>
    <w:p w:rsidR="00AE554B" w:rsidRPr="00492242" w:rsidRDefault="00AE554B" w:rsidP="00701DCF">
      <w:pPr>
        <w:rPr>
          <w:rFonts w:cs="Arial"/>
          <w:szCs w:val="24"/>
        </w:rPr>
      </w:pPr>
      <w:proofErr w:type="gramStart"/>
      <w:r w:rsidRPr="00584294">
        <w:rPr>
          <w:b/>
        </w:rPr>
        <w:t>Project Development</w:t>
      </w:r>
      <w:r w:rsidR="00584294" w:rsidRPr="00584294">
        <w:rPr>
          <w:b/>
        </w:rPr>
        <w:t>.</w:t>
      </w:r>
      <w:proofErr w:type="gramEnd"/>
      <w:r w:rsidR="00584294">
        <w:t xml:space="preserve">  </w:t>
      </w:r>
      <w:r>
        <w:rPr>
          <w:rFonts w:cs="Arial"/>
          <w:szCs w:val="24"/>
        </w:rPr>
        <w:t>The projects and programs developed by the Distribution Asset Management Supervising Engineer group (Distribution Planning) and the Distribution Asset Investment Strategy group that are approved for design (Gate 0) are forwarded to the project managers (and engineering) or region schedulers for entry into the project scheduling system, engineering design, and construction.</w:t>
      </w:r>
    </w:p>
    <w:p w:rsidR="00AE554B" w:rsidRDefault="00AE554B" w:rsidP="00701DCF">
      <w:pPr>
        <w:rPr>
          <w:rFonts w:cs="Arial"/>
          <w:szCs w:val="24"/>
        </w:rPr>
      </w:pPr>
      <w:r>
        <w:rPr>
          <w:rFonts w:cs="Arial"/>
          <w:szCs w:val="24"/>
        </w:rPr>
        <w:t xml:space="preserve">The </w:t>
      </w:r>
      <w:r w:rsidRPr="00B5528A">
        <w:rPr>
          <w:rFonts w:cs="Arial"/>
          <w:szCs w:val="24"/>
        </w:rPr>
        <w:t xml:space="preserve">Work </w:t>
      </w:r>
      <w:r>
        <w:rPr>
          <w:rFonts w:cs="Arial"/>
          <w:szCs w:val="24"/>
        </w:rPr>
        <w:t>and</w:t>
      </w:r>
      <w:r w:rsidRPr="00B5528A">
        <w:rPr>
          <w:rFonts w:cs="Arial"/>
          <w:szCs w:val="24"/>
        </w:rPr>
        <w:t xml:space="preserve"> Resource Planning</w:t>
      </w:r>
      <w:r>
        <w:rPr>
          <w:rFonts w:cs="Arial"/>
          <w:szCs w:val="24"/>
        </w:rPr>
        <w:t xml:space="preserve"> analysts meet with the planners in each of the six regions to develop the plan and forecast resource needs.  The group also monitors the direct spend activity which consists primarily of planned maintenance activities.  The group will initiate teams to analyze costs and identify potential cost savings.  The analysts conduct monthly meetings to review the resource plans and update the schedule in the project scheduling application as necessary.</w:t>
      </w:r>
    </w:p>
    <w:p w:rsidR="00AE554B" w:rsidRDefault="00AE554B" w:rsidP="00584294">
      <w:pPr>
        <w:pStyle w:val="Heading40"/>
      </w:pPr>
      <w:r>
        <w:t>Failure Analysis</w:t>
      </w:r>
    </w:p>
    <w:p w:rsidR="00AE554B" w:rsidRPr="009961A7" w:rsidRDefault="00AE554B" w:rsidP="00701DCF">
      <w:pPr>
        <w:rPr>
          <w:rFonts w:cs="Arial"/>
          <w:szCs w:val="24"/>
        </w:rPr>
      </w:pPr>
      <w:r>
        <w:rPr>
          <w:szCs w:val="24"/>
        </w:rPr>
        <w:t>PPL EU</w:t>
      </w:r>
      <w:r w:rsidRPr="009961A7">
        <w:rPr>
          <w:szCs w:val="24"/>
        </w:rPr>
        <w:t xml:space="preserve"> utilizes an </w:t>
      </w:r>
      <w:r>
        <w:rPr>
          <w:szCs w:val="24"/>
        </w:rPr>
        <w:t>Equipment Failure Reporting</w:t>
      </w:r>
      <w:r w:rsidRPr="009961A7">
        <w:rPr>
          <w:szCs w:val="24"/>
        </w:rPr>
        <w:t xml:space="preserve"> (EFR) procedure</w:t>
      </w:r>
      <w:r>
        <w:rPr>
          <w:szCs w:val="24"/>
        </w:rPr>
        <w:t xml:space="preserve"> for conducting fo</w:t>
      </w:r>
      <w:r w:rsidRPr="009961A7">
        <w:rPr>
          <w:szCs w:val="24"/>
        </w:rPr>
        <w:t>rensic analysis on failed equipment</w:t>
      </w:r>
      <w:r>
        <w:rPr>
          <w:szCs w:val="24"/>
        </w:rPr>
        <w:t xml:space="preserve">.  Field crews return failed equipment to the material handlers with an information tag.  Major equipment such as transformers, circuit breakers, reclosers, capacitors, and switches, are forwarded to the central warehouse for investigation and analysis by Distribution Design and Standards.  Smaller items will typically be sent directly to Distribution Design and Standards for analysis.  Field crews may also submit other line equipment such as connectors, </w:t>
      </w:r>
      <w:r>
        <w:rPr>
          <w:szCs w:val="24"/>
        </w:rPr>
        <w:lastRenderedPageBreak/>
        <w:t>splices, fused cut-outs, fault indicators, and insulators for analysis if the failure was abnormal.  The results are</w:t>
      </w:r>
      <w:r w:rsidRPr="009961A7">
        <w:rPr>
          <w:szCs w:val="24"/>
        </w:rPr>
        <w:t xml:space="preserve"> used to adjust standards or provide recommendations to </w:t>
      </w:r>
      <w:r>
        <w:rPr>
          <w:szCs w:val="24"/>
        </w:rPr>
        <w:t xml:space="preserve">Distribution </w:t>
      </w:r>
      <w:r w:rsidRPr="009961A7">
        <w:rPr>
          <w:szCs w:val="24"/>
        </w:rPr>
        <w:t xml:space="preserve">Asset </w:t>
      </w:r>
      <w:r>
        <w:rPr>
          <w:szCs w:val="24"/>
        </w:rPr>
        <w:t>Management</w:t>
      </w:r>
      <w:r w:rsidRPr="009961A7">
        <w:rPr>
          <w:szCs w:val="24"/>
        </w:rPr>
        <w:t xml:space="preserve"> for maintenance or replacement activities.  All EFR results are reviewed by the appropriate functional area Vice President (VP).  The VP may forward the results of an investigation to the Operations Management Review Committee (MRC).  The “MRC review is </w:t>
      </w:r>
      <w:r w:rsidRPr="009961A7">
        <w:rPr>
          <w:color w:val="000000"/>
          <w:szCs w:val="24"/>
        </w:rPr>
        <w:t>intended to provide management oversight of significant EU safety, operating, or business related events to ensure actions to prevent recurrence are identified and supported to prevent repeat events.</w:t>
      </w:r>
      <w:r>
        <w:rPr>
          <w:color w:val="000000"/>
          <w:szCs w:val="24"/>
        </w:rPr>
        <w:t>”</w:t>
      </w:r>
    </w:p>
    <w:p w:rsidR="00AE554B" w:rsidRDefault="00AE554B" w:rsidP="00701DCF">
      <w:pPr>
        <w:rPr>
          <w:rFonts w:cs="Arial"/>
          <w:szCs w:val="24"/>
        </w:rPr>
      </w:pPr>
      <w:r w:rsidRPr="00DA6775">
        <w:rPr>
          <w:rFonts w:cs="Arial"/>
          <w:szCs w:val="24"/>
        </w:rPr>
        <w:t xml:space="preserve">The </w:t>
      </w:r>
      <w:r w:rsidRPr="00DA6775">
        <w:rPr>
          <w:rFonts w:cs="Arial"/>
        </w:rPr>
        <w:t>Corporate Corrective Action Tracking System</w:t>
      </w:r>
      <w:r w:rsidRPr="00DA6775">
        <w:rPr>
          <w:rFonts w:cs="Arial"/>
          <w:szCs w:val="24"/>
        </w:rPr>
        <w:t xml:space="preserve"> </w:t>
      </w:r>
      <w:r>
        <w:rPr>
          <w:rFonts w:cs="Arial"/>
          <w:szCs w:val="24"/>
        </w:rPr>
        <w:t xml:space="preserve">(CCATs) </w:t>
      </w:r>
      <w:r w:rsidRPr="00DA6775">
        <w:rPr>
          <w:rFonts w:cs="Arial"/>
          <w:szCs w:val="24"/>
        </w:rPr>
        <w:t xml:space="preserve">is used to document and track the review, analysis, and recommendations or corrective action </w:t>
      </w:r>
      <w:r>
        <w:rPr>
          <w:rFonts w:cs="Arial"/>
          <w:szCs w:val="24"/>
        </w:rPr>
        <w:t>for EFRs and is</w:t>
      </w:r>
      <w:r w:rsidRPr="00DA6775">
        <w:rPr>
          <w:rFonts w:cs="Arial"/>
          <w:szCs w:val="24"/>
        </w:rPr>
        <w:t xml:space="preserve"> led by the </w:t>
      </w:r>
      <w:r>
        <w:rPr>
          <w:rFonts w:cs="Arial"/>
          <w:szCs w:val="24"/>
        </w:rPr>
        <w:t xml:space="preserve">assigned </w:t>
      </w:r>
      <w:r w:rsidRPr="00DA6775">
        <w:rPr>
          <w:rFonts w:cs="Arial"/>
        </w:rPr>
        <w:t>Corrective Action Program Coordinator</w:t>
      </w:r>
      <w:r>
        <w:rPr>
          <w:rFonts w:cs="Arial"/>
        </w:rPr>
        <w:t xml:space="preserve"> as established in the EU Corrective Action Program</w:t>
      </w:r>
      <w:r w:rsidRPr="00DA6775">
        <w:rPr>
          <w:rFonts w:cs="Arial"/>
          <w:szCs w:val="24"/>
        </w:rPr>
        <w:t>.</w:t>
      </w:r>
      <w:r>
        <w:rPr>
          <w:rFonts w:cs="Arial"/>
          <w:szCs w:val="24"/>
        </w:rPr>
        <w:t xml:space="preserve">  Tools are also provided to select an appropriate investigation type and analysis procedures.  Approximately 120 employees are trained in root cause analysis across the organization including engineers, technicians, analysts, linemen, field supervisors, and managers.</w:t>
      </w:r>
    </w:p>
    <w:p w:rsidR="00AE554B" w:rsidRDefault="00AE554B" w:rsidP="00584294">
      <w:pPr>
        <w:pStyle w:val="Heading40"/>
      </w:pPr>
      <w:r>
        <w:t>GIS System</w:t>
      </w:r>
    </w:p>
    <w:p w:rsidR="00AE554B" w:rsidRDefault="00AE554B" w:rsidP="00701DCF">
      <w:pPr>
        <w:rPr>
          <w:rFonts w:cs="Arial"/>
          <w:szCs w:val="24"/>
        </w:rPr>
      </w:pPr>
      <w:r>
        <w:rPr>
          <w:rFonts w:cs="Arial"/>
          <w:szCs w:val="24"/>
        </w:rPr>
        <w:t>The GIS system, also called the Electric Facilities Database, was populated in the early 2000s from hard copy records and best guesses were used to place the assets on the land base.  The original land base was developed from Mylar maps and is not precisely geospatially accurate.  The Mylar maps were also used to establish the grid numbering system so there are inaccuracies in specific asset locations.  Geospatial accuracy has improved since then by utilizing GPS data collected from inspections, maintenance, and construction activity.  Transmission assets are probably within one meter while distribution assets are significantly less accurate.  It is expected that there will be enough GPS data collected by 2017 to significantly improve the accuracy of key distribution asset locations.  PPL plans to execute an IT project during 2016 that will accurately map the location of all Distribution assets with a high degree of accuracy and incorporate a land base that exactly matches the locations of geographic features like lakes and streams.  The connectivity model is accurate from the customer meter to the substation since this level of connectivity is required for the automated meter reading (AMR) system currently in use.</w:t>
      </w:r>
    </w:p>
    <w:p w:rsidR="00AE554B" w:rsidRPr="00E96FD9" w:rsidRDefault="00AE554B" w:rsidP="00584294">
      <w:pPr>
        <w:pStyle w:val="Heading40"/>
      </w:pPr>
      <w:r w:rsidRPr="00E96FD9">
        <w:t>Smart Grid</w:t>
      </w:r>
    </w:p>
    <w:p w:rsidR="00AE554B" w:rsidRDefault="00AE554B" w:rsidP="00701DCF">
      <w:pPr>
        <w:rPr>
          <w:rFonts w:cs="Arial"/>
          <w:szCs w:val="24"/>
        </w:rPr>
      </w:pPr>
      <w:r w:rsidRPr="00847199">
        <w:rPr>
          <w:rFonts w:cs="Arial"/>
          <w:szCs w:val="24"/>
          <w:shd w:val="clear" w:color="auto" w:fill="FFFFFF"/>
        </w:rPr>
        <w:t xml:space="preserve">PPL </w:t>
      </w:r>
      <w:r>
        <w:rPr>
          <w:rFonts w:cs="Arial"/>
          <w:szCs w:val="24"/>
          <w:shd w:val="clear" w:color="auto" w:fill="FFFFFF"/>
        </w:rPr>
        <w:t xml:space="preserve">EU </w:t>
      </w:r>
      <w:r w:rsidRPr="00847199">
        <w:rPr>
          <w:rFonts w:cs="Arial"/>
          <w:szCs w:val="24"/>
          <w:shd w:val="clear" w:color="auto" w:fill="FFFFFF"/>
        </w:rPr>
        <w:t>began implementing Smart Grid technologies in 2010</w:t>
      </w:r>
      <w:r>
        <w:rPr>
          <w:rFonts w:cs="Arial"/>
          <w:szCs w:val="24"/>
          <w:shd w:val="clear" w:color="auto" w:fill="FFFFFF"/>
        </w:rPr>
        <w:t xml:space="preserve">.  </w:t>
      </w:r>
      <w:r w:rsidRPr="00847199">
        <w:rPr>
          <w:rFonts w:cs="Arial"/>
          <w:szCs w:val="24"/>
          <w:shd w:val="clear" w:color="auto" w:fill="FFFFFF"/>
        </w:rPr>
        <w:t xml:space="preserve">Smart </w:t>
      </w:r>
      <w:r>
        <w:rPr>
          <w:rFonts w:cs="Arial"/>
          <w:szCs w:val="24"/>
          <w:shd w:val="clear" w:color="auto" w:fill="FFFFFF"/>
        </w:rPr>
        <w:t>G</w:t>
      </w:r>
      <w:r w:rsidRPr="00847199">
        <w:rPr>
          <w:rFonts w:cs="Arial"/>
          <w:szCs w:val="24"/>
          <w:shd w:val="clear" w:color="auto" w:fill="FFFFFF"/>
        </w:rPr>
        <w:t xml:space="preserve">rid generally refers </w:t>
      </w:r>
      <w:r>
        <w:rPr>
          <w:rFonts w:cs="Arial"/>
          <w:szCs w:val="24"/>
          <w:shd w:val="clear" w:color="auto" w:fill="FFFFFF"/>
        </w:rPr>
        <w:t>implementation of</w:t>
      </w:r>
      <w:r w:rsidRPr="00847199">
        <w:rPr>
          <w:rFonts w:cs="Arial"/>
          <w:szCs w:val="24"/>
          <w:shd w:val="clear" w:color="auto" w:fill="FFFFFF"/>
        </w:rPr>
        <w:t xml:space="preserve"> technology </w:t>
      </w:r>
      <w:r>
        <w:rPr>
          <w:rFonts w:cs="Arial"/>
          <w:szCs w:val="24"/>
          <w:shd w:val="clear" w:color="auto" w:fill="FFFFFF"/>
        </w:rPr>
        <w:t xml:space="preserve">to enable </w:t>
      </w:r>
      <w:r w:rsidRPr="00847199">
        <w:rPr>
          <w:rFonts w:cs="Arial"/>
          <w:szCs w:val="24"/>
          <w:shd w:val="clear" w:color="auto" w:fill="FFFFFF"/>
        </w:rPr>
        <w:t xml:space="preserve">computer-based remote control and automation. </w:t>
      </w:r>
      <w:r>
        <w:rPr>
          <w:rFonts w:cs="Arial"/>
          <w:szCs w:val="24"/>
          <w:shd w:val="clear" w:color="auto" w:fill="FFFFFF"/>
        </w:rPr>
        <w:t xml:space="preserve"> </w:t>
      </w:r>
      <w:r w:rsidRPr="00847199">
        <w:rPr>
          <w:rFonts w:cs="Arial"/>
          <w:szCs w:val="24"/>
          <w:shd w:val="clear" w:color="auto" w:fill="FFFFFF"/>
        </w:rPr>
        <w:t xml:space="preserve">These systems are made possible by two-way communication technology and computer processing. </w:t>
      </w:r>
      <w:r>
        <w:rPr>
          <w:rFonts w:cs="Arial"/>
          <w:szCs w:val="24"/>
          <w:shd w:val="clear" w:color="auto" w:fill="FFFFFF"/>
        </w:rPr>
        <w:t xml:space="preserve">  The initial PPL EU project involved the installation of line sensors, reclosers, and capacitor banks that were capable of communicating to a central location.  A new Distribution Management System (DMS) was installed at the Distribution Control Center to communicate with the remote devices, provide voltage and fault data, and enable remote control of switches, reclosers, and capacitor banks.  </w:t>
      </w:r>
      <w:r>
        <w:rPr>
          <w:rFonts w:cs="Arial"/>
          <w:szCs w:val="24"/>
        </w:rPr>
        <w:t xml:space="preserve">The third component of the Smart Grid program is a secure communications system to connect the deployed devices with the DMS.  As of 2015 approximately 3,500 smart devices have been installed on the electric distribution system with about 700 installed during 2015.  </w:t>
      </w:r>
      <w:r>
        <w:rPr>
          <w:rFonts w:cs="Arial"/>
          <w:szCs w:val="24"/>
          <w:shd w:val="clear" w:color="auto" w:fill="FFFFFF"/>
        </w:rPr>
        <w:t xml:space="preserve">These smart devices will enable PPL EU </w:t>
      </w:r>
      <w:r w:rsidRPr="00847199">
        <w:rPr>
          <w:rFonts w:cs="Arial"/>
          <w:szCs w:val="24"/>
        </w:rPr>
        <w:t xml:space="preserve">to move power more efficiently, </w:t>
      </w:r>
      <w:r w:rsidRPr="00847199">
        <w:rPr>
          <w:rFonts w:cs="Arial"/>
          <w:szCs w:val="24"/>
        </w:rPr>
        <w:lastRenderedPageBreak/>
        <w:t>react instantaneously to changes on the delivery system, and automatically re-route power around problems that occur.</w:t>
      </w:r>
      <w:r w:rsidRPr="00440B39">
        <w:t xml:space="preserve"> </w:t>
      </w:r>
      <w:r w:rsidRPr="00847199">
        <w:rPr>
          <w:rFonts w:cs="Arial"/>
          <w:szCs w:val="24"/>
        </w:rPr>
        <w:t xml:space="preserve"> </w:t>
      </w:r>
      <w:r>
        <w:rPr>
          <w:rFonts w:cs="Arial"/>
          <w:szCs w:val="24"/>
        </w:rPr>
        <w:t xml:space="preserve"> </w:t>
      </w:r>
    </w:p>
    <w:p w:rsidR="00AE554B" w:rsidRPr="00847199" w:rsidRDefault="00AE554B" w:rsidP="00701DCF">
      <w:pPr>
        <w:rPr>
          <w:rFonts w:cs="Arial"/>
          <w:szCs w:val="24"/>
        </w:rPr>
      </w:pPr>
      <w:r w:rsidRPr="00847199">
        <w:rPr>
          <w:rFonts w:cs="Arial"/>
          <w:szCs w:val="24"/>
        </w:rPr>
        <w:t xml:space="preserve">The </w:t>
      </w:r>
      <w:r>
        <w:rPr>
          <w:rFonts w:cs="Arial"/>
          <w:szCs w:val="24"/>
        </w:rPr>
        <w:t>benefit will be a distribution system that can be operated more efficiently, rapidly recognize and report problems, and restore service to some or all customers impacted by an outage more rapidly.</w:t>
      </w:r>
    </w:p>
    <w:p w:rsidR="00AE554B" w:rsidRDefault="00AE554B" w:rsidP="00701DCF">
      <w:pPr>
        <w:rPr>
          <w:rFonts w:cs="Arial"/>
          <w:szCs w:val="24"/>
        </w:rPr>
      </w:pPr>
      <w:r>
        <w:rPr>
          <w:rFonts w:cs="Arial"/>
          <w:szCs w:val="24"/>
        </w:rPr>
        <w:t>The smart devices being installed in the system include microprocessor-based distribution circuit protection systems, intelligent vacuum reclosers, and remotely operable capacitor banks.</w:t>
      </w:r>
    </w:p>
    <w:p w:rsidR="00AE554B" w:rsidRDefault="00AE554B" w:rsidP="00701DCF">
      <w:pPr>
        <w:rPr>
          <w:rFonts w:cs="Arial"/>
          <w:szCs w:val="24"/>
        </w:rPr>
      </w:pPr>
      <w:r>
        <w:rPr>
          <w:rFonts w:cs="Arial"/>
          <w:szCs w:val="24"/>
        </w:rPr>
        <w:t xml:space="preserve">The Distribution </w:t>
      </w:r>
      <w:r w:rsidRPr="00A548DF">
        <w:rPr>
          <w:rFonts w:cs="Arial"/>
          <w:szCs w:val="24"/>
        </w:rPr>
        <w:t xml:space="preserve">Automation </w:t>
      </w:r>
      <w:r>
        <w:rPr>
          <w:rFonts w:cs="Arial"/>
          <w:szCs w:val="24"/>
        </w:rPr>
        <w:t>team includes an engineer and five contractors that work with Distribution System Operations and Protection and Controls on implementation of the automation plan.  The smart grid communications network will also be explored for potential use in automation device communications.</w:t>
      </w:r>
    </w:p>
    <w:p w:rsidR="00AE554B" w:rsidRDefault="00AE554B" w:rsidP="00701DCF">
      <w:pPr>
        <w:rPr>
          <w:rFonts w:cs="Arial"/>
          <w:szCs w:val="24"/>
        </w:rPr>
      </w:pPr>
      <w:r>
        <w:rPr>
          <w:rFonts w:cs="Arial"/>
          <w:szCs w:val="24"/>
        </w:rPr>
        <w:t>Automated sectionalizing, using the vacuum reclosers, is being added to the distribution circuits to more quickly isolate faulted sections and reduce customer outage times.  This project is led by Distribution Asset Management with a criterion of approximately 500 customers between protective devices.  Installations began in November 2014 and the automation feature was activated on 16 circuits in a pilot test of the control scheme in August 2015.  Ten more circuits were activated and added to the pilot in September 2015.  The first outage on a circuit with the automated line sectionalizing occurred October 28, 2015.  The automated scheme restored service to about 25% of the affected customers within six minutes.  This saved about 15 to 20 minutes of time that it would have taken for the distribution system operator to identify and initiate bypass switching.  The automated fault isolation and restoration functionality is expected to be enabled across the system on approximately 1,200 distribution circuits by mid-year 2016.</w:t>
      </w:r>
    </w:p>
    <w:p w:rsidR="00AE554B" w:rsidRDefault="00AE554B" w:rsidP="00701DCF">
      <w:pPr>
        <w:rPr>
          <w:rFonts w:cs="Arial"/>
          <w:szCs w:val="24"/>
        </w:rPr>
      </w:pPr>
      <w:r>
        <w:rPr>
          <w:rFonts w:cs="Arial"/>
          <w:szCs w:val="24"/>
        </w:rPr>
        <w:t>Capacitor banks installed along the distribution lines for voltage control are being connected to the DMS to allow for more efficient operation of power delivery.  Line sensors at these locations and other smart device locations also report line voltage to the DMS.</w:t>
      </w:r>
    </w:p>
    <w:p w:rsidR="00AE554B" w:rsidRDefault="00AE554B" w:rsidP="00701DCF">
      <w:pPr>
        <w:rPr>
          <w:rFonts w:cs="Arial"/>
          <w:szCs w:val="24"/>
        </w:rPr>
      </w:pPr>
      <w:r>
        <w:rPr>
          <w:rFonts w:cs="Arial"/>
          <w:szCs w:val="24"/>
        </w:rPr>
        <w:t>The distribution circuit protection installed at the substations is also being upgraded with microprocessor-based protection systems that enable more advanced fault identification and fault clearing logic in addition to real-time connectivity back to the DMS system.</w:t>
      </w:r>
    </w:p>
    <w:p w:rsidR="00AE554B" w:rsidRPr="006D1B9D" w:rsidRDefault="00AE554B" w:rsidP="00701DCF">
      <w:pPr>
        <w:rPr>
          <w:rFonts w:cs="Arial"/>
          <w:szCs w:val="24"/>
        </w:rPr>
      </w:pPr>
      <w:r>
        <w:rPr>
          <w:rFonts w:cs="Arial"/>
          <w:szCs w:val="24"/>
        </w:rPr>
        <w:t>The Manager of Distribution Design &amp; Standards is chair of Smart Grid meetings which include a review of smart grid projects and the coordination of technology with needs for reliability and service to the customers.  The group meets every other month to explore issues, opportunities, and assign resources to explore promising ideas further.  The group is composed of 15 to 20 people and includes representatives from asset management, engineering, standards, project management, operations, information technology, and individual contributors involved in the smart grid program.</w:t>
      </w:r>
    </w:p>
    <w:p w:rsidR="00AE554B" w:rsidRPr="00BF5A05" w:rsidRDefault="00AE554B" w:rsidP="00584294">
      <w:pPr>
        <w:pStyle w:val="Heading40"/>
      </w:pPr>
      <w:bookmarkStart w:id="160" w:name="_Toc442617426"/>
      <w:r w:rsidRPr="00BF5A05">
        <w:t>Project Management</w:t>
      </w:r>
      <w:bookmarkEnd w:id="160"/>
    </w:p>
    <w:p w:rsidR="00AE554B" w:rsidRPr="00BF5A05" w:rsidRDefault="00AE554B" w:rsidP="00701DCF">
      <w:pPr>
        <w:rPr>
          <w:rFonts w:cs="Arial"/>
          <w:szCs w:val="24"/>
        </w:rPr>
      </w:pPr>
      <w:r w:rsidRPr="00BF5A05">
        <w:rPr>
          <w:rFonts w:cs="Arial"/>
          <w:szCs w:val="24"/>
        </w:rPr>
        <w:t xml:space="preserve">The asset management application is used for work order management, asset tracking, and supply chain functions.  The project scheduling and resource management </w:t>
      </w:r>
      <w:r w:rsidRPr="00BF5A05">
        <w:rPr>
          <w:rFonts w:cs="Arial"/>
          <w:szCs w:val="24"/>
        </w:rPr>
        <w:lastRenderedPageBreak/>
        <w:t>application is used by Distribution Project and Construction Management and the region schedulers to schedule and manage the work.</w:t>
      </w:r>
    </w:p>
    <w:p w:rsidR="00AE554B" w:rsidRPr="00BF5A05" w:rsidRDefault="00AE554B" w:rsidP="00701DCF">
      <w:pPr>
        <w:rPr>
          <w:rFonts w:cs="Arial"/>
          <w:szCs w:val="24"/>
        </w:rPr>
      </w:pPr>
      <w:r w:rsidRPr="00BF5A05">
        <w:rPr>
          <w:rFonts w:cs="Arial"/>
          <w:szCs w:val="24"/>
        </w:rPr>
        <w:t>The planned jobs originate in Distribution Asset Management and are assigned to the regions.  Smaller jobs go directly to the regions for scheduling and construction.  Regional jobs constructed by in-house resources are managed by the regions.  These smaller jobs, such as installing services for new customers, do not go through the DOM process.  Larger, more complex or sensitive jobs go to Project and Construction Management for project coordination.</w:t>
      </w:r>
      <w:r w:rsidRPr="00440B39">
        <w:t xml:space="preserve"> </w:t>
      </w:r>
    </w:p>
    <w:p w:rsidR="00AE554B" w:rsidRPr="00BF5A05" w:rsidRDefault="00AE554B" w:rsidP="00701DCF">
      <w:pPr>
        <w:rPr>
          <w:rFonts w:cs="Arial"/>
          <w:szCs w:val="24"/>
        </w:rPr>
      </w:pPr>
      <w:r w:rsidRPr="00BF5A05">
        <w:rPr>
          <w:rFonts w:cs="Arial"/>
          <w:szCs w:val="24"/>
        </w:rPr>
        <w:t xml:space="preserve">The normal project life cycle was compressed during the initial ramp up to the increased capital spending levels in the past several years.  </w:t>
      </w:r>
      <w:r>
        <w:rPr>
          <w:rFonts w:cs="Arial"/>
          <w:szCs w:val="24"/>
        </w:rPr>
        <w:t>A formalized gate process implemented in 2015 allows for an improved</w:t>
      </w:r>
      <w:r w:rsidRPr="00BF5A05">
        <w:rPr>
          <w:rFonts w:cs="Arial"/>
          <w:szCs w:val="24"/>
        </w:rPr>
        <w:t xml:space="preserve"> flow so that more normal project schedules are in place, allowing for adequate time for planning, design, materials, and construction which allows for better schedule adherence.</w:t>
      </w:r>
    </w:p>
    <w:p w:rsidR="00AE554B" w:rsidRPr="00BF5A05" w:rsidRDefault="00AE554B" w:rsidP="00701DCF">
      <w:pPr>
        <w:rPr>
          <w:rFonts w:cs="Arial"/>
          <w:szCs w:val="24"/>
        </w:rPr>
      </w:pPr>
      <w:proofErr w:type="gramStart"/>
      <w:r w:rsidRPr="00584294">
        <w:rPr>
          <w:b/>
        </w:rPr>
        <w:t>Regional Work Management</w:t>
      </w:r>
      <w:r w:rsidR="00584294" w:rsidRPr="00584294">
        <w:rPr>
          <w:b/>
        </w:rPr>
        <w:t>.</w:t>
      </w:r>
      <w:proofErr w:type="gramEnd"/>
      <w:r w:rsidR="00584294">
        <w:t xml:space="preserve">  </w:t>
      </w:r>
      <w:r w:rsidRPr="00BF5A05">
        <w:rPr>
          <w:rFonts w:cs="Arial"/>
          <w:szCs w:val="24"/>
        </w:rPr>
        <w:t>Line work orders are generated in the asset management system and then transferred to the project scheduling and resource management application to match resources to the work orders and schedule the work.  Substation work orders are generated in the substation maintenance management application and then ported into the project scheduling and resource management application.  In an effort to improve the long range work load forecasting, the long range planners began looking at the 2016 planned work in July 2015.</w:t>
      </w:r>
    </w:p>
    <w:p w:rsidR="00AE554B" w:rsidRPr="00BF5A05" w:rsidRDefault="00AE554B" w:rsidP="00701DCF">
      <w:pPr>
        <w:rPr>
          <w:rFonts w:cs="Arial"/>
          <w:szCs w:val="24"/>
        </w:rPr>
      </w:pPr>
      <w:r w:rsidRPr="00BF5A05">
        <w:rPr>
          <w:rFonts w:cs="Arial"/>
          <w:szCs w:val="24"/>
        </w:rPr>
        <w:t>Hard copy job packages are received when ready for construction.  The field crews use the MOM system to receive daily job assignments, log start and end times, and complete job forms.  Red lining of the construction prints is performed on the hard copy and go back to the design group for review and updating the GIS system with the as-built information.  The mobile terminals provide access to the asset management application, outage management system (OMS) for outage notification and response, customer service system (CSS) for customer disconnects, the substation maintenance management system, navigation application, and maps from the GIS.  Crews can also access copies of the Distribution Department Instructions (DDIs), construction standards, operating instructions, and the safety manual on the mobile terminals.  The asset data in the GIS system is very accurate since it is used to support the Distribution OMS system and the DMS.</w:t>
      </w:r>
    </w:p>
    <w:p w:rsidR="00AE554B" w:rsidRPr="00BF5A05" w:rsidRDefault="00AE554B" w:rsidP="00701DCF">
      <w:r w:rsidRPr="00BF5A05">
        <w:t>Region Operations Regional Work Management has also recently begun working more directly with engineering and field personnel to optimize the use of field crews.  A</w:t>
      </w:r>
      <w:r>
        <w:t>dditionally,</w:t>
      </w:r>
      <w:r w:rsidRPr="00BF5A05">
        <w:t xml:space="preserve"> they have been assembling crews from multiple service centers to complete scheduled work in a region.  This increased level of coordination has been enabled by the Constructive Culture initiative.  More active involvement by the field personnel and communication of needs have reduced previous barriers to more flexible utilization of the PPL EU crews.  PPL EU crews and contractors will also occasionally work together on larger projects.</w:t>
      </w:r>
    </w:p>
    <w:p w:rsidR="00AE554B" w:rsidRPr="002D256D" w:rsidRDefault="00AE554B" w:rsidP="00701DCF">
      <w:pPr>
        <w:rPr>
          <w:rFonts w:cs="Arial"/>
          <w:szCs w:val="24"/>
        </w:rPr>
      </w:pPr>
      <w:proofErr w:type="gramStart"/>
      <w:r w:rsidRPr="00584294">
        <w:rPr>
          <w:b/>
        </w:rPr>
        <w:t>Contract Work Management</w:t>
      </w:r>
      <w:r w:rsidR="00584294" w:rsidRPr="00584294">
        <w:rPr>
          <w:b/>
        </w:rPr>
        <w:t>.</w:t>
      </w:r>
      <w:proofErr w:type="gramEnd"/>
      <w:r w:rsidR="00584294">
        <w:t xml:space="preserve">  </w:t>
      </w:r>
      <w:r w:rsidRPr="002D256D">
        <w:rPr>
          <w:rFonts w:cs="Arial"/>
          <w:szCs w:val="24"/>
        </w:rPr>
        <w:t xml:space="preserve">Distribution Project and Construction Management issues the distribution substation projects and larger line work to the Distribution Project and Construction Management Field Construction group.  Smaller overhead and </w:t>
      </w:r>
      <w:r w:rsidRPr="002D256D">
        <w:rPr>
          <w:rFonts w:cs="Arial"/>
          <w:szCs w:val="24"/>
        </w:rPr>
        <w:lastRenderedPageBreak/>
        <w:t>underground jobs come from Region</w:t>
      </w:r>
      <w:r>
        <w:rPr>
          <w:rFonts w:cs="Arial"/>
          <w:szCs w:val="24"/>
        </w:rPr>
        <w:t>al</w:t>
      </w:r>
      <w:r w:rsidRPr="002D256D">
        <w:rPr>
          <w:rFonts w:cs="Arial"/>
          <w:szCs w:val="24"/>
        </w:rPr>
        <w:t xml:space="preserve"> Operations Regional Work Management.  The jobs from Region Operations consist of work the service center crews can’t complete.</w:t>
      </w:r>
    </w:p>
    <w:p w:rsidR="00AE554B" w:rsidRPr="002D256D" w:rsidRDefault="00AE554B" w:rsidP="00701DCF">
      <w:pPr>
        <w:rPr>
          <w:rFonts w:cs="Arial"/>
          <w:szCs w:val="24"/>
        </w:rPr>
      </w:pPr>
      <w:r w:rsidRPr="002D256D">
        <w:t xml:space="preserve">Field Construction receives advance notice of upcoming projects from </w:t>
      </w:r>
      <w:r w:rsidRPr="002D256D">
        <w:rPr>
          <w:rFonts w:cs="Arial"/>
          <w:szCs w:val="24"/>
        </w:rPr>
        <w:t>Distribution Project and Construction Management, participates in design walk throughs, reviews the seven to eight week schedules, and meets weekly with Distribution Project and Construction Management to discuss upcoming projects.  Field Construction needs a minimum of five weeks’ notice on jobs to allow for requesting and receiving permits and clearances.  The two to four week schedule is fairly stable but will get impacted by the short notice work assigned by the Regional Work Management groups to Field Construction.</w:t>
      </w:r>
    </w:p>
    <w:p w:rsidR="00AE554B" w:rsidRPr="002D256D" w:rsidRDefault="00AE554B" w:rsidP="00701DCF">
      <w:pPr>
        <w:rPr>
          <w:rFonts w:cs="Arial"/>
          <w:szCs w:val="24"/>
        </w:rPr>
      </w:pPr>
      <w:r w:rsidRPr="002D256D">
        <w:rPr>
          <w:rFonts w:cs="Arial"/>
          <w:szCs w:val="24"/>
        </w:rPr>
        <w:t>The construction supervisors work with Supply Chain to arrange for contractor crew resources based on upcoming work.  There are approximately 12 to 15 construction contractors of choice prequalified to work on PPL projects.</w:t>
      </w:r>
    </w:p>
    <w:p w:rsidR="00AE554B" w:rsidRPr="002D256D" w:rsidRDefault="00AE554B" w:rsidP="00701DCF">
      <w:pPr>
        <w:rPr>
          <w:rFonts w:cs="Arial"/>
          <w:szCs w:val="24"/>
        </w:rPr>
      </w:pPr>
      <w:r w:rsidRPr="002D256D">
        <w:rPr>
          <w:rFonts w:cs="Arial"/>
          <w:szCs w:val="24"/>
        </w:rPr>
        <w:t>The construction supervisors receive work clearance permits, process change orders, and perform quality control checks, using the Acceptance of Facilities process implemented in 2015, for work performed by the contractors.  The Acceptance of Facilities process is used for all jobs originating from Distribution Project and Construction Management and most construction jobs performed by PPL EU crews.</w:t>
      </w:r>
    </w:p>
    <w:p w:rsidR="00AE554B" w:rsidRDefault="00AE554B" w:rsidP="00701DCF">
      <w:pPr>
        <w:rPr>
          <w:rFonts w:cs="Arial"/>
          <w:szCs w:val="24"/>
        </w:rPr>
      </w:pPr>
      <w:r w:rsidRPr="002D256D">
        <w:rPr>
          <w:rFonts w:cs="Arial"/>
          <w:szCs w:val="24"/>
        </w:rPr>
        <w:t xml:space="preserve">A contractor performance scorecard is maintained and the construction supervisors will share information with the contractors on specific areas of concern, issues, or safety or electric system events.  The scorecard includes a letter grade based on overall contract performance, tracks electrical contact incidents, and the contractor’s safety performance using the DART rate.  The Distribution Project and Construction Management </w:t>
      </w:r>
      <w:r w:rsidRPr="002D256D">
        <w:t xml:space="preserve">Field Construction Manager, along with the Transmission Project Management Field Construction Manager, </w:t>
      </w:r>
      <w:proofErr w:type="gramStart"/>
      <w:r w:rsidRPr="002D256D">
        <w:t>meets</w:t>
      </w:r>
      <w:proofErr w:type="gramEnd"/>
      <w:r w:rsidRPr="002D256D">
        <w:t xml:space="preserve"> quarterly with contractor management to review performance and any issues or concerns.</w:t>
      </w:r>
    </w:p>
    <w:p w:rsidR="00AE554B" w:rsidRPr="00904866" w:rsidRDefault="00AE554B" w:rsidP="00701DCF">
      <w:pPr>
        <w:rPr>
          <w:rFonts w:cs="Arial"/>
          <w:szCs w:val="24"/>
        </w:rPr>
      </w:pPr>
      <w:proofErr w:type="gramStart"/>
      <w:r w:rsidRPr="00584294">
        <w:rPr>
          <w:b/>
        </w:rPr>
        <w:t>Materials</w:t>
      </w:r>
      <w:r w:rsidR="00584294" w:rsidRPr="00584294">
        <w:rPr>
          <w:b/>
        </w:rPr>
        <w:t>.</w:t>
      </w:r>
      <w:proofErr w:type="gramEnd"/>
      <w:r w:rsidR="00584294">
        <w:t xml:space="preserve">  </w:t>
      </w:r>
      <w:r w:rsidRPr="00904866">
        <w:rPr>
          <w:rFonts w:cs="Arial"/>
          <w:szCs w:val="24"/>
        </w:rPr>
        <w:t xml:space="preserve">The service center storeroom material handlers and helpers report to the </w:t>
      </w:r>
      <w:r>
        <w:rPr>
          <w:rFonts w:cs="Arial"/>
          <w:szCs w:val="24"/>
        </w:rPr>
        <w:t>Region</w:t>
      </w:r>
      <w:r w:rsidRPr="00904866">
        <w:rPr>
          <w:rFonts w:cs="Arial"/>
          <w:szCs w:val="24"/>
        </w:rPr>
        <w:t xml:space="preserve"> Operations Field Managers.  There is also a person responsible for invoicing that reports to Supply Chain.  Material returns have improved due to better coordination between engineering and operations on planned work.  Walk </w:t>
      </w:r>
      <w:r>
        <w:rPr>
          <w:rFonts w:cs="Arial"/>
          <w:szCs w:val="24"/>
        </w:rPr>
        <w:t>throughs</w:t>
      </w:r>
      <w:r w:rsidRPr="00904866">
        <w:rPr>
          <w:rFonts w:cs="Arial"/>
          <w:szCs w:val="24"/>
        </w:rPr>
        <w:t xml:space="preserve"> are performed the week before the job is scheduled to review constructability and review the materials.  Designers specify work using compatible units (CID) but some of the items in the CID may be reusable on the job such as the cross arm so the materials can be adjusted</w:t>
      </w:r>
      <w:r>
        <w:rPr>
          <w:rFonts w:cs="Arial"/>
          <w:szCs w:val="24"/>
        </w:rPr>
        <w:t xml:space="preserve"> based upon the walk through results</w:t>
      </w:r>
      <w:r w:rsidRPr="00904866">
        <w:rPr>
          <w:rFonts w:cs="Arial"/>
          <w:szCs w:val="24"/>
        </w:rPr>
        <w:t>.</w:t>
      </w:r>
    </w:p>
    <w:p w:rsidR="00AE554B" w:rsidRDefault="00AE554B" w:rsidP="00584294">
      <w:pPr>
        <w:pStyle w:val="Heading40"/>
      </w:pPr>
      <w:bookmarkStart w:id="161" w:name="_Toc442617429"/>
      <w:r>
        <w:t>Operations and Reliability</w:t>
      </w:r>
      <w:bookmarkEnd w:id="161"/>
    </w:p>
    <w:p w:rsidR="00AE554B" w:rsidRDefault="00AE554B" w:rsidP="00701DCF">
      <w:pPr>
        <w:rPr>
          <w:rFonts w:cs="Arial"/>
          <w:szCs w:val="24"/>
        </w:rPr>
      </w:pPr>
      <w:proofErr w:type="gramStart"/>
      <w:r w:rsidRPr="00584294">
        <w:rPr>
          <w:b/>
        </w:rPr>
        <w:t>Distribution Control Center</w:t>
      </w:r>
      <w:r w:rsidR="00584294" w:rsidRPr="00584294">
        <w:rPr>
          <w:b/>
        </w:rPr>
        <w:t>.</w:t>
      </w:r>
      <w:proofErr w:type="gramEnd"/>
      <w:r w:rsidR="00584294">
        <w:t xml:space="preserve">  </w:t>
      </w:r>
      <w:r>
        <w:rPr>
          <w:rFonts w:cs="Arial"/>
          <w:szCs w:val="24"/>
        </w:rPr>
        <w:t>The DCC is in a secure facility purposely built to serve as a PPL EU data center and transmission and distribution operations center with appropriate physical security controls and building systems.  Distribution Operations moved into the DCC facility from the Lehigh service center in March 2014.</w:t>
      </w:r>
    </w:p>
    <w:p w:rsidR="00AE554B" w:rsidRDefault="00AE554B" w:rsidP="00701DCF">
      <w:pPr>
        <w:rPr>
          <w:rFonts w:cs="Arial"/>
          <w:szCs w:val="24"/>
        </w:rPr>
      </w:pPr>
      <w:r>
        <w:rPr>
          <w:rFonts w:cs="Arial"/>
          <w:szCs w:val="24"/>
        </w:rPr>
        <w:t xml:space="preserve">The DCC is an open floor concept with large digital displays mounted on the walls.  The Distribution System Operators (DSOs) are organized by Super Region.  There are three operator desks for the supervisors, three pods of six desks for each Super Region, 12 dispatch desks, and ten backup or overflow desks.  There are three to four DSOs and a </w:t>
      </w:r>
      <w:r>
        <w:rPr>
          <w:rFonts w:cs="Arial"/>
          <w:szCs w:val="24"/>
        </w:rPr>
        <w:lastRenderedPageBreak/>
        <w:t>planner in each pod during the workday and one DSO during the other periods.  Four dispatchers are normally on duty during the day and two during other periods.</w:t>
      </w:r>
    </w:p>
    <w:p w:rsidR="00AE554B" w:rsidRDefault="00AE554B" w:rsidP="00701DCF">
      <w:pPr>
        <w:rPr>
          <w:rFonts w:cs="Arial"/>
          <w:szCs w:val="24"/>
        </w:rPr>
      </w:pPr>
      <w:r>
        <w:rPr>
          <w:rFonts w:cs="Arial"/>
          <w:szCs w:val="24"/>
        </w:rPr>
        <w:t>The backup DCC is located in a different location and has six DSO stations along with two dispatcher desks.</w:t>
      </w:r>
    </w:p>
    <w:p w:rsidR="00AE554B" w:rsidRDefault="00AE554B" w:rsidP="00701DCF">
      <w:pPr>
        <w:rPr>
          <w:rFonts w:cs="Arial"/>
          <w:szCs w:val="24"/>
        </w:rPr>
      </w:pPr>
      <w:r>
        <w:rPr>
          <w:rFonts w:cs="Arial"/>
          <w:szCs w:val="24"/>
        </w:rPr>
        <w:t>The Lead shift supervisor group is responsible for outage planning and coordination, Distribution Management System (DMS) support and updates, and commissioning of automated devices on the system.  The Operations Support Engineering group supports the DMS software and interfaces with IT to ensure its integrity.  This group also supports the system operators with in-depth load flow studies and planning.</w:t>
      </w:r>
    </w:p>
    <w:p w:rsidR="00AE554B" w:rsidRDefault="00AE554B" w:rsidP="00701DCF">
      <w:pPr>
        <w:rPr>
          <w:rFonts w:cs="Arial"/>
          <w:szCs w:val="24"/>
        </w:rPr>
      </w:pPr>
      <w:r>
        <w:rPr>
          <w:rFonts w:cs="Arial"/>
          <w:szCs w:val="24"/>
        </w:rPr>
        <w:t>The ORCA outage request application is used by both the Transmission Control Center (TCC) and the DCC for logging outage requests and switching orders.  ORCA was implemented in both control centers in January 2015.  The DCC outage planners review the request, develop an outage plan, and schedule the outage.  Planned outage requests are submitted at least five weeks in advance.  The outage requests are processed through the PPLNet intranet.</w:t>
      </w:r>
    </w:p>
    <w:p w:rsidR="00AE554B" w:rsidRDefault="00AE554B" w:rsidP="00701DCF">
      <w:pPr>
        <w:rPr>
          <w:rFonts w:cs="Arial"/>
          <w:szCs w:val="24"/>
        </w:rPr>
      </w:pPr>
      <w:proofErr w:type="gramStart"/>
      <w:r w:rsidRPr="00584294">
        <w:rPr>
          <w:b/>
        </w:rPr>
        <w:t>Outage Management and Distribution Management Systems</w:t>
      </w:r>
      <w:r w:rsidR="00584294" w:rsidRPr="00584294">
        <w:rPr>
          <w:b/>
        </w:rPr>
        <w:t>.</w:t>
      </w:r>
      <w:proofErr w:type="gramEnd"/>
      <w:r w:rsidR="00584294">
        <w:t xml:space="preserve">  </w:t>
      </w:r>
      <w:r>
        <w:rPr>
          <w:rFonts w:cs="Arial"/>
          <w:szCs w:val="24"/>
        </w:rPr>
        <w:t xml:space="preserve">The OMS is expected to be replaced by 2018 since the vendor has announced that it will no longer be supported after 2017.  The OMS is interfaced with the DMS system used for smart grid automation device control.  The DMS was activated in July 2014.  </w:t>
      </w:r>
      <w:r w:rsidRPr="00CF3B0C">
        <w:rPr>
          <w:rFonts w:cs="Arial"/>
          <w:szCs w:val="24"/>
        </w:rPr>
        <w:t xml:space="preserve">The GIS system feeds </w:t>
      </w:r>
      <w:r>
        <w:rPr>
          <w:rFonts w:cs="Arial"/>
          <w:szCs w:val="24"/>
        </w:rPr>
        <w:t>electric system</w:t>
      </w:r>
      <w:r w:rsidRPr="00CF3B0C">
        <w:rPr>
          <w:rFonts w:cs="Arial"/>
          <w:szCs w:val="24"/>
        </w:rPr>
        <w:t xml:space="preserve"> and land base data to both the OMS and DMS systems.  The OMS system is used to generate trouble orders.  </w:t>
      </w:r>
      <w:r>
        <w:rPr>
          <w:rFonts w:cs="Arial"/>
          <w:szCs w:val="24"/>
        </w:rPr>
        <w:t xml:space="preserve">Over 95% </w:t>
      </w:r>
      <w:r w:rsidRPr="00CF3B0C">
        <w:rPr>
          <w:rFonts w:cs="Arial"/>
          <w:szCs w:val="24"/>
        </w:rPr>
        <w:t>of the substations are connected via SCADA.  The DMS system is used to run real time load flows, voltage studies, monitor</w:t>
      </w:r>
      <w:r>
        <w:rPr>
          <w:rFonts w:cs="Arial"/>
          <w:szCs w:val="24"/>
        </w:rPr>
        <w:t>,</w:t>
      </w:r>
      <w:r w:rsidRPr="00CF3B0C">
        <w:rPr>
          <w:rFonts w:cs="Arial"/>
          <w:szCs w:val="24"/>
        </w:rPr>
        <w:t xml:space="preserve"> and operate the new vacuum reclosers and capacitor banks that are connected by cellular communications to the DMS via the SCADA system.  The ability to operate devices through the DMS system is limited to a small group.  The smart grid automation that is operated by the DMS system is helping to improve the </w:t>
      </w:r>
      <w:r>
        <w:rPr>
          <w:rFonts w:cs="Arial"/>
          <w:szCs w:val="24"/>
        </w:rPr>
        <w:t>System Average Interruption Duration Index (</w:t>
      </w:r>
      <w:r w:rsidRPr="00CF3B0C">
        <w:rPr>
          <w:rFonts w:cs="Arial"/>
          <w:szCs w:val="24"/>
        </w:rPr>
        <w:t>SAIDI</w:t>
      </w:r>
      <w:r>
        <w:rPr>
          <w:rFonts w:cs="Arial"/>
          <w:szCs w:val="24"/>
        </w:rPr>
        <w:t>)</w:t>
      </w:r>
      <w:r w:rsidRPr="00CF3B0C">
        <w:rPr>
          <w:rFonts w:cs="Arial"/>
          <w:szCs w:val="24"/>
        </w:rPr>
        <w:t xml:space="preserve"> and </w:t>
      </w:r>
      <w:r>
        <w:rPr>
          <w:rFonts w:cs="Arial"/>
          <w:szCs w:val="24"/>
        </w:rPr>
        <w:t>System Average Interruption Frequency Index (</w:t>
      </w:r>
      <w:r w:rsidRPr="00CF3B0C">
        <w:rPr>
          <w:rFonts w:cs="Arial"/>
          <w:szCs w:val="24"/>
        </w:rPr>
        <w:t>SAIFI</w:t>
      </w:r>
      <w:r>
        <w:rPr>
          <w:rFonts w:cs="Arial"/>
          <w:szCs w:val="24"/>
        </w:rPr>
        <w:t>)</w:t>
      </w:r>
      <w:r w:rsidRPr="00CF3B0C">
        <w:rPr>
          <w:rFonts w:cs="Arial"/>
          <w:szCs w:val="24"/>
        </w:rPr>
        <w:t xml:space="preserve"> numbers.  </w:t>
      </w:r>
      <w:r>
        <w:rPr>
          <w:rFonts w:cs="Arial"/>
          <w:szCs w:val="24"/>
        </w:rPr>
        <w:t>A</w:t>
      </w:r>
      <w:r w:rsidRPr="00CF3B0C">
        <w:rPr>
          <w:rFonts w:cs="Arial"/>
          <w:szCs w:val="24"/>
        </w:rPr>
        <w:t xml:space="preserve"> call out and scheduling system </w:t>
      </w:r>
      <w:r>
        <w:rPr>
          <w:rFonts w:cs="Arial"/>
          <w:szCs w:val="24"/>
        </w:rPr>
        <w:t xml:space="preserve">application </w:t>
      </w:r>
      <w:r w:rsidRPr="00CF3B0C">
        <w:rPr>
          <w:rFonts w:cs="Arial"/>
          <w:szCs w:val="24"/>
        </w:rPr>
        <w:t xml:space="preserve">is used for dispatching and managing troubleshooters deployed in the field along with the mobile </w:t>
      </w:r>
      <w:r>
        <w:rPr>
          <w:rFonts w:cs="Arial"/>
          <w:szCs w:val="24"/>
        </w:rPr>
        <w:t>data terminals</w:t>
      </w:r>
      <w:r w:rsidRPr="00CF3B0C">
        <w:rPr>
          <w:rFonts w:cs="Arial"/>
          <w:szCs w:val="24"/>
        </w:rPr>
        <w:t xml:space="preserve"> (MOM</w:t>
      </w:r>
      <w:r>
        <w:rPr>
          <w:rFonts w:cs="Arial"/>
          <w:szCs w:val="24"/>
        </w:rPr>
        <w:t>s</w:t>
      </w:r>
      <w:r w:rsidRPr="00CF3B0C">
        <w:rPr>
          <w:rFonts w:cs="Arial"/>
          <w:szCs w:val="24"/>
        </w:rPr>
        <w:t>) connecting the trucks.  Switching orders are generated from the work management system.</w:t>
      </w:r>
    </w:p>
    <w:p w:rsidR="00AE554B" w:rsidRDefault="00AE554B" w:rsidP="00701DCF">
      <w:pPr>
        <w:rPr>
          <w:rFonts w:cs="Arial"/>
          <w:szCs w:val="24"/>
        </w:rPr>
      </w:pPr>
      <w:proofErr w:type="gramStart"/>
      <w:r>
        <w:rPr>
          <w:rFonts w:cs="Arial"/>
          <w:szCs w:val="24"/>
        </w:rPr>
        <w:t>Operations is</w:t>
      </w:r>
      <w:proofErr w:type="gramEnd"/>
      <w:r>
        <w:rPr>
          <w:rFonts w:cs="Arial"/>
          <w:szCs w:val="24"/>
        </w:rPr>
        <w:t xml:space="preserve"> continuing to learn how to use all of the capabilities of the DMS system.  The DMS is also helpful in analyzing voltage issues and in controlling capacitor banks, regulators, and the future distribution substation transformer load tap changers to manage voltage levels under high load and light load conditions.  Power flow and outage studies can be performed and compared to cases run by the engineers using power system analysis software.  PPL is using FISR (Fault Isolation, System Restoration) within its DMS system which allows it to automatically restore customers without the need for an operator to execute the switch moves.  The new SCADA system can also predict the location of faults using system data and event data.</w:t>
      </w:r>
    </w:p>
    <w:p w:rsidR="00AE554B" w:rsidRDefault="00AE554B" w:rsidP="00701DCF">
      <w:pPr>
        <w:rPr>
          <w:rFonts w:cs="Arial"/>
          <w:szCs w:val="24"/>
        </w:rPr>
      </w:pPr>
      <w:proofErr w:type="gramStart"/>
      <w:r w:rsidRPr="00584294">
        <w:rPr>
          <w:b/>
        </w:rPr>
        <w:t>Circuit Reliability</w:t>
      </w:r>
      <w:r w:rsidR="00584294" w:rsidRPr="00584294">
        <w:rPr>
          <w:b/>
        </w:rPr>
        <w:t>.</w:t>
      </w:r>
      <w:proofErr w:type="gramEnd"/>
      <w:r w:rsidR="00584294">
        <w:t xml:space="preserve">  </w:t>
      </w:r>
      <w:r>
        <w:rPr>
          <w:rFonts w:cs="Arial"/>
          <w:szCs w:val="24"/>
        </w:rPr>
        <w:t xml:space="preserve">The Worst Performing Circuits committee looks at worst performing circuits on a quarterly basis.  The asset planners meet in the region with Vegetation Management, Distribution Engineering, and Operations to review the worst performing circuits, identify causes, and develop near-term and long-term solutions.  A reliability </w:t>
      </w:r>
      <w:r>
        <w:rPr>
          <w:rFonts w:cs="Arial"/>
          <w:szCs w:val="24"/>
        </w:rPr>
        <w:lastRenderedPageBreak/>
        <w:t>analysis is performed on trends identified in the outage history to identify the root cause and develop proposed remediation.  A recent example was a review of pole fires caused by the insulation failure of older porcelain fused cutouts.</w:t>
      </w:r>
    </w:p>
    <w:p w:rsidR="00AE554B" w:rsidRDefault="00AE554B" w:rsidP="00701DCF">
      <w:pPr>
        <w:rPr>
          <w:rFonts w:cs="Arial"/>
          <w:szCs w:val="24"/>
        </w:rPr>
      </w:pPr>
      <w:r>
        <w:rPr>
          <w:rFonts w:cs="Arial"/>
          <w:szCs w:val="24"/>
        </w:rPr>
        <w:t>The Customers Experiencing Multiple Interruptions (CEMI) program was implemented in 2009 with the goal of identifying individual customers with excessive outages (ten or more in a year) and implementing solutions to improve reliability.  The CEMI Task Force meets monthly to analyze events and determine root causes and solutions.  The taskforce is comprised of Distribution Asset Management, Distribution Engineering, Operations, Customer Communications, and others.  Vegetation issues have been a leading outage cause.  The taskforce annually reviews the previous year’s performance to establish goals for the next year.  The Company has a goal to not have any customer experience ten plus outages in a years’ time.  The Company plans to reduce this goal to nine and so on as it improves performance.  The program includes communicating with the affected customers</w:t>
      </w:r>
      <w:r w:rsidRPr="00201A2A">
        <w:rPr>
          <w:rFonts w:cs="Arial"/>
          <w:szCs w:val="24"/>
        </w:rPr>
        <w:t xml:space="preserve"> </w:t>
      </w:r>
      <w:r>
        <w:rPr>
          <w:rFonts w:cs="Arial"/>
          <w:szCs w:val="24"/>
        </w:rPr>
        <w:t>to explain the cause and any corrective action that PPL EU plans to take.</w:t>
      </w:r>
    </w:p>
    <w:p w:rsidR="00AE554B" w:rsidRPr="000307F3" w:rsidRDefault="00AE554B" w:rsidP="00701DCF">
      <w:pPr>
        <w:rPr>
          <w:rFonts w:cs="Arial"/>
          <w:color w:val="000000"/>
          <w:szCs w:val="24"/>
        </w:rPr>
      </w:pPr>
      <w:r w:rsidRPr="000307F3">
        <w:rPr>
          <w:rFonts w:cs="Arial"/>
          <w:color w:val="000000"/>
          <w:szCs w:val="24"/>
        </w:rPr>
        <w:t xml:space="preserve">The DCC is starting to track momentary outages more accurately.  Momentary outages are outages that last less than five minutes.  </w:t>
      </w:r>
      <w:r w:rsidRPr="000307F3">
        <w:rPr>
          <w:rFonts w:cs="Arial"/>
          <w:color w:val="000000"/>
          <w:shd w:val="clear" w:color="auto" w:fill="FFFFFF"/>
        </w:rPr>
        <w:t xml:space="preserve">Momentary Average Interruption Frequency Index (MAIFI) is the metric used to track shorter outage events.  </w:t>
      </w:r>
      <w:r w:rsidRPr="006324C9">
        <w:rPr>
          <w:rFonts w:cs="Arial"/>
          <w:color w:val="000000"/>
          <w:shd w:val="clear" w:color="auto" w:fill="FFFFFF"/>
        </w:rPr>
        <w:t>The Momentary Average Interruption Frequency Index (</w:t>
      </w:r>
      <w:r w:rsidRPr="006324C9">
        <w:rPr>
          <w:rFonts w:cs="Arial"/>
          <w:bCs/>
          <w:color w:val="000000"/>
          <w:shd w:val="clear" w:color="auto" w:fill="FFFFFF"/>
        </w:rPr>
        <w:t>MAIFI</w:t>
      </w:r>
      <w:r w:rsidRPr="006324C9">
        <w:rPr>
          <w:rFonts w:cs="Arial"/>
          <w:color w:val="000000"/>
          <w:shd w:val="clear" w:color="auto" w:fill="FFFFFF"/>
        </w:rPr>
        <w:t>) is a reliability indicator used to measure the average number of momentary interruptions that a customer would experience during a given period.</w:t>
      </w:r>
      <w:r w:rsidRPr="006324C9">
        <w:rPr>
          <w:rFonts w:cs="Arial"/>
          <w:color w:val="000000"/>
          <w:szCs w:val="24"/>
        </w:rPr>
        <w:t xml:space="preserve">  </w:t>
      </w:r>
      <w:r w:rsidRPr="000307F3">
        <w:rPr>
          <w:rFonts w:cs="Arial"/>
          <w:color w:val="000000"/>
          <w:shd w:val="clear" w:color="auto" w:fill="FFFFFF"/>
        </w:rPr>
        <w:t>If a circuit experiences several MAIFI events in a relatively short period, the line will be patrolled to try to determine the cause.</w:t>
      </w:r>
    </w:p>
    <w:p w:rsidR="00AE554B" w:rsidRDefault="00AE554B" w:rsidP="00701DCF">
      <w:pPr>
        <w:rPr>
          <w:rFonts w:cs="Arial"/>
          <w:szCs w:val="24"/>
        </w:rPr>
      </w:pPr>
      <w:r>
        <w:rPr>
          <w:rFonts w:cs="Arial"/>
          <w:szCs w:val="24"/>
        </w:rPr>
        <w:t xml:space="preserve">A Distribution Asset Management Senior Project Manager is assigned to the multiple interruption reduction </w:t>
      </w:r>
      <w:proofErr w:type="gramStart"/>
      <w:r>
        <w:rPr>
          <w:rFonts w:cs="Arial"/>
          <w:szCs w:val="24"/>
        </w:rPr>
        <w:t>project</w:t>
      </w:r>
      <w:proofErr w:type="gramEnd"/>
      <w:r>
        <w:rPr>
          <w:rFonts w:cs="Arial"/>
          <w:szCs w:val="24"/>
        </w:rPr>
        <w:t xml:space="preserve"> to reduce the </w:t>
      </w:r>
      <w:r w:rsidRPr="006324C9">
        <w:rPr>
          <w:rFonts w:cs="Arial"/>
          <w:bCs/>
          <w:color w:val="000000"/>
          <w:shd w:val="clear" w:color="auto" w:fill="FFFFFF"/>
        </w:rPr>
        <w:t>MAIFI</w:t>
      </w:r>
      <w:r>
        <w:rPr>
          <w:rFonts w:cs="Arial"/>
          <w:bCs/>
          <w:color w:val="000000"/>
          <w:shd w:val="clear" w:color="auto" w:fill="FFFFFF"/>
        </w:rPr>
        <w:t xml:space="preserve"> experience. </w:t>
      </w:r>
      <w:r w:rsidRPr="006324C9">
        <w:rPr>
          <w:rFonts w:cs="Arial"/>
          <w:color w:val="000000"/>
          <w:szCs w:val="24"/>
        </w:rPr>
        <w:t xml:space="preserve"> </w:t>
      </w:r>
      <w:r>
        <w:rPr>
          <w:rFonts w:cs="Arial"/>
          <w:szCs w:val="24"/>
        </w:rPr>
        <w:t>The Project Manager is currently developing the project plan and meeting with operations, engineering, and asset management personnel to develop the program and goals.  The causes of momentary outages will be analyzed and steps to mitigate those causes evaluated for implementation.</w:t>
      </w:r>
    </w:p>
    <w:p w:rsidR="00AE554B" w:rsidRDefault="00AE554B" w:rsidP="00701DCF">
      <w:pPr>
        <w:rPr>
          <w:rFonts w:cs="Arial"/>
          <w:szCs w:val="24"/>
        </w:rPr>
      </w:pPr>
      <w:r>
        <w:rPr>
          <w:rFonts w:cs="Arial"/>
          <w:szCs w:val="24"/>
        </w:rPr>
        <w:t>Increased use of automated line sectionalizing, vacuum reclosers, and single phase reclosing are reducing the number of customers affected by an outage.</w:t>
      </w:r>
    </w:p>
    <w:p w:rsidR="00AE554B" w:rsidRPr="00492242" w:rsidRDefault="00AE554B" w:rsidP="00701DCF">
      <w:pPr>
        <w:rPr>
          <w:rFonts w:cs="Arial"/>
          <w:szCs w:val="24"/>
        </w:rPr>
      </w:pPr>
      <w:proofErr w:type="gramStart"/>
      <w:r>
        <w:rPr>
          <w:rFonts w:cs="Arial"/>
          <w:szCs w:val="24"/>
        </w:rPr>
        <w:t>Operations is</w:t>
      </w:r>
      <w:proofErr w:type="gramEnd"/>
      <w:r>
        <w:rPr>
          <w:rFonts w:cs="Arial"/>
          <w:szCs w:val="24"/>
        </w:rPr>
        <w:t xml:space="preserve"> working to resolve some technical obstacles including visibility of distributed energy and islanding situations in the DMS system.  Records is working to automate more of its processes and reducing the use of paper forms.</w:t>
      </w:r>
    </w:p>
    <w:p w:rsidR="00AE554B" w:rsidRDefault="00AE554B" w:rsidP="00701DCF">
      <w:pPr>
        <w:rPr>
          <w:rFonts w:cs="Arial"/>
          <w:szCs w:val="24"/>
        </w:rPr>
      </w:pPr>
      <w:r>
        <w:rPr>
          <w:rFonts w:cs="Arial"/>
          <w:szCs w:val="24"/>
        </w:rPr>
        <w:t>Equipment failures on the distribution system trigger the Electric System Event (ESE) process to analyze the failure.  Specific equipment with rising failure rates are targeted for replacement or maintenance.</w:t>
      </w:r>
    </w:p>
    <w:p w:rsidR="00AE554B" w:rsidRPr="00CA10A6" w:rsidRDefault="00AE554B" w:rsidP="00701DCF">
      <w:pPr>
        <w:rPr>
          <w:rFonts w:cs="Arial"/>
          <w:szCs w:val="24"/>
        </w:rPr>
      </w:pPr>
      <w:proofErr w:type="gramStart"/>
      <w:r w:rsidRPr="00584294">
        <w:rPr>
          <w:b/>
        </w:rPr>
        <w:t>Outage Response</w:t>
      </w:r>
      <w:r w:rsidR="00584294" w:rsidRPr="00584294">
        <w:rPr>
          <w:b/>
        </w:rPr>
        <w:t>.</w:t>
      </w:r>
      <w:proofErr w:type="gramEnd"/>
      <w:r w:rsidR="00584294">
        <w:t xml:space="preserve">  </w:t>
      </w:r>
      <w:r w:rsidRPr="00CA10A6">
        <w:rPr>
          <w:rFonts w:cs="Arial"/>
          <w:szCs w:val="24"/>
        </w:rPr>
        <w:t>One line crew is assigned in each region for outage response during the work day.  The crews are given smaller jobs to allow for rapid deployment to an outage location to perform necessary repairs.  The DCC dispatchers will send outage work orders to the assigned crew.  The field crew can provide estimated restoration times (ERTs) through the mobile terminals back to the OMS system.  The day shift line crews reserved for trouble calls will also be assigned inspection work and smaller jobs to cover time not spent responding to reported outages.</w:t>
      </w:r>
    </w:p>
    <w:p w:rsidR="00AE554B" w:rsidRPr="00CA10A6" w:rsidRDefault="00AE554B" w:rsidP="00701DCF">
      <w:pPr>
        <w:rPr>
          <w:rFonts w:cs="Arial"/>
          <w:szCs w:val="24"/>
        </w:rPr>
      </w:pPr>
      <w:r w:rsidRPr="00CA10A6">
        <w:rPr>
          <w:rFonts w:cs="Arial"/>
          <w:szCs w:val="24"/>
        </w:rPr>
        <w:lastRenderedPageBreak/>
        <w:t>From March to October an extended shift is operated to keep a line crew available in each region to respond to outages until 7:30 pm during work days.</w:t>
      </w:r>
    </w:p>
    <w:p w:rsidR="00AE554B" w:rsidRDefault="00AE554B" w:rsidP="00701DCF">
      <w:pPr>
        <w:rPr>
          <w:rFonts w:cs="Arial"/>
          <w:szCs w:val="24"/>
        </w:rPr>
      </w:pPr>
      <w:r w:rsidRPr="00CA10A6">
        <w:rPr>
          <w:rFonts w:cs="Arial"/>
          <w:szCs w:val="24"/>
        </w:rPr>
        <w:t>The 2</w:t>
      </w:r>
      <w:r w:rsidRPr="00CA10A6">
        <w:rPr>
          <w:rFonts w:cs="Arial"/>
          <w:szCs w:val="24"/>
          <w:vertAlign w:val="superscript"/>
        </w:rPr>
        <w:t>nd</w:t>
      </w:r>
      <w:r w:rsidRPr="00CA10A6">
        <w:rPr>
          <w:rFonts w:cs="Arial"/>
          <w:szCs w:val="24"/>
        </w:rPr>
        <w:t xml:space="preserve"> shift is where the most off hours’ outages occur and there is an opportunity to reduce response time and improve the Customer Average Interruption Duration Index (CAIDI).  PPL is currently reviewing the benefits of establishing a 2</w:t>
      </w:r>
      <w:r w:rsidRPr="00CA10A6">
        <w:rPr>
          <w:rFonts w:cs="Arial"/>
          <w:szCs w:val="24"/>
          <w:vertAlign w:val="superscript"/>
        </w:rPr>
        <w:t>nd</w:t>
      </w:r>
      <w:r w:rsidRPr="00CA10A6">
        <w:rPr>
          <w:rFonts w:cs="Arial"/>
          <w:szCs w:val="24"/>
        </w:rPr>
        <w:t xml:space="preserve"> shift of line crews in 2016 to allow for more rapid response to outage event from 4 pm to midnight. Contractors may have to be used initially since the union may not support this for PPL EU crews.</w:t>
      </w:r>
    </w:p>
    <w:p w:rsidR="00AE554B" w:rsidRDefault="00AE554B" w:rsidP="00701DCF">
      <w:pPr>
        <w:rPr>
          <w:rFonts w:cs="Arial"/>
          <w:szCs w:val="24"/>
        </w:rPr>
      </w:pPr>
      <w:r>
        <w:rPr>
          <w:rFonts w:cs="Arial"/>
          <w:szCs w:val="24"/>
        </w:rPr>
        <w:t>On 2</w:t>
      </w:r>
      <w:r w:rsidRPr="002E7ADE">
        <w:rPr>
          <w:rFonts w:cs="Arial"/>
          <w:szCs w:val="24"/>
          <w:vertAlign w:val="superscript"/>
        </w:rPr>
        <w:t>nd</w:t>
      </w:r>
      <w:r>
        <w:rPr>
          <w:rFonts w:cs="Arial"/>
          <w:szCs w:val="24"/>
        </w:rPr>
        <w:t xml:space="preserve"> and 3</w:t>
      </w:r>
      <w:r w:rsidRPr="002E7ADE">
        <w:rPr>
          <w:rFonts w:cs="Arial"/>
          <w:szCs w:val="24"/>
          <w:vertAlign w:val="superscript"/>
        </w:rPr>
        <w:t>rd</w:t>
      </w:r>
      <w:r>
        <w:rPr>
          <w:rFonts w:cs="Arial"/>
          <w:szCs w:val="24"/>
        </w:rPr>
        <w:t xml:space="preserve"> shift, outages are dispatched to the troubleshooters.  Less than 50% of outages require a two person response to isolate the fault, replace fuses, and secure the site.  Repairs are made by a line crew that is called out to make repairs.  An apprentice will ride along with the troubleshooter on stormy nights to assist in clearing the fault location.</w:t>
      </w:r>
    </w:p>
    <w:p w:rsidR="00AE554B" w:rsidRDefault="00AE554B" w:rsidP="00701DCF">
      <w:pPr>
        <w:rPr>
          <w:rFonts w:cs="Arial"/>
          <w:szCs w:val="24"/>
        </w:rPr>
      </w:pPr>
      <w:r>
        <w:rPr>
          <w:rFonts w:cs="Arial"/>
          <w:szCs w:val="24"/>
        </w:rPr>
        <w:t>Providing filler work for the 2</w:t>
      </w:r>
      <w:r w:rsidRPr="002F777A">
        <w:rPr>
          <w:rFonts w:cs="Arial"/>
          <w:szCs w:val="24"/>
          <w:vertAlign w:val="superscript"/>
        </w:rPr>
        <w:t>nd</w:t>
      </w:r>
      <w:r>
        <w:rPr>
          <w:rFonts w:cs="Arial"/>
          <w:szCs w:val="24"/>
        </w:rPr>
        <w:t xml:space="preserve"> and 3</w:t>
      </w:r>
      <w:r w:rsidRPr="002F777A">
        <w:rPr>
          <w:rFonts w:cs="Arial"/>
          <w:szCs w:val="24"/>
          <w:vertAlign w:val="superscript"/>
        </w:rPr>
        <w:t>rd</w:t>
      </w:r>
      <w:r>
        <w:rPr>
          <w:rFonts w:cs="Arial"/>
          <w:szCs w:val="24"/>
        </w:rPr>
        <w:t xml:space="preserve"> shift troubleshooters has been a challenge.  Work that can be quickly halted without causing a safety issue and can be performed at night is identified and reserved for the troubleshooters.  The regional schedulers load work in MOMs for the troubleshooters related to tasks such as streetlight bulb replacement, line inspections, clearance switching, verifications, recloser commissioning, and minor maintenance work.  The process has been refined since 2014 to make sure sufficient work is available to fully utilize the troubleshooters between outage events.</w:t>
      </w:r>
    </w:p>
    <w:p w:rsidR="00AE554B" w:rsidRDefault="00AE554B" w:rsidP="00701DCF">
      <w:pPr>
        <w:rPr>
          <w:rFonts w:cs="Arial"/>
          <w:szCs w:val="24"/>
        </w:rPr>
      </w:pPr>
      <w:r>
        <w:rPr>
          <w:rFonts w:cs="Arial"/>
          <w:szCs w:val="24"/>
        </w:rPr>
        <w:t>Residential underground cable problems are a source of extended outages.  Instead of first identifying the trouble location and then determining if a plan is needed to reroute power during the repairs, PPL EU is looking to simultaneously perform both the troubleshooting and construction of any necessary temporary bypasses.  PPL EU has commissioned bypass trailers with underground cable to bypass an underground fault until cable repairs can be made.  The line crew takes the trailer with them when responding to an outage on underground lines.  The troubleshooters are also getting better tools to help in pinpointing cable outage locations.  Fault detectors are being updated on both the overhead and underground systems.</w:t>
      </w:r>
    </w:p>
    <w:p w:rsidR="00AE554B" w:rsidRDefault="00AE554B" w:rsidP="00701DCF">
      <w:pPr>
        <w:rPr>
          <w:rFonts w:cs="Arial"/>
          <w:szCs w:val="24"/>
        </w:rPr>
      </w:pPr>
      <w:proofErr w:type="gramStart"/>
      <w:r w:rsidRPr="00584294">
        <w:rPr>
          <w:b/>
        </w:rPr>
        <w:t>Outage Identification</w:t>
      </w:r>
      <w:r w:rsidR="00584294" w:rsidRPr="00584294">
        <w:rPr>
          <w:b/>
        </w:rPr>
        <w:t>.</w:t>
      </w:r>
      <w:proofErr w:type="gramEnd"/>
      <w:r w:rsidR="00584294">
        <w:t xml:space="preserve">  </w:t>
      </w:r>
      <w:r>
        <w:rPr>
          <w:rFonts w:cs="Arial"/>
          <w:szCs w:val="24"/>
        </w:rPr>
        <w:t>The data provided by the current automated meter reading (AMR) meters has some operational limitations.  The reported voltages are not accurate enough for engineering analysis and meter power status must be queried by the system.  The OMS automatically pings the AMR meters to check power status at the start of an outage recorded in OMS and every hour during the outage.  The dispatcher will ping the customer’s meter when the customer calls to report an outage to verify that the PPL EU supply is out before rolling a truck.  Planned outages are logged in the system to avoid rolling trucks.  The new advanced metering infrastructure (AMI) smart meters planned for deployment will provide more real time information that can be integrated into the operational systems.  PPL EU relies on customers to report outages and SCADA alarms for device operations to identify an outage event.  The AMI meters will provide outage alerts that can be utilized along with the SCADA information and customer calls to identify outage events and locate the probable cause.</w:t>
      </w:r>
    </w:p>
    <w:p w:rsidR="00AE554B" w:rsidRDefault="00AE554B" w:rsidP="00701DCF">
      <w:pPr>
        <w:rPr>
          <w:rFonts w:cs="Arial"/>
          <w:szCs w:val="24"/>
        </w:rPr>
      </w:pPr>
      <w:proofErr w:type="gramStart"/>
      <w:r w:rsidRPr="00584294">
        <w:rPr>
          <w:b/>
        </w:rPr>
        <w:t>Outage Notification Program</w:t>
      </w:r>
      <w:r w:rsidR="00584294" w:rsidRPr="00584294">
        <w:rPr>
          <w:b/>
        </w:rPr>
        <w:t>.</w:t>
      </w:r>
      <w:proofErr w:type="gramEnd"/>
      <w:r w:rsidR="00584294">
        <w:t xml:space="preserve">  </w:t>
      </w:r>
      <w:r>
        <w:rPr>
          <w:rFonts w:cs="Arial"/>
          <w:szCs w:val="24"/>
        </w:rPr>
        <w:t xml:space="preserve">PPL EU implemented in April 2015 a Universal Outage Alert System (UOA) which can provide outage alerts to customers via phone calls, </w:t>
      </w:r>
      <w:r>
        <w:rPr>
          <w:rFonts w:cs="Arial"/>
          <w:szCs w:val="24"/>
        </w:rPr>
        <w:lastRenderedPageBreak/>
        <w:t>email, or text.  The OMS system will alert the customer at the 6 minute mark in an outage to confirm that PPL EU is aware of the event.  At 30 minutes the system will provide an estimated restoration time (ERT).  Additional notifications will be made if the ERT is changed.  The final notification will be a service restoration message.  The UOA has received good customer reaction with approximately 762,000 customers participating.  Approximately 12,000 customers have opted out of the system.  Participating customers can also opt in to receive calls during the UOA quiet time of 10 pm to 7 am.</w:t>
      </w:r>
    </w:p>
    <w:p w:rsidR="00AE554B" w:rsidRDefault="00AE554B" w:rsidP="00701DCF">
      <w:pPr>
        <w:rPr>
          <w:rFonts w:cs="Arial"/>
          <w:szCs w:val="24"/>
        </w:rPr>
      </w:pPr>
      <w:proofErr w:type="gramStart"/>
      <w:r w:rsidRPr="00584294">
        <w:rPr>
          <w:b/>
        </w:rPr>
        <w:t>Storm Response</w:t>
      </w:r>
      <w:r w:rsidR="00584294" w:rsidRPr="00584294">
        <w:rPr>
          <w:b/>
        </w:rPr>
        <w:t>.</w:t>
      </w:r>
      <w:proofErr w:type="gramEnd"/>
      <w:r w:rsidR="00584294">
        <w:t xml:space="preserve">  </w:t>
      </w:r>
      <w:r>
        <w:rPr>
          <w:rFonts w:cs="Arial"/>
          <w:szCs w:val="24"/>
        </w:rPr>
        <w:t>A service center in each of the six regions includes a Regional Command Center (RCC), or storm room, which is used to dispatch outage response during storm events.  The Directors of Regional Operations serve as Regional Emergency Managers (REMs) in the Emergency Response storm plans.  The RCC dispatches all 911 and circuit outages within their specific geographic regions.  The REMs are responsible for staffing the RCCs when activated and mobilizing crews.  RCC staff review the outages and dispatch them to crews though the OMS system.  Crew Foremen support the RCC operation.  There may or may not be a pre-storm call to discuss the pending weather event and decide to activate an RCC.  If there was no pre-storm call, the REM calls the ECC before activating the RCC for a localized event.</w:t>
      </w:r>
    </w:p>
    <w:p w:rsidR="00AE554B" w:rsidRDefault="00AE554B" w:rsidP="00701DCF">
      <w:pPr>
        <w:rPr>
          <w:rFonts w:cs="Arial"/>
          <w:szCs w:val="24"/>
        </w:rPr>
      </w:pPr>
      <w:r>
        <w:rPr>
          <w:rFonts w:cs="Arial"/>
          <w:szCs w:val="24"/>
        </w:rPr>
        <w:t>The Electric Storm Damage Prediction model is good at estimating the total number of outages but specific locations or regions for the damage is less accurate.  In a storm event the DCC will decentralize storm response to RCCs after approximately 20 to 25 outages occur in a region.  The DCC will continue to dispatch the outages and may bring in additional dispatchers to handle the volume based on the storm severity.</w:t>
      </w:r>
    </w:p>
    <w:p w:rsidR="00AE554B" w:rsidRDefault="00AE554B" w:rsidP="00701DCF">
      <w:pPr>
        <w:rPr>
          <w:rFonts w:cs="Arial"/>
          <w:szCs w:val="24"/>
        </w:rPr>
      </w:pPr>
      <w:r>
        <w:rPr>
          <w:rFonts w:cs="Arial"/>
          <w:szCs w:val="24"/>
        </w:rPr>
        <w:t>When a RCC is activated, it is staffed with the region’s expediters to perform the dispatch functions with visibility through the OMS system.  The Emergency Command Center (ECC) will oversee storm response in multiple regions.  If a storm event affects more than two regions, the Emergency Control Center will be activated and the VP and his team of approximately 15 people will oversee the emergency response in the regions.</w:t>
      </w:r>
      <w:r w:rsidRPr="00440B39">
        <w:t xml:space="preserve"> </w:t>
      </w:r>
    </w:p>
    <w:p w:rsidR="00AE554B" w:rsidRDefault="00AE554B" w:rsidP="008F30B6">
      <w:pPr>
        <w:pStyle w:val="Heading-forToC"/>
      </w:pPr>
      <w:bookmarkStart w:id="162" w:name="_Toc442617430"/>
      <w:bookmarkStart w:id="163" w:name="_Toc464552033"/>
      <w:r>
        <w:t>Findings</w:t>
      </w:r>
      <w:bookmarkEnd w:id="162"/>
      <w:bookmarkEnd w:id="163"/>
    </w:p>
    <w:p w:rsidR="00AE554B" w:rsidRPr="004C6144" w:rsidRDefault="00AE554B" w:rsidP="00B86FA4">
      <w:pPr>
        <w:pStyle w:val="Findings"/>
        <w:numPr>
          <w:ilvl w:val="0"/>
          <w:numId w:val="21"/>
        </w:numPr>
      </w:pPr>
      <w:r w:rsidRPr="004C6144">
        <w:t xml:space="preserve">The Distribution Operating Model (DOM) is a good practice for </w:t>
      </w:r>
      <w:r>
        <w:t>managing programs</w:t>
      </w:r>
      <w:r w:rsidRPr="004C6144">
        <w:t>.</w:t>
      </w:r>
    </w:p>
    <w:p w:rsidR="00AE554B" w:rsidRDefault="00AE554B" w:rsidP="00701DCF">
      <w:r w:rsidRPr="004C6144">
        <w:t xml:space="preserve">The DOM is well defined and provides consistency to the </w:t>
      </w:r>
      <w:r>
        <w:t>development and execution of programmatic work</w:t>
      </w:r>
      <w:r w:rsidRPr="004C6144">
        <w:t xml:space="preserve"> with appropriate checkpoints to manage scope, cost, and schedule.  Good supporting processes have been implemented and are being refined.  </w:t>
      </w:r>
      <w:r>
        <w:t>Each work group has a clear understanding of roles and responsibilities.</w:t>
      </w:r>
      <w:r w:rsidRPr="004C6144">
        <w:t xml:space="preserve">  A representative from the IT Department is also a participant from a technology and cyber security perspective.</w:t>
      </w:r>
    </w:p>
    <w:p w:rsidR="00AE554B" w:rsidRDefault="00AE554B" w:rsidP="00B86FA4">
      <w:pPr>
        <w:pStyle w:val="Findings"/>
        <w:numPr>
          <w:ilvl w:val="0"/>
          <w:numId w:val="21"/>
        </w:numPr>
      </w:pPr>
      <w:r>
        <w:t>Electric Service Reliability has shown improvement over the past five years.</w:t>
      </w:r>
    </w:p>
    <w:p w:rsidR="00AE554B" w:rsidRDefault="00AE554B" w:rsidP="00701DCF">
      <w:r w:rsidRPr="00773E53">
        <w:t xml:space="preserve">PPL EU’s </w:t>
      </w:r>
      <w:r>
        <w:t>customer average interruption duration index (</w:t>
      </w:r>
      <w:r w:rsidRPr="00773E53">
        <w:t>CAIDI</w:t>
      </w:r>
      <w:r>
        <w:t>)</w:t>
      </w:r>
      <w:r w:rsidRPr="00773E53">
        <w:t xml:space="preserve">, </w:t>
      </w:r>
      <w:r>
        <w:t>system average interruption duration index (</w:t>
      </w:r>
      <w:r w:rsidRPr="00773E53">
        <w:t>SAIDI</w:t>
      </w:r>
      <w:r>
        <w:t>)</w:t>
      </w:r>
      <w:r w:rsidRPr="00773E53">
        <w:t xml:space="preserve">, and </w:t>
      </w:r>
      <w:r>
        <w:t>system average interruption frequency index (</w:t>
      </w:r>
      <w:r w:rsidRPr="00773E53">
        <w:t>SAIFI</w:t>
      </w:r>
      <w:r>
        <w:t>)</w:t>
      </w:r>
      <w:r w:rsidRPr="00773E53">
        <w:t xml:space="preserve"> </w:t>
      </w:r>
      <w:r>
        <w:t xml:space="preserve">performance </w:t>
      </w:r>
      <w:r w:rsidRPr="00773E53">
        <w:t>results</w:t>
      </w:r>
      <w:r>
        <w:t xml:space="preserve"> are reported as part of the annual PUC Electric Service Reliability Reports</w:t>
      </w:r>
      <w:r w:rsidRPr="00773E53">
        <w:t xml:space="preserve">.  </w:t>
      </w:r>
      <w:r>
        <w:t xml:space="preserve">Significant improvement is noted in two of the past three years.  </w:t>
      </w:r>
      <w:r w:rsidRPr="00773E53">
        <w:lastRenderedPageBreak/>
        <w:t>Benchmarks for performance have been set based on the annual system-wide metrics achieved from 1994 to 1998.  A standard is set at 20% greater than the benchmark.  Quarterly performance is reported against the rolling 12 month standards and benchmarks.</w:t>
      </w:r>
    </w:p>
    <w:p w:rsidR="00AE554B" w:rsidRDefault="00AE554B" w:rsidP="00701DCF">
      <w:r>
        <w:t>The below exhibit summarizes PPL EU CAIDI annual results reported to the PA PUC from 2010 to 2015.</w:t>
      </w:r>
    </w:p>
    <w:p w:rsidR="00AE554B" w:rsidRDefault="00AD2223" w:rsidP="00AD2223">
      <w:pPr>
        <w:pStyle w:val="Caption"/>
      </w:pPr>
      <w:bookmarkStart w:id="164" w:name="_Toc464552990"/>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23</w:t>
      </w:r>
      <w:r w:rsidR="00CB2B2A">
        <w:rPr>
          <w:noProof/>
        </w:rPr>
        <w:fldChar w:fldCharType="end"/>
      </w:r>
      <w:r w:rsidR="002F6183">
        <w:br/>
      </w:r>
      <w:r w:rsidR="00AE554B">
        <w:t>PPL EU CAIDI Results 2010–2015</w:t>
      </w:r>
      <w:bookmarkEnd w:id="164"/>
    </w:p>
    <w:p w:rsidR="00AE554B" w:rsidRDefault="00AE554B" w:rsidP="00701DCF">
      <w:pPr>
        <w:jc w:val="center"/>
      </w:pPr>
      <w:r>
        <w:rPr>
          <w:noProof/>
        </w:rPr>
        <w:drawing>
          <wp:inline distT="0" distB="0" distL="0" distR="0">
            <wp:extent cx="4572000" cy="2842260"/>
            <wp:effectExtent l="0" t="0" r="0" b="1524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9"/>
        <w:gridCol w:w="1081"/>
        <w:gridCol w:w="990"/>
        <w:gridCol w:w="1080"/>
        <w:gridCol w:w="1080"/>
        <w:gridCol w:w="1080"/>
        <w:gridCol w:w="1133"/>
      </w:tblGrid>
      <w:tr w:rsidR="00AE554B" w:rsidRPr="007370C9" w:rsidTr="00A113F8">
        <w:trPr>
          <w:cantSplit/>
          <w:trHeight w:val="276"/>
          <w:tblHeader/>
          <w:jc w:val="center"/>
        </w:trPr>
        <w:tc>
          <w:tcPr>
            <w:tcW w:w="1169" w:type="dxa"/>
            <w:shd w:val="clear" w:color="auto" w:fill="A5CD7E"/>
            <w:vAlign w:val="center"/>
          </w:tcPr>
          <w:p w:rsidR="00AE554B" w:rsidRPr="003B6894" w:rsidRDefault="00AE554B" w:rsidP="007370C9">
            <w:pPr>
              <w:spacing w:before="120"/>
              <w:jc w:val="center"/>
              <w:rPr>
                <w:b/>
              </w:rPr>
            </w:pPr>
            <w:r w:rsidRPr="003B6894">
              <w:rPr>
                <w:b/>
              </w:rPr>
              <w:t>Year</w:t>
            </w:r>
          </w:p>
        </w:tc>
        <w:tc>
          <w:tcPr>
            <w:tcW w:w="1081" w:type="dxa"/>
            <w:shd w:val="clear" w:color="auto" w:fill="A5CD7E"/>
            <w:vAlign w:val="center"/>
          </w:tcPr>
          <w:p w:rsidR="00AE554B" w:rsidRPr="003B6894" w:rsidRDefault="00AE554B" w:rsidP="007370C9">
            <w:pPr>
              <w:spacing w:before="120"/>
              <w:jc w:val="center"/>
              <w:rPr>
                <w:b/>
              </w:rPr>
            </w:pPr>
            <w:r>
              <w:rPr>
                <w:b/>
              </w:rPr>
              <w:t>2010</w:t>
            </w:r>
          </w:p>
        </w:tc>
        <w:tc>
          <w:tcPr>
            <w:tcW w:w="990" w:type="dxa"/>
            <w:shd w:val="clear" w:color="auto" w:fill="A5CD7E"/>
            <w:vAlign w:val="center"/>
          </w:tcPr>
          <w:p w:rsidR="00AE554B" w:rsidRPr="003B6894" w:rsidRDefault="00AE554B" w:rsidP="007370C9">
            <w:pPr>
              <w:spacing w:before="120"/>
              <w:jc w:val="center"/>
              <w:rPr>
                <w:b/>
              </w:rPr>
            </w:pPr>
            <w:r>
              <w:rPr>
                <w:b/>
              </w:rPr>
              <w:t>2011</w:t>
            </w:r>
          </w:p>
        </w:tc>
        <w:tc>
          <w:tcPr>
            <w:tcW w:w="1080" w:type="dxa"/>
            <w:shd w:val="clear" w:color="auto" w:fill="A5CD7E"/>
            <w:vAlign w:val="center"/>
          </w:tcPr>
          <w:p w:rsidR="00AE554B" w:rsidRPr="003B6894" w:rsidRDefault="00AE554B" w:rsidP="007370C9">
            <w:pPr>
              <w:spacing w:before="120"/>
              <w:jc w:val="center"/>
              <w:rPr>
                <w:b/>
              </w:rPr>
            </w:pPr>
            <w:r>
              <w:rPr>
                <w:b/>
              </w:rPr>
              <w:t>2012</w:t>
            </w:r>
          </w:p>
        </w:tc>
        <w:tc>
          <w:tcPr>
            <w:tcW w:w="1080" w:type="dxa"/>
            <w:shd w:val="clear" w:color="auto" w:fill="A5CD7E"/>
            <w:vAlign w:val="center"/>
          </w:tcPr>
          <w:p w:rsidR="00AE554B" w:rsidRDefault="00AE554B" w:rsidP="007370C9">
            <w:pPr>
              <w:spacing w:before="120"/>
              <w:jc w:val="center"/>
              <w:rPr>
                <w:b/>
              </w:rPr>
            </w:pPr>
            <w:r>
              <w:rPr>
                <w:b/>
              </w:rPr>
              <w:t>2013</w:t>
            </w:r>
          </w:p>
        </w:tc>
        <w:tc>
          <w:tcPr>
            <w:tcW w:w="1080" w:type="dxa"/>
            <w:shd w:val="clear" w:color="auto" w:fill="A5CD7E"/>
            <w:vAlign w:val="center"/>
          </w:tcPr>
          <w:p w:rsidR="00AE554B" w:rsidRDefault="00AE554B" w:rsidP="007370C9">
            <w:pPr>
              <w:spacing w:before="120"/>
              <w:jc w:val="center"/>
              <w:rPr>
                <w:b/>
              </w:rPr>
            </w:pPr>
            <w:r>
              <w:rPr>
                <w:b/>
              </w:rPr>
              <w:t>2014</w:t>
            </w:r>
          </w:p>
        </w:tc>
        <w:tc>
          <w:tcPr>
            <w:tcW w:w="1133" w:type="dxa"/>
            <w:shd w:val="clear" w:color="auto" w:fill="A5CD7E"/>
            <w:vAlign w:val="center"/>
          </w:tcPr>
          <w:p w:rsidR="00AE554B" w:rsidRDefault="00AE554B" w:rsidP="007370C9">
            <w:pPr>
              <w:spacing w:before="120"/>
              <w:jc w:val="center"/>
              <w:rPr>
                <w:b/>
              </w:rPr>
            </w:pPr>
            <w:r>
              <w:rPr>
                <w:b/>
              </w:rPr>
              <w:t>2015</w:t>
            </w:r>
          </w:p>
        </w:tc>
      </w:tr>
      <w:tr w:rsidR="00AE554B" w:rsidRPr="004D00D1" w:rsidTr="00701DCF">
        <w:trPr>
          <w:trHeight w:val="276"/>
          <w:jc w:val="center"/>
        </w:trPr>
        <w:tc>
          <w:tcPr>
            <w:tcW w:w="1169" w:type="dxa"/>
            <w:shd w:val="clear" w:color="auto" w:fill="auto"/>
            <w:vAlign w:val="center"/>
          </w:tcPr>
          <w:p w:rsidR="00AE554B" w:rsidRPr="003B6894" w:rsidRDefault="00AE554B" w:rsidP="00701DCF">
            <w:pPr>
              <w:spacing w:after="0"/>
              <w:jc w:val="center"/>
              <w:rPr>
                <w:rFonts w:cs="Arial"/>
                <w:color w:val="000000"/>
              </w:rPr>
            </w:pPr>
            <w:r>
              <w:rPr>
                <w:rFonts w:cs="Arial"/>
                <w:color w:val="000000"/>
              </w:rPr>
              <w:t>CAIDI</w:t>
            </w:r>
          </w:p>
        </w:tc>
        <w:tc>
          <w:tcPr>
            <w:tcW w:w="1081" w:type="dxa"/>
            <w:vAlign w:val="center"/>
          </w:tcPr>
          <w:p w:rsidR="00AE554B" w:rsidRPr="003B6894" w:rsidRDefault="00AE554B" w:rsidP="00701DCF">
            <w:pPr>
              <w:spacing w:after="0"/>
              <w:jc w:val="center"/>
              <w:rPr>
                <w:rFonts w:cs="Arial"/>
                <w:color w:val="000000"/>
              </w:rPr>
            </w:pPr>
            <w:r w:rsidRPr="003B6894">
              <w:rPr>
                <w:rFonts w:cs="Arial"/>
                <w:color w:val="000000"/>
              </w:rPr>
              <w:t>135</w:t>
            </w:r>
          </w:p>
        </w:tc>
        <w:tc>
          <w:tcPr>
            <w:tcW w:w="990" w:type="dxa"/>
            <w:vAlign w:val="center"/>
          </w:tcPr>
          <w:p w:rsidR="00AE554B" w:rsidRPr="003B6894" w:rsidRDefault="00AE554B" w:rsidP="00701DCF">
            <w:pPr>
              <w:spacing w:after="0"/>
              <w:jc w:val="center"/>
              <w:rPr>
                <w:rFonts w:cs="Arial"/>
                <w:color w:val="000000"/>
              </w:rPr>
            </w:pPr>
            <w:r>
              <w:rPr>
                <w:rFonts w:cs="Arial"/>
                <w:color w:val="000000"/>
              </w:rPr>
              <w:t>151</w:t>
            </w:r>
          </w:p>
        </w:tc>
        <w:tc>
          <w:tcPr>
            <w:tcW w:w="1080" w:type="dxa"/>
            <w:vAlign w:val="center"/>
          </w:tcPr>
          <w:p w:rsidR="00AE554B" w:rsidRPr="003B6894" w:rsidRDefault="00AE554B" w:rsidP="00701DCF">
            <w:pPr>
              <w:spacing w:after="0"/>
              <w:jc w:val="center"/>
              <w:rPr>
                <w:rFonts w:cs="Arial"/>
                <w:color w:val="000000"/>
              </w:rPr>
            </w:pPr>
            <w:r>
              <w:rPr>
                <w:rFonts w:cs="Arial"/>
                <w:color w:val="000000"/>
              </w:rPr>
              <w:t>152</w:t>
            </w:r>
          </w:p>
        </w:tc>
        <w:tc>
          <w:tcPr>
            <w:tcW w:w="1080" w:type="dxa"/>
            <w:vAlign w:val="center"/>
          </w:tcPr>
          <w:p w:rsidR="00AE554B" w:rsidRPr="003B6894" w:rsidRDefault="00AE554B" w:rsidP="00701DCF">
            <w:pPr>
              <w:spacing w:after="0"/>
              <w:jc w:val="center"/>
              <w:rPr>
                <w:rFonts w:cs="Arial"/>
                <w:color w:val="000000"/>
              </w:rPr>
            </w:pPr>
            <w:r>
              <w:rPr>
                <w:rFonts w:cs="Arial"/>
                <w:color w:val="000000"/>
              </w:rPr>
              <w:t>108</w:t>
            </w:r>
          </w:p>
        </w:tc>
        <w:tc>
          <w:tcPr>
            <w:tcW w:w="1080" w:type="dxa"/>
            <w:vAlign w:val="center"/>
          </w:tcPr>
          <w:p w:rsidR="00AE554B" w:rsidRPr="003B6894" w:rsidRDefault="00AE554B" w:rsidP="00701DCF">
            <w:pPr>
              <w:spacing w:after="0"/>
              <w:jc w:val="center"/>
              <w:rPr>
                <w:rFonts w:cs="Arial"/>
                <w:color w:val="000000"/>
              </w:rPr>
            </w:pPr>
            <w:r>
              <w:rPr>
                <w:rFonts w:cs="Arial"/>
                <w:color w:val="000000"/>
              </w:rPr>
              <w:t>180</w:t>
            </w:r>
          </w:p>
        </w:tc>
        <w:tc>
          <w:tcPr>
            <w:tcW w:w="1133" w:type="dxa"/>
            <w:vAlign w:val="center"/>
          </w:tcPr>
          <w:p w:rsidR="00AE554B" w:rsidRDefault="00AE554B" w:rsidP="00701DCF">
            <w:pPr>
              <w:spacing w:after="0"/>
              <w:jc w:val="center"/>
              <w:rPr>
                <w:rFonts w:cs="Arial"/>
                <w:color w:val="000000"/>
              </w:rPr>
            </w:pPr>
            <w:r>
              <w:rPr>
                <w:rFonts w:cs="Arial"/>
                <w:color w:val="000000"/>
              </w:rPr>
              <w:t>118</w:t>
            </w:r>
          </w:p>
        </w:tc>
      </w:tr>
      <w:tr w:rsidR="00AE554B" w:rsidRPr="004D00D1" w:rsidTr="00701DCF">
        <w:trPr>
          <w:trHeight w:val="276"/>
          <w:jc w:val="center"/>
        </w:trPr>
        <w:tc>
          <w:tcPr>
            <w:tcW w:w="7613" w:type="dxa"/>
            <w:gridSpan w:val="7"/>
            <w:shd w:val="clear" w:color="auto" w:fill="auto"/>
            <w:vAlign w:val="center"/>
          </w:tcPr>
          <w:p w:rsidR="00AE554B" w:rsidRDefault="00AE554B" w:rsidP="00701DCF">
            <w:pPr>
              <w:spacing w:after="0"/>
              <w:jc w:val="left"/>
              <w:rPr>
                <w:rFonts w:cs="Arial"/>
                <w:color w:val="000000"/>
              </w:rPr>
            </w:pPr>
            <w:r w:rsidRPr="003B6894">
              <w:rPr>
                <w:rFonts w:cs="Arial"/>
              </w:rPr>
              <w:t>Source: PA PUC Service Reliability Reports 2010</w:t>
            </w:r>
            <w:r>
              <w:rPr>
                <w:rFonts w:cs="Arial"/>
              </w:rPr>
              <w:t>–</w:t>
            </w:r>
            <w:r w:rsidRPr="003B6894">
              <w:rPr>
                <w:rFonts w:cs="Arial"/>
              </w:rPr>
              <w:t>2014</w:t>
            </w:r>
            <w:r>
              <w:rPr>
                <w:rFonts w:cs="Arial"/>
              </w:rPr>
              <w:t>, PPL 2015</w:t>
            </w:r>
          </w:p>
        </w:tc>
      </w:tr>
    </w:tbl>
    <w:p w:rsidR="00AE554B" w:rsidRPr="007D7B1B" w:rsidRDefault="00AE554B" w:rsidP="00701DCF">
      <w:pPr>
        <w:pStyle w:val="Normal-aftertable"/>
      </w:pPr>
      <w:r w:rsidRPr="007D7B1B">
        <w:t>CAIDI</w:t>
      </w:r>
      <w:r>
        <w:t xml:space="preserve"> </w:t>
      </w:r>
      <w:r w:rsidRPr="007D7B1B">
        <w:t xml:space="preserve">is the average service restoration time or the average interruption duration for those customers interrupted during a year. </w:t>
      </w:r>
      <w:r>
        <w:t xml:space="preserve"> </w:t>
      </w:r>
      <w:r w:rsidRPr="007D7B1B">
        <w:t>It is determined by dividing the sum of all customer interruption durations by the total number of customers interrupted in a year.</w:t>
      </w:r>
    </w:p>
    <w:p w:rsidR="00AE554B" w:rsidRDefault="00AE554B" w:rsidP="00701DCF">
      <w:r>
        <w:t xml:space="preserve">CAIDI and SAIDI results were below the PUC benchmark in 2013 and </w:t>
      </w:r>
      <w:proofErr w:type="gramStart"/>
      <w:r>
        <w:t>2015,</w:t>
      </w:r>
      <w:proofErr w:type="gramEnd"/>
      <w:r>
        <w:t xml:space="preserve"> however 2014 was adversely influenced by Ice Storm Nika.  PPL reports that if Ice Storm Nika was excluded, CAIDI would have been 140.5, which is below the benchmark.</w:t>
      </w:r>
      <w:r w:rsidRPr="00440B39">
        <w:t xml:space="preserve"> </w:t>
      </w:r>
    </w:p>
    <w:p w:rsidR="00AE554B" w:rsidRDefault="00AE554B" w:rsidP="00701DCF">
      <w:r>
        <w:t>The below exhibit summarizes PPL EU SAIDI annual results reported to the PA PUC from 2010 to 2015.</w:t>
      </w:r>
    </w:p>
    <w:p w:rsidR="00AE554B" w:rsidRDefault="00AD2223" w:rsidP="00AD2223">
      <w:pPr>
        <w:pStyle w:val="Caption"/>
      </w:pPr>
      <w:bookmarkStart w:id="165" w:name="_Toc464552991"/>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24</w:t>
      </w:r>
      <w:r w:rsidR="00CB2B2A">
        <w:rPr>
          <w:noProof/>
        </w:rPr>
        <w:fldChar w:fldCharType="end"/>
      </w:r>
      <w:r w:rsidR="002F6183">
        <w:br/>
      </w:r>
      <w:r w:rsidR="00AE554B">
        <w:t>PPL EU SAIDI Results 2010–2015</w:t>
      </w:r>
      <w:bookmarkEnd w:id="165"/>
    </w:p>
    <w:p w:rsidR="00AE554B" w:rsidRDefault="00AE554B" w:rsidP="00701DCF">
      <w:pPr>
        <w:jc w:val="center"/>
      </w:pPr>
      <w:r>
        <w:rPr>
          <w:noProof/>
        </w:rPr>
        <w:drawing>
          <wp:inline distT="0" distB="0" distL="0" distR="0">
            <wp:extent cx="4572000" cy="2743200"/>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69"/>
        <w:gridCol w:w="1074"/>
        <w:gridCol w:w="1074"/>
        <w:gridCol w:w="1074"/>
        <w:gridCol w:w="1074"/>
        <w:gridCol w:w="1074"/>
        <w:gridCol w:w="1074"/>
      </w:tblGrid>
      <w:tr w:rsidR="00AE554B" w:rsidRPr="007370C9" w:rsidTr="00A113F8">
        <w:trPr>
          <w:cantSplit/>
          <w:trHeight w:val="20"/>
          <w:tblHeader/>
          <w:jc w:val="center"/>
        </w:trPr>
        <w:tc>
          <w:tcPr>
            <w:tcW w:w="1169" w:type="dxa"/>
            <w:shd w:val="clear" w:color="auto" w:fill="A5CD7E"/>
            <w:vAlign w:val="center"/>
          </w:tcPr>
          <w:p w:rsidR="00AE554B" w:rsidRPr="003B6894" w:rsidRDefault="00AE554B" w:rsidP="007370C9">
            <w:pPr>
              <w:spacing w:before="120"/>
              <w:jc w:val="center"/>
              <w:rPr>
                <w:b/>
              </w:rPr>
            </w:pPr>
            <w:r w:rsidRPr="003B6894">
              <w:rPr>
                <w:b/>
              </w:rPr>
              <w:t>Year</w:t>
            </w:r>
          </w:p>
        </w:tc>
        <w:tc>
          <w:tcPr>
            <w:tcW w:w="1074" w:type="dxa"/>
            <w:shd w:val="clear" w:color="auto" w:fill="A5CD7E"/>
            <w:vAlign w:val="center"/>
          </w:tcPr>
          <w:p w:rsidR="00AE554B" w:rsidRPr="003B6894" w:rsidRDefault="00AE554B" w:rsidP="007370C9">
            <w:pPr>
              <w:spacing w:before="120"/>
              <w:jc w:val="center"/>
              <w:rPr>
                <w:b/>
              </w:rPr>
            </w:pPr>
            <w:r>
              <w:rPr>
                <w:b/>
              </w:rPr>
              <w:t>2010</w:t>
            </w:r>
          </w:p>
        </w:tc>
        <w:tc>
          <w:tcPr>
            <w:tcW w:w="1074" w:type="dxa"/>
            <w:shd w:val="clear" w:color="auto" w:fill="A5CD7E"/>
            <w:vAlign w:val="center"/>
          </w:tcPr>
          <w:p w:rsidR="00AE554B" w:rsidRPr="003B6894" w:rsidRDefault="00AE554B" w:rsidP="007370C9">
            <w:pPr>
              <w:spacing w:before="120"/>
              <w:jc w:val="center"/>
              <w:rPr>
                <w:b/>
              </w:rPr>
            </w:pPr>
            <w:r>
              <w:rPr>
                <w:b/>
              </w:rPr>
              <w:t>2011</w:t>
            </w:r>
          </w:p>
        </w:tc>
        <w:tc>
          <w:tcPr>
            <w:tcW w:w="1074" w:type="dxa"/>
            <w:shd w:val="clear" w:color="auto" w:fill="A5CD7E"/>
            <w:vAlign w:val="center"/>
          </w:tcPr>
          <w:p w:rsidR="00AE554B" w:rsidRPr="003B6894" w:rsidRDefault="00AE554B" w:rsidP="007370C9">
            <w:pPr>
              <w:spacing w:before="120"/>
              <w:jc w:val="center"/>
              <w:rPr>
                <w:b/>
              </w:rPr>
            </w:pPr>
            <w:r>
              <w:rPr>
                <w:b/>
              </w:rPr>
              <w:t>2012</w:t>
            </w:r>
          </w:p>
        </w:tc>
        <w:tc>
          <w:tcPr>
            <w:tcW w:w="1074" w:type="dxa"/>
            <w:shd w:val="clear" w:color="auto" w:fill="A5CD7E"/>
            <w:vAlign w:val="center"/>
          </w:tcPr>
          <w:p w:rsidR="00AE554B" w:rsidRDefault="00AE554B" w:rsidP="007370C9">
            <w:pPr>
              <w:spacing w:before="120"/>
              <w:jc w:val="center"/>
              <w:rPr>
                <w:b/>
              </w:rPr>
            </w:pPr>
            <w:r>
              <w:rPr>
                <w:b/>
              </w:rPr>
              <w:t>2013</w:t>
            </w:r>
          </w:p>
        </w:tc>
        <w:tc>
          <w:tcPr>
            <w:tcW w:w="1074" w:type="dxa"/>
            <w:shd w:val="clear" w:color="auto" w:fill="A5CD7E"/>
            <w:vAlign w:val="center"/>
          </w:tcPr>
          <w:p w:rsidR="00AE554B" w:rsidRDefault="00AE554B" w:rsidP="007370C9">
            <w:pPr>
              <w:spacing w:before="120"/>
              <w:jc w:val="center"/>
              <w:rPr>
                <w:b/>
              </w:rPr>
            </w:pPr>
            <w:r>
              <w:rPr>
                <w:b/>
              </w:rPr>
              <w:t>2014</w:t>
            </w:r>
          </w:p>
        </w:tc>
        <w:tc>
          <w:tcPr>
            <w:tcW w:w="1074" w:type="dxa"/>
            <w:shd w:val="clear" w:color="auto" w:fill="A5CD7E"/>
            <w:vAlign w:val="center"/>
          </w:tcPr>
          <w:p w:rsidR="00AE554B" w:rsidRDefault="00AE554B" w:rsidP="007370C9">
            <w:pPr>
              <w:spacing w:before="120"/>
              <w:jc w:val="center"/>
              <w:rPr>
                <w:b/>
              </w:rPr>
            </w:pPr>
            <w:r>
              <w:rPr>
                <w:b/>
              </w:rPr>
              <w:t>2015</w:t>
            </w:r>
          </w:p>
        </w:tc>
      </w:tr>
      <w:tr w:rsidR="00AE554B" w:rsidRPr="004D00D1" w:rsidTr="00701DCF">
        <w:trPr>
          <w:trHeight w:val="20"/>
          <w:jc w:val="center"/>
        </w:trPr>
        <w:tc>
          <w:tcPr>
            <w:tcW w:w="1169" w:type="dxa"/>
            <w:shd w:val="clear" w:color="auto" w:fill="auto"/>
            <w:vAlign w:val="center"/>
          </w:tcPr>
          <w:p w:rsidR="00AE554B" w:rsidRPr="003B6894" w:rsidRDefault="00AE554B" w:rsidP="00701DCF">
            <w:pPr>
              <w:spacing w:after="0"/>
              <w:jc w:val="center"/>
              <w:rPr>
                <w:rFonts w:cs="Arial"/>
                <w:color w:val="000000"/>
              </w:rPr>
            </w:pPr>
            <w:r>
              <w:rPr>
                <w:rFonts w:cs="Arial"/>
                <w:color w:val="000000"/>
              </w:rPr>
              <w:t>SAIDI</w:t>
            </w:r>
          </w:p>
        </w:tc>
        <w:tc>
          <w:tcPr>
            <w:tcW w:w="1074" w:type="dxa"/>
            <w:vAlign w:val="center"/>
          </w:tcPr>
          <w:p w:rsidR="00AE554B" w:rsidRPr="003B6894" w:rsidRDefault="00AE554B" w:rsidP="00701DCF">
            <w:pPr>
              <w:spacing w:after="0"/>
              <w:jc w:val="center"/>
              <w:rPr>
                <w:rFonts w:cs="Arial"/>
                <w:color w:val="000000"/>
              </w:rPr>
            </w:pPr>
            <w:r>
              <w:rPr>
                <w:rFonts w:cs="Arial"/>
                <w:color w:val="000000"/>
              </w:rPr>
              <w:t>147</w:t>
            </w:r>
          </w:p>
        </w:tc>
        <w:tc>
          <w:tcPr>
            <w:tcW w:w="1074" w:type="dxa"/>
            <w:vAlign w:val="center"/>
          </w:tcPr>
          <w:p w:rsidR="00AE554B" w:rsidRPr="003B6894" w:rsidRDefault="00AE554B" w:rsidP="00701DCF">
            <w:pPr>
              <w:spacing w:after="0"/>
              <w:jc w:val="center"/>
              <w:rPr>
                <w:rFonts w:cs="Arial"/>
                <w:color w:val="000000"/>
              </w:rPr>
            </w:pPr>
            <w:r w:rsidRPr="003B6894">
              <w:rPr>
                <w:rFonts w:cs="Arial"/>
                <w:color w:val="000000"/>
              </w:rPr>
              <w:t>162</w:t>
            </w:r>
          </w:p>
        </w:tc>
        <w:tc>
          <w:tcPr>
            <w:tcW w:w="1074" w:type="dxa"/>
            <w:vAlign w:val="center"/>
          </w:tcPr>
          <w:p w:rsidR="00AE554B" w:rsidRPr="003B6894" w:rsidRDefault="00AE554B" w:rsidP="00701DCF">
            <w:pPr>
              <w:spacing w:after="0"/>
              <w:jc w:val="center"/>
              <w:rPr>
                <w:rFonts w:cs="Arial"/>
                <w:color w:val="000000"/>
              </w:rPr>
            </w:pPr>
            <w:r>
              <w:rPr>
                <w:rFonts w:cs="Arial"/>
                <w:color w:val="000000"/>
              </w:rPr>
              <w:t>164</w:t>
            </w:r>
          </w:p>
        </w:tc>
        <w:tc>
          <w:tcPr>
            <w:tcW w:w="1074" w:type="dxa"/>
            <w:vAlign w:val="center"/>
          </w:tcPr>
          <w:p w:rsidR="00AE554B" w:rsidRPr="003B6894" w:rsidRDefault="00AE554B" w:rsidP="00701DCF">
            <w:pPr>
              <w:spacing w:after="0"/>
              <w:jc w:val="center"/>
              <w:rPr>
                <w:rFonts w:cs="Arial"/>
                <w:color w:val="000000"/>
              </w:rPr>
            </w:pPr>
            <w:r>
              <w:rPr>
                <w:rFonts w:cs="Arial"/>
                <w:color w:val="000000"/>
              </w:rPr>
              <w:t>89</w:t>
            </w:r>
          </w:p>
        </w:tc>
        <w:tc>
          <w:tcPr>
            <w:tcW w:w="1074" w:type="dxa"/>
            <w:vAlign w:val="center"/>
          </w:tcPr>
          <w:p w:rsidR="00AE554B" w:rsidRPr="003B6894" w:rsidRDefault="00AE554B" w:rsidP="00701DCF">
            <w:pPr>
              <w:spacing w:after="0"/>
              <w:jc w:val="center"/>
              <w:rPr>
                <w:rFonts w:cs="Arial"/>
                <w:color w:val="000000"/>
              </w:rPr>
            </w:pPr>
            <w:r>
              <w:rPr>
                <w:rFonts w:cs="Arial"/>
                <w:color w:val="000000"/>
              </w:rPr>
              <w:t>165</w:t>
            </w:r>
          </w:p>
        </w:tc>
        <w:tc>
          <w:tcPr>
            <w:tcW w:w="1074" w:type="dxa"/>
            <w:vAlign w:val="center"/>
          </w:tcPr>
          <w:p w:rsidR="00AE554B" w:rsidRDefault="00AE554B" w:rsidP="00701DCF">
            <w:pPr>
              <w:spacing w:after="0"/>
              <w:jc w:val="center"/>
              <w:rPr>
                <w:rFonts w:cs="Arial"/>
                <w:color w:val="000000"/>
              </w:rPr>
            </w:pPr>
            <w:r>
              <w:rPr>
                <w:rFonts w:cs="Arial"/>
                <w:color w:val="000000"/>
              </w:rPr>
              <w:t>84</w:t>
            </w:r>
          </w:p>
        </w:tc>
      </w:tr>
      <w:tr w:rsidR="00AE554B" w:rsidRPr="004D00D1" w:rsidTr="00701DCF">
        <w:trPr>
          <w:trHeight w:val="20"/>
          <w:jc w:val="center"/>
        </w:trPr>
        <w:tc>
          <w:tcPr>
            <w:tcW w:w="7613" w:type="dxa"/>
            <w:gridSpan w:val="7"/>
            <w:shd w:val="clear" w:color="auto" w:fill="auto"/>
            <w:vAlign w:val="center"/>
          </w:tcPr>
          <w:p w:rsidR="00AE554B" w:rsidRDefault="00AE554B" w:rsidP="00701DCF">
            <w:pPr>
              <w:spacing w:after="0"/>
              <w:jc w:val="left"/>
              <w:rPr>
                <w:rFonts w:cs="Arial"/>
                <w:color w:val="000000"/>
              </w:rPr>
            </w:pPr>
            <w:r w:rsidRPr="003B6894">
              <w:rPr>
                <w:rFonts w:cs="Arial"/>
              </w:rPr>
              <w:t>Source: PA PUC Service Reliability Reports 2010</w:t>
            </w:r>
            <w:r>
              <w:rPr>
                <w:rFonts w:cs="Arial"/>
              </w:rPr>
              <w:t>–</w:t>
            </w:r>
            <w:r w:rsidRPr="003B6894">
              <w:rPr>
                <w:rFonts w:cs="Arial"/>
              </w:rPr>
              <w:t>2014</w:t>
            </w:r>
            <w:r>
              <w:rPr>
                <w:rFonts w:cs="Arial"/>
              </w:rPr>
              <w:t>; PPL 2015</w:t>
            </w:r>
          </w:p>
        </w:tc>
      </w:tr>
    </w:tbl>
    <w:p w:rsidR="00AE554B" w:rsidRDefault="00AE554B" w:rsidP="00701DCF">
      <w:pPr>
        <w:pStyle w:val="Normal-aftertable"/>
      </w:pPr>
      <w:r w:rsidRPr="007D7B1B">
        <w:t>SAIDI</w:t>
      </w:r>
      <w:r>
        <w:t xml:space="preserve"> </w:t>
      </w:r>
      <w:r w:rsidRPr="007D7B1B">
        <w:t xml:space="preserve">is the average interruption duration in minutes per customer served. </w:t>
      </w:r>
      <w:r>
        <w:t xml:space="preserve"> </w:t>
      </w:r>
      <w:r w:rsidRPr="007D7B1B">
        <w:t>It is determined by dividing the sum of all customer interruption durations during a year by the number of customers served.</w:t>
      </w:r>
    </w:p>
    <w:p w:rsidR="00AE554B" w:rsidRDefault="00AE554B" w:rsidP="00701DCF">
      <w:r>
        <w:t>PPL EU reported that Ice Storm Nika, which occurred in February 2014, was PPL’s</w:t>
      </w:r>
      <w:r w:rsidRPr="00C542ED">
        <w:t xml:space="preserve"> 11</w:t>
      </w:r>
      <w:r w:rsidRPr="00C542ED">
        <w:rPr>
          <w:vertAlign w:val="superscript"/>
        </w:rPr>
        <w:t>th</w:t>
      </w:r>
      <w:r w:rsidRPr="00C542ED">
        <w:t xml:space="preserve"> largest single event on record by number of </w:t>
      </w:r>
      <w:r>
        <w:t xml:space="preserve">customer </w:t>
      </w:r>
      <w:r w:rsidRPr="00C542ED">
        <w:t>minutes interrupted</w:t>
      </w:r>
      <w:r>
        <w:t xml:space="preserve">, however it was just under the exclusionary criteria for the reliability metrics for the </w:t>
      </w:r>
      <w:r w:rsidRPr="00853B3A">
        <w:t>PUC Electric Service Reliability</w:t>
      </w:r>
      <w:r>
        <w:t xml:space="preserve"> reporting.  </w:t>
      </w:r>
      <w:r w:rsidRPr="00C542ED">
        <w:t xml:space="preserve">Nika </w:t>
      </w:r>
      <w:r>
        <w:t>a</w:t>
      </w:r>
      <w:r w:rsidRPr="00C542ED">
        <w:t xml:space="preserve">ffected a </w:t>
      </w:r>
      <w:r w:rsidRPr="000E1B52">
        <w:t>limited geographic area, primarily Lancaster County</w:t>
      </w:r>
      <w:r>
        <w:t>,</w:t>
      </w:r>
      <w:r w:rsidRPr="000E1B52">
        <w:t xml:space="preserve"> with 27</w:t>
      </w:r>
      <w:r>
        <w:t>%</w:t>
      </w:r>
      <w:r w:rsidRPr="000E1B52">
        <w:t xml:space="preserve"> of customers in the county experiencing outages.  In comparison, the largest storm event experienced by</w:t>
      </w:r>
      <w:r>
        <w:t xml:space="preserve"> PPL, Hurricane Sandy, impacted approximately ten percent of the customers in Lancaster County.  PPL reports that excluding the Nika event, the PUC reportable SAIDI would have been 120 minutes, well under the benchmark.  PPL also expects to report a SAIDI result of 84 minutes for 2015, a new low for this metric.</w:t>
      </w:r>
    </w:p>
    <w:p w:rsidR="00AE554B" w:rsidRDefault="00AE554B" w:rsidP="00701DCF">
      <w:r>
        <w:t>The below exhibit summarizes PPL EU SAIFI annual results reported to the PA PUC from 2010 to 2015.</w:t>
      </w:r>
    </w:p>
    <w:p w:rsidR="00AE554B" w:rsidRDefault="00AD2223" w:rsidP="00AD2223">
      <w:pPr>
        <w:pStyle w:val="Caption"/>
      </w:pPr>
      <w:bookmarkStart w:id="166" w:name="_Toc464552992"/>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25</w:t>
      </w:r>
      <w:r w:rsidR="00CB2B2A">
        <w:rPr>
          <w:noProof/>
        </w:rPr>
        <w:fldChar w:fldCharType="end"/>
      </w:r>
      <w:r w:rsidR="002F6183">
        <w:br/>
      </w:r>
      <w:r w:rsidR="00AE554B">
        <w:t>PPL EU SAIFI Results 2010–2015</w:t>
      </w:r>
      <w:bookmarkEnd w:id="166"/>
    </w:p>
    <w:p w:rsidR="00AE554B" w:rsidRDefault="00AE554B" w:rsidP="00701DCF">
      <w:pPr>
        <w:jc w:val="center"/>
      </w:pPr>
      <w:bookmarkStart w:id="167" w:name="_GoBack"/>
      <w:r>
        <w:rPr>
          <w:noProof/>
        </w:rPr>
        <w:drawing>
          <wp:inline distT="0" distB="0" distL="0" distR="0">
            <wp:extent cx="4314825" cy="2602865"/>
            <wp:effectExtent l="0" t="0" r="9525" b="698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bookmarkEnd w:id="1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69"/>
        <w:gridCol w:w="1074"/>
        <w:gridCol w:w="1074"/>
        <w:gridCol w:w="1074"/>
        <w:gridCol w:w="1074"/>
        <w:gridCol w:w="1074"/>
        <w:gridCol w:w="1074"/>
      </w:tblGrid>
      <w:tr w:rsidR="00AE554B" w:rsidRPr="007370C9" w:rsidTr="00A113F8">
        <w:trPr>
          <w:cantSplit/>
          <w:trHeight w:val="20"/>
          <w:tblHeader/>
          <w:jc w:val="center"/>
        </w:trPr>
        <w:tc>
          <w:tcPr>
            <w:tcW w:w="1169" w:type="dxa"/>
            <w:shd w:val="clear" w:color="auto" w:fill="A5CD7E"/>
            <w:vAlign w:val="center"/>
          </w:tcPr>
          <w:p w:rsidR="00AE554B" w:rsidRPr="003B6894" w:rsidRDefault="00AE554B" w:rsidP="007370C9">
            <w:pPr>
              <w:spacing w:before="120"/>
              <w:jc w:val="center"/>
              <w:rPr>
                <w:b/>
              </w:rPr>
            </w:pPr>
            <w:r w:rsidRPr="003B6894">
              <w:rPr>
                <w:b/>
              </w:rPr>
              <w:t>Year</w:t>
            </w:r>
          </w:p>
        </w:tc>
        <w:tc>
          <w:tcPr>
            <w:tcW w:w="1074" w:type="dxa"/>
            <w:shd w:val="clear" w:color="auto" w:fill="A5CD7E"/>
            <w:vAlign w:val="center"/>
          </w:tcPr>
          <w:p w:rsidR="00AE554B" w:rsidRPr="003B6894" w:rsidRDefault="00AE554B" w:rsidP="007370C9">
            <w:pPr>
              <w:spacing w:before="120"/>
              <w:jc w:val="center"/>
              <w:rPr>
                <w:b/>
              </w:rPr>
            </w:pPr>
            <w:r>
              <w:rPr>
                <w:b/>
              </w:rPr>
              <w:t>2010</w:t>
            </w:r>
          </w:p>
        </w:tc>
        <w:tc>
          <w:tcPr>
            <w:tcW w:w="1074" w:type="dxa"/>
            <w:shd w:val="clear" w:color="auto" w:fill="A5CD7E"/>
            <w:vAlign w:val="center"/>
          </w:tcPr>
          <w:p w:rsidR="00AE554B" w:rsidRPr="003B6894" w:rsidRDefault="00AE554B" w:rsidP="007370C9">
            <w:pPr>
              <w:spacing w:before="120"/>
              <w:jc w:val="center"/>
              <w:rPr>
                <w:b/>
              </w:rPr>
            </w:pPr>
            <w:r>
              <w:rPr>
                <w:b/>
              </w:rPr>
              <w:t>2011</w:t>
            </w:r>
          </w:p>
        </w:tc>
        <w:tc>
          <w:tcPr>
            <w:tcW w:w="1074" w:type="dxa"/>
            <w:shd w:val="clear" w:color="auto" w:fill="A5CD7E"/>
            <w:vAlign w:val="center"/>
          </w:tcPr>
          <w:p w:rsidR="00AE554B" w:rsidRPr="003B6894" w:rsidRDefault="00AE554B" w:rsidP="007370C9">
            <w:pPr>
              <w:spacing w:before="120"/>
              <w:jc w:val="center"/>
              <w:rPr>
                <w:b/>
              </w:rPr>
            </w:pPr>
            <w:r>
              <w:rPr>
                <w:b/>
              </w:rPr>
              <w:t>2012</w:t>
            </w:r>
          </w:p>
        </w:tc>
        <w:tc>
          <w:tcPr>
            <w:tcW w:w="1074" w:type="dxa"/>
            <w:shd w:val="clear" w:color="auto" w:fill="A5CD7E"/>
            <w:vAlign w:val="center"/>
          </w:tcPr>
          <w:p w:rsidR="00AE554B" w:rsidRDefault="00AE554B" w:rsidP="007370C9">
            <w:pPr>
              <w:spacing w:before="120"/>
              <w:jc w:val="center"/>
              <w:rPr>
                <w:b/>
              </w:rPr>
            </w:pPr>
            <w:r>
              <w:rPr>
                <w:b/>
              </w:rPr>
              <w:t>2013</w:t>
            </w:r>
          </w:p>
        </w:tc>
        <w:tc>
          <w:tcPr>
            <w:tcW w:w="1074" w:type="dxa"/>
            <w:shd w:val="clear" w:color="auto" w:fill="A5CD7E"/>
            <w:vAlign w:val="center"/>
          </w:tcPr>
          <w:p w:rsidR="00AE554B" w:rsidRDefault="00AE554B" w:rsidP="007370C9">
            <w:pPr>
              <w:spacing w:before="120"/>
              <w:jc w:val="center"/>
              <w:rPr>
                <w:b/>
              </w:rPr>
            </w:pPr>
            <w:r>
              <w:rPr>
                <w:b/>
              </w:rPr>
              <w:t>2014</w:t>
            </w:r>
          </w:p>
        </w:tc>
        <w:tc>
          <w:tcPr>
            <w:tcW w:w="1074" w:type="dxa"/>
            <w:shd w:val="clear" w:color="auto" w:fill="A5CD7E"/>
            <w:vAlign w:val="center"/>
          </w:tcPr>
          <w:p w:rsidR="00AE554B" w:rsidRDefault="00AE554B" w:rsidP="007370C9">
            <w:pPr>
              <w:spacing w:before="120"/>
              <w:jc w:val="center"/>
              <w:rPr>
                <w:b/>
              </w:rPr>
            </w:pPr>
            <w:r>
              <w:rPr>
                <w:b/>
              </w:rPr>
              <w:t>2015</w:t>
            </w:r>
          </w:p>
        </w:tc>
      </w:tr>
      <w:tr w:rsidR="00AE554B" w:rsidRPr="004D00D1" w:rsidTr="00701DCF">
        <w:trPr>
          <w:trHeight w:val="20"/>
          <w:jc w:val="center"/>
        </w:trPr>
        <w:tc>
          <w:tcPr>
            <w:tcW w:w="1169" w:type="dxa"/>
            <w:shd w:val="clear" w:color="auto" w:fill="auto"/>
            <w:vAlign w:val="center"/>
          </w:tcPr>
          <w:p w:rsidR="00AE554B" w:rsidRPr="003B6894" w:rsidRDefault="00AE554B" w:rsidP="00701DCF">
            <w:pPr>
              <w:spacing w:after="0"/>
              <w:jc w:val="center"/>
              <w:rPr>
                <w:rFonts w:cs="Arial"/>
                <w:color w:val="000000"/>
              </w:rPr>
            </w:pPr>
            <w:r>
              <w:rPr>
                <w:rFonts w:cs="Arial"/>
                <w:color w:val="000000"/>
              </w:rPr>
              <w:t>SAIFI</w:t>
            </w:r>
          </w:p>
        </w:tc>
        <w:tc>
          <w:tcPr>
            <w:tcW w:w="1074" w:type="dxa"/>
            <w:vAlign w:val="center"/>
          </w:tcPr>
          <w:p w:rsidR="00AE554B" w:rsidRPr="003B6894" w:rsidRDefault="00AE554B" w:rsidP="00701DCF">
            <w:pPr>
              <w:spacing w:after="0"/>
              <w:jc w:val="center"/>
              <w:rPr>
                <w:rFonts w:cs="Arial"/>
                <w:color w:val="000000"/>
              </w:rPr>
            </w:pPr>
            <w:r>
              <w:rPr>
                <w:rFonts w:cs="Arial"/>
                <w:color w:val="000000"/>
              </w:rPr>
              <w:t>1.09</w:t>
            </w:r>
          </w:p>
        </w:tc>
        <w:tc>
          <w:tcPr>
            <w:tcW w:w="1074" w:type="dxa"/>
            <w:vAlign w:val="center"/>
          </w:tcPr>
          <w:p w:rsidR="00AE554B" w:rsidRPr="003B6894" w:rsidRDefault="00AE554B" w:rsidP="00701DCF">
            <w:pPr>
              <w:spacing w:after="0"/>
              <w:jc w:val="center"/>
              <w:rPr>
                <w:rFonts w:cs="Arial"/>
                <w:color w:val="000000"/>
              </w:rPr>
            </w:pPr>
            <w:r>
              <w:rPr>
                <w:rFonts w:cs="Arial"/>
                <w:color w:val="000000"/>
              </w:rPr>
              <w:t>1.07</w:t>
            </w:r>
          </w:p>
        </w:tc>
        <w:tc>
          <w:tcPr>
            <w:tcW w:w="1074" w:type="dxa"/>
            <w:vAlign w:val="center"/>
          </w:tcPr>
          <w:p w:rsidR="00AE554B" w:rsidRPr="003B6894" w:rsidRDefault="00AE554B" w:rsidP="00701DCF">
            <w:pPr>
              <w:spacing w:after="0"/>
              <w:jc w:val="center"/>
              <w:rPr>
                <w:rFonts w:cs="Arial"/>
                <w:color w:val="000000"/>
              </w:rPr>
            </w:pPr>
            <w:r w:rsidRPr="003B6894">
              <w:rPr>
                <w:rFonts w:cs="Arial"/>
                <w:color w:val="000000"/>
              </w:rPr>
              <w:t>1.08</w:t>
            </w:r>
          </w:p>
        </w:tc>
        <w:tc>
          <w:tcPr>
            <w:tcW w:w="1074" w:type="dxa"/>
            <w:vAlign w:val="center"/>
          </w:tcPr>
          <w:p w:rsidR="00AE554B" w:rsidRPr="003B6894" w:rsidRDefault="00AE554B" w:rsidP="00701DCF">
            <w:pPr>
              <w:spacing w:after="0"/>
              <w:jc w:val="center"/>
              <w:rPr>
                <w:rFonts w:cs="Arial"/>
                <w:color w:val="000000"/>
              </w:rPr>
            </w:pPr>
            <w:r>
              <w:rPr>
                <w:rFonts w:cs="Arial"/>
                <w:color w:val="000000"/>
              </w:rPr>
              <w:t>0.82</w:t>
            </w:r>
          </w:p>
        </w:tc>
        <w:tc>
          <w:tcPr>
            <w:tcW w:w="1074" w:type="dxa"/>
            <w:vAlign w:val="center"/>
          </w:tcPr>
          <w:p w:rsidR="00AE554B" w:rsidRPr="003B6894" w:rsidRDefault="00AE554B" w:rsidP="00701DCF">
            <w:pPr>
              <w:spacing w:after="0"/>
              <w:jc w:val="center"/>
              <w:rPr>
                <w:rFonts w:cs="Arial"/>
                <w:color w:val="000000"/>
              </w:rPr>
            </w:pPr>
            <w:r>
              <w:rPr>
                <w:rFonts w:cs="Arial"/>
                <w:color w:val="000000"/>
              </w:rPr>
              <w:t>0.92</w:t>
            </w:r>
          </w:p>
        </w:tc>
        <w:tc>
          <w:tcPr>
            <w:tcW w:w="1074" w:type="dxa"/>
            <w:vAlign w:val="center"/>
          </w:tcPr>
          <w:p w:rsidR="00AE554B" w:rsidRDefault="00AE554B" w:rsidP="00701DCF">
            <w:pPr>
              <w:spacing w:after="0"/>
              <w:jc w:val="center"/>
              <w:rPr>
                <w:rFonts w:cs="Arial"/>
                <w:color w:val="000000"/>
              </w:rPr>
            </w:pPr>
            <w:r>
              <w:rPr>
                <w:rFonts w:cs="Arial"/>
                <w:color w:val="000000"/>
              </w:rPr>
              <w:t>.72</w:t>
            </w:r>
          </w:p>
        </w:tc>
      </w:tr>
      <w:tr w:rsidR="00AE554B" w:rsidRPr="004D00D1" w:rsidTr="00701DCF">
        <w:trPr>
          <w:trHeight w:val="20"/>
          <w:jc w:val="center"/>
        </w:trPr>
        <w:tc>
          <w:tcPr>
            <w:tcW w:w="7613" w:type="dxa"/>
            <w:gridSpan w:val="7"/>
            <w:shd w:val="clear" w:color="auto" w:fill="auto"/>
            <w:vAlign w:val="center"/>
          </w:tcPr>
          <w:p w:rsidR="00AE554B" w:rsidRDefault="00AE554B" w:rsidP="00701DCF">
            <w:pPr>
              <w:spacing w:after="0"/>
              <w:jc w:val="left"/>
              <w:rPr>
                <w:rFonts w:cs="Arial"/>
                <w:color w:val="000000"/>
              </w:rPr>
            </w:pPr>
            <w:r w:rsidRPr="003B6894">
              <w:rPr>
                <w:rFonts w:cs="Arial"/>
              </w:rPr>
              <w:t>Source: PA PUC Service Reliability Reports 2010</w:t>
            </w:r>
            <w:r>
              <w:rPr>
                <w:rFonts w:cs="Arial"/>
              </w:rPr>
              <w:t>–</w:t>
            </w:r>
            <w:r w:rsidRPr="003B6894">
              <w:rPr>
                <w:rFonts w:cs="Arial"/>
              </w:rPr>
              <w:t>2014</w:t>
            </w:r>
            <w:r>
              <w:rPr>
                <w:rFonts w:cs="Arial"/>
              </w:rPr>
              <w:t>; PPL 2015</w:t>
            </w:r>
          </w:p>
        </w:tc>
      </w:tr>
    </w:tbl>
    <w:p w:rsidR="00AE554B" w:rsidRDefault="00AE554B" w:rsidP="00701DCF">
      <w:pPr>
        <w:pStyle w:val="Normal-aftertable"/>
      </w:pPr>
      <w:r w:rsidRPr="007D7B1B">
        <w:t>SAIFI</w:t>
      </w:r>
      <w:r>
        <w:t xml:space="preserve"> </w:t>
      </w:r>
      <w:r w:rsidRPr="007D7B1B">
        <w:t xml:space="preserve">is the average number of times that a system customer is interrupted during a year. </w:t>
      </w:r>
      <w:r>
        <w:t xml:space="preserve"> </w:t>
      </w:r>
      <w:r w:rsidRPr="007D7B1B">
        <w:t>It is computed by dividing the total number of customers interrupted in a year by the average number of cu</w:t>
      </w:r>
      <w:r>
        <w:t>stomers served during the year.</w:t>
      </w:r>
    </w:p>
    <w:p w:rsidR="00AE554B" w:rsidRDefault="00AE554B" w:rsidP="00701DCF">
      <w:r>
        <w:t>SAIFI performance in 2013, 2014, and 2015 was below the benchmark.  It appears that the vegetation management and system improvements are showing a positive impact on the frequency of outages as measured by SAIFI.</w:t>
      </w:r>
    </w:p>
    <w:p w:rsidR="00AE554B" w:rsidRDefault="00AE554B" w:rsidP="00701DCF">
      <w:pPr>
        <w:pStyle w:val="Normal-aftertable"/>
      </w:pPr>
      <w:r>
        <w:t>Caution should be used in evaluating single year results due to the large impact of weather on performance.  Longer term trends provide a more accurate perspective on system reliability.</w:t>
      </w:r>
    </w:p>
    <w:p w:rsidR="00AE554B" w:rsidRDefault="00AE554B" w:rsidP="00701DCF">
      <w:r>
        <w:t>PPL EU has implemented programs to increase the level of vegetation management, reduce the number of customer experiencing multiple outages in a year, add automated fault isolation and restoration, and implemented a number of programs under the Long Term Infrastructure Improvement Plan to mitigate outage causes, such as the installation of animal guards.</w:t>
      </w:r>
    </w:p>
    <w:p w:rsidR="00AE554B" w:rsidRDefault="00AE554B" w:rsidP="00701DCF">
      <w:r>
        <w:t>Response time to outage events is also targeted for improvement.  These initiatives should result in sustainable improvements to all three metrics in the next three to five years as the initiatives are substantially implemented.</w:t>
      </w:r>
    </w:p>
    <w:p w:rsidR="00AE554B" w:rsidRDefault="00AE554B" w:rsidP="00B86FA4">
      <w:pPr>
        <w:pStyle w:val="Findings"/>
        <w:numPr>
          <w:ilvl w:val="0"/>
          <w:numId w:val="21"/>
        </w:numPr>
      </w:pPr>
      <w:r>
        <w:t>Tree-related outages and equipment failure remain as the top two outage causes.</w:t>
      </w:r>
    </w:p>
    <w:p w:rsidR="00AE554B" w:rsidRDefault="00AE554B" w:rsidP="00701DCF">
      <w:pPr>
        <w:jc w:val="left"/>
        <w:sectPr w:rsidR="00AE554B" w:rsidSect="00701DCF">
          <w:footerReference w:type="default" r:id="rId48"/>
          <w:type w:val="continuous"/>
          <w:pgSz w:w="12240" w:h="15840"/>
          <w:pgMar w:top="1440" w:right="1440" w:bottom="1440" w:left="1440" w:header="720" w:footer="576" w:gutter="0"/>
          <w:cols w:space="720"/>
          <w:docGrid w:linePitch="360"/>
        </w:sectPr>
      </w:pPr>
      <w:r>
        <w:t xml:space="preserve">The following exhibit summarizes outage </w:t>
      </w:r>
      <w:proofErr w:type="gramStart"/>
      <w:r>
        <w:t>cause</w:t>
      </w:r>
      <w:proofErr w:type="gramEnd"/>
      <w:r>
        <w:t xml:space="preserve"> information related to the annual reliability reporting.</w:t>
      </w:r>
    </w:p>
    <w:p w:rsidR="00AE554B" w:rsidRDefault="00AD2223" w:rsidP="00AD2223">
      <w:pPr>
        <w:pStyle w:val="Caption"/>
      </w:pPr>
      <w:bookmarkStart w:id="168" w:name="_Toc464552993"/>
      <w:r>
        <w:lastRenderedPageBreak/>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26</w:t>
      </w:r>
      <w:r w:rsidR="00CB2B2A">
        <w:rPr>
          <w:noProof/>
        </w:rPr>
        <w:fldChar w:fldCharType="end"/>
      </w:r>
      <w:r w:rsidR="002F6183">
        <w:br/>
      </w:r>
      <w:r w:rsidR="00AE554B">
        <w:t>PPL EU Outage Cause Summary 2010–2015</w:t>
      </w:r>
      <w:bookmarkEnd w:id="168"/>
    </w:p>
    <w:tbl>
      <w:tblPr>
        <w:tblW w:w="13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8"/>
        <w:gridCol w:w="1588"/>
        <w:gridCol w:w="1668"/>
        <w:gridCol w:w="1589"/>
        <w:gridCol w:w="1620"/>
        <w:gridCol w:w="1620"/>
        <w:gridCol w:w="1710"/>
        <w:gridCol w:w="1663"/>
      </w:tblGrid>
      <w:tr w:rsidR="00AE554B" w:rsidRPr="007370C9" w:rsidTr="00A113F8">
        <w:trPr>
          <w:cantSplit/>
          <w:trHeight w:val="20"/>
          <w:tblHeader/>
          <w:jc w:val="center"/>
        </w:trPr>
        <w:tc>
          <w:tcPr>
            <w:tcW w:w="1588" w:type="dxa"/>
            <w:shd w:val="clear" w:color="auto" w:fill="A5CD7E"/>
            <w:vAlign w:val="center"/>
          </w:tcPr>
          <w:p w:rsidR="00AE554B" w:rsidRPr="007370C9" w:rsidRDefault="00AE554B" w:rsidP="007370C9">
            <w:pPr>
              <w:spacing w:before="120"/>
              <w:jc w:val="center"/>
              <w:rPr>
                <w:b/>
              </w:rPr>
            </w:pPr>
            <w:r w:rsidRPr="007370C9">
              <w:rPr>
                <w:b/>
              </w:rPr>
              <w:t>Cause</w:t>
            </w:r>
          </w:p>
        </w:tc>
        <w:tc>
          <w:tcPr>
            <w:tcW w:w="1588" w:type="dxa"/>
            <w:shd w:val="clear" w:color="auto" w:fill="A5CD7E"/>
            <w:vAlign w:val="center"/>
          </w:tcPr>
          <w:p w:rsidR="00AE554B" w:rsidRPr="007370C9" w:rsidRDefault="00AE554B" w:rsidP="007370C9">
            <w:pPr>
              <w:spacing w:before="120"/>
              <w:jc w:val="center"/>
              <w:rPr>
                <w:b/>
              </w:rPr>
            </w:pPr>
            <w:r w:rsidRPr="007370C9">
              <w:rPr>
                <w:b/>
              </w:rPr>
              <w:t>Minutes</w:t>
            </w:r>
          </w:p>
        </w:tc>
        <w:tc>
          <w:tcPr>
            <w:tcW w:w="1668" w:type="dxa"/>
            <w:shd w:val="clear" w:color="auto" w:fill="A5CD7E"/>
            <w:vAlign w:val="center"/>
          </w:tcPr>
          <w:p w:rsidR="00AE554B" w:rsidRPr="007370C9" w:rsidRDefault="00AE554B" w:rsidP="007370C9">
            <w:pPr>
              <w:spacing w:before="120"/>
              <w:jc w:val="center"/>
              <w:rPr>
                <w:b/>
              </w:rPr>
            </w:pPr>
            <w:r w:rsidRPr="007370C9">
              <w:rPr>
                <w:b/>
              </w:rPr>
              <w:t>2010</w:t>
            </w:r>
          </w:p>
        </w:tc>
        <w:tc>
          <w:tcPr>
            <w:tcW w:w="1589" w:type="dxa"/>
            <w:shd w:val="clear" w:color="auto" w:fill="A5CD7E"/>
            <w:vAlign w:val="center"/>
          </w:tcPr>
          <w:p w:rsidR="00AE554B" w:rsidRPr="007370C9" w:rsidRDefault="00AE554B" w:rsidP="007370C9">
            <w:pPr>
              <w:spacing w:before="120"/>
              <w:jc w:val="center"/>
              <w:rPr>
                <w:b/>
              </w:rPr>
            </w:pPr>
            <w:r w:rsidRPr="007370C9">
              <w:rPr>
                <w:b/>
              </w:rPr>
              <w:t>2011</w:t>
            </w:r>
          </w:p>
        </w:tc>
        <w:tc>
          <w:tcPr>
            <w:tcW w:w="1620" w:type="dxa"/>
            <w:shd w:val="clear" w:color="auto" w:fill="A5CD7E"/>
            <w:vAlign w:val="center"/>
          </w:tcPr>
          <w:p w:rsidR="00AE554B" w:rsidRPr="007370C9" w:rsidRDefault="00AE554B" w:rsidP="007370C9">
            <w:pPr>
              <w:spacing w:before="120"/>
              <w:jc w:val="center"/>
              <w:rPr>
                <w:b/>
              </w:rPr>
            </w:pPr>
            <w:r w:rsidRPr="007370C9">
              <w:rPr>
                <w:b/>
              </w:rPr>
              <w:t>2012</w:t>
            </w:r>
          </w:p>
        </w:tc>
        <w:tc>
          <w:tcPr>
            <w:tcW w:w="1620" w:type="dxa"/>
            <w:shd w:val="clear" w:color="auto" w:fill="A5CD7E"/>
            <w:vAlign w:val="center"/>
          </w:tcPr>
          <w:p w:rsidR="00AE554B" w:rsidRPr="007370C9" w:rsidRDefault="00AE554B" w:rsidP="007370C9">
            <w:pPr>
              <w:spacing w:before="120"/>
              <w:jc w:val="center"/>
              <w:rPr>
                <w:b/>
              </w:rPr>
            </w:pPr>
            <w:r w:rsidRPr="007370C9">
              <w:rPr>
                <w:b/>
              </w:rPr>
              <w:t>2013</w:t>
            </w:r>
          </w:p>
        </w:tc>
        <w:tc>
          <w:tcPr>
            <w:tcW w:w="1710" w:type="dxa"/>
            <w:shd w:val="clear" w:color="auto" w:fill="A5CD7E"/>
            <w:vAlign w:val="center"/>
          </w:tcPr>
          <w:p w:rsidR="00AE554B" w:rsidRPr="007370C9" w:rsidRDefault="00AE554B" w:rsidP="007370C9">
            <w:pPr>
              <w:spacing w:before="120"/>
              <w:jc w:val="center"/>
              <w:rPr>
                <w:b/>
              </w:rPr>
            </w:pPr>
            <w:r w:rsidRPr="007370C9">
              <w:rPr>
                <w:b/>
              </w:rPr>
              <w:t>2014</w:t>
            </w:r>
          </w:p>
        </w:tc>
        <w:tc>
          <w:tcPr>
            <w:tcW w:w="1663" w:type="dxa"/>
            <w:shd w:val="clear" w:color="auto" w:fill="A5CD7E"/>
            <w:vAlign w:val="center"/>
          </w:tcPr>
          <w:p w:rsidR="00AE554B" w:rsidRPr="007370C9" w:rsidRDefault="00AE554B" w:rsidP="007370C9">
            <w:pPr>
              <w:spacing w:before="120"/>
              <w:jc w:val="center"/>
              <w:rPr>
                <w:b/>
              </w:rPr>
            </w:pPr>
            <w:r w:rsidRPr="007370C9">
              <w:rPr>
                <w:b/>
              </w:rPr>
              <w:t>2015</w:t>
            </w:r>
          </w:p>
        </w:tc>
      </w:tr>
      <w:tr w:rsidR="00AE554B" w:rsidRPr="004D00D1" w:rsidTr="00701DCF">
        <w:trPr>
          <w:cantSplit/>
          <w:trHeight w:val="20"/>
          <w:jc w:val="center"/>
        </w:trPr>
        <w:tc>
          <w:tcPr>
            <w:tcW w:w="1588" w:type="dxa"/>
            <w:vMerge w:val="restart"/>
            <w:shd w:val="clear" w:color="auto" w:fill="auto"/>
            <w:vAlign w:val="center"/>
          </w:tcPr>
          <w:p w:rsidR="00AE554B" w:rsidRDefault="00AE554B" w:rsidP="00701DCF">
            <w:pPr>
              <w:pStyle w:val="Tabletext"/>
            </w:pPr>
            <w:r>
              <w:t>Tree-related</w:t>
            </w:r>
          </w:p>
        </w:tc>
        <w:tc>
          <w:tcPr>
            <w:tcW w:w="1588" w:type="dxa"/>
            <w:vAlign w:val="center"/>
          </w:tcPr>
          <w:p w:rsidR="00AE554B" w:rsidRDefault="00AE554B" w:rsidP="00701DCF">
            <w:pPr>
              <w:pStyle w:val="Tabletext"/>
            </w:pPr>
            <w:r>
              <w:t>Customer Minutes</w:t>
            </w:r>
          </w:p>
        </w:tc>
        <w:tc>
          <w:tcPr>
            <w:tcW w:w="1668" w:type="dxa"/>
            <w:vAlign w:val="center"/>
          </w:tcPr>
          <w:p w:rsidR="00AE554B" w:rsidRDefault="00AE554B" w:rsidP="00701DCF">
            <w:pPr>
              <w:pStyle w:val="Tabletext"/>
            </w:pPr>
            <w:r>
              <w:t>110,931,235</w:t>
            </w:r>
          </w:p>
        </w:tc>
        <w:tc>
          <w:tcPr>
            <w:tcW w:w="1589" w:type="dxa"/>
            <w:vAlign w:val="center"/>
          </w:tcPr>
          <w:p w:rsidR="00AE554B" w:rsidRDefault="00AE554B" w:rsidP="00701DCF">
            <w:pPr>
              <w:pStyle w:val="Tabletext"/>
            </w:pPr>
            <w:r>
              <w:t>106,709,278</w:t>
            </w:r>
          </w:p>
        </w:tc>
        <w:tc>
          <w:tcPr>
            <w:tcW w:w="1620" w:type="dxa"/>
            <w:vAlign w:val="center"/>
          </w:tcPr>
          <w:p w:rsidR="00AE554B" w:rsidRDefault="00AE554B" w:rsidP="00701DCF">
            <w:pPr>
              <w:pStyle w:val="Tabletext"/>
            </w:pPr>
            <w:r>
              <w:t>121,250,759</w:t>
            </w:r>
          </w:p>
        </w:tc>
        <w:tc>
          <w:tcPr>
            <w:tcW w:w="1620" w:type="dxa"/>
            <w:vAlign w:val="center"/>
          </w:tcPr>
          <w:p w:rsidR="00AE554B" w:rsidRDefault="00AE554B" w:rsidP="00701DCF">
            <w:pPr>
              <w:pStyle w:val="Tabletext"/>
            </w:pPr>
            <w:r>
              <w:t>48,669,905</w:t>
            </w:r>
          </w:p>
        </w:tc>
        <w:tc>
          <w:tcPr>
            <w:tcW w:w="1710" w:type="dxa"/>
            <w:vAlign w:val="center"/>
          </w:tcPr>
          <w:p w:rsidR="00AE554B" w:rsidRDefault="00AE554B" w:rsidP="00701DCF">
            <w:pPr>
              <w:pStyle w:val="Tabletext"/>
            </w:pPr>
            <w:r>
              <w:t>141,665,189</w:t>
            </w:r>
          </w:p>
        </w:tc>
        <w:tc>
          <w:tcPr>
            <w:tcW w:w="1663" w:type="dxa"/>
            <w:vAlign w:val="center"/>
          </w:tcPr>
          <w:p w:rsidR="00AE554B" w:rsidRDefault="00AE554B" w:rsidP="00701DCF">
            <w:pPr>
              <w:pStyle w:val="Tabletext"/>
            </w:pPr>
            <w:r>
              <w:t>48,851,318</w:t>
            </w:r>
          </w:p>
        </w:tc>
      </w:tr>
      <w:tr w:rsidR="00AE554B" w:rsidRPr="004D00D1" w:rsidTr="00701DCF">
        <w:trPr>
          <w:cantSplit/>
          <w:trHeight w:val="20"/>
          <w:jc w:val="center"/>
        </w:trPr>
        <w:tc>
          <w:tcPr>
            <w:tcW w:w="1588" w:type="dxa"/>
            <w:vMerge/>
            <w:shd w:val="clear" w:color="auto" w:fill="auto"/>
            <w:vAlign w:val="center"/>
          </w:tcPr>
          <w:p w:rsidR="00AE554B" w:rsidRPr="003B6894" w:rsidRDefault="00AE554B" w:rsidP="00701DCF">
            <w:pPr>
              <w:pStyle w:val="Tabletext"/>
            </w:pPr>
          </w:p>
        </w:tc>
        <w:tc>
          <w:tcPr>
            <w:tcW w:w="1588" w:type="dxa"/>
            <w:vAlign w:val="center"/>
          </w:tcPr>
          <w:p w:rsidR="00AE554B" w:rsidRDefault="00AE554B" w:rsidP="00701DCF">
            <w:pPr>
              <w:pStyle w:val="Tabletext"/>
            </w:pPr>
            <w:r>
              <w:t>Percent of Customer Minutes</w:t>
            </w:r>
          </w:p>
        </w:tc>
        <w:tc>
          <w:tcPr>
            <w:tcW w:w="1668" w:type="dxa"/>
            <w:vAlign w:val="center"/>
          </w:tcPr>
          <w:p w:rsidR="00AE554B" w:rsidRDefault="00AE554B" w:rsidP="00701DCF">
            <w:pPr>
              <w:pStyle w:val="Tabletext"/>
            </w:pPr>
            <w:r>
              <w:t>54.4%</w:t>
            </w:r>
          </w:p>
        </w:tc>
        <w:tc>
          <w:tcPr>
            <w:tcW w:w="1589" w:type="dxa"/>
            <w:vAlign w:val="center"/>
          </w:tcPr>
          <w:p w:rsidR="00AE554B" w:rsidRDefault="00AE554B" w:rsidP="00701DCF">
            <w:pPr>
              <w:pStyle w:val="Tabletext"/>
            </w:pPr>
            <w:r>
              <w:t>47.4%</w:t>
            </w:r>
          </w:p>
        </w:tc>
        <w:tc>
          <w:tcPr>
            <w:tcW w:w="1620" w:type="dxa"/>
            <w:vAlign w:val="center"/>
          </w:tcPr>
          <w:p w:rsidR="00AE554B" w:rsidRDefault="00AE554B" w:rsidP="00701DCF">
            <w:pPr>
              <w:pStyle w:val="Tabletext"/>
            </w:pPr>
            <w:r>
              <w:t>53.1%</w:t>
            </w:r>
          </w:p>
        </w:tc>
        <w:tc>
          <w:tcPr>
            <w:tcW w:w="1620" w:type="dxa"/>
            <w:vAlign w:val="center"/>
          </w:tcPr>
          <w:p w:rsidR="00AE554B" w:rsidRDefault="00AE554B" w:rsidP="00701DCF">
            <w:pPr>
              <w:pStyle w:val="Tabletext"/>
            </w:pPr>
            <w:r>
              <w:t>39.4%</w:t>
            </w:r>
          </w:p>
        </w:tc>
        <w:tc>
          <w:tcPr>
            <w:tcW w:w="1710" w:type="dxa"/>
            <w:vAlign w:val="center"/>
          </w:tcPr>
          <w:p w:rsidR="00AE554B" w:rsidRDefault="00AE554B" w:rsidP="00701DCF">
            <w:pPr>
              <w:pStyle w:val="Tabletext"/>
            </w:pPr>
            <w:r>
              <w:t>61.0%</w:t>
            </w:r>
          </w:p>
        </w:tc>
        <w:tc>
          <w:tcPr>
            <w:tcW w:w="1663" w:type="dxa"/>
            <w:vAlign w:val="center"/>
          </w:tcPr>
          <w:p w:rsidR="00AE554B" w:rsidRDefault="00AE554B" w:rsidP="00701DCF">
            <w:pPr>
              <w:pStyle w:val="Tabletext"/>
            </w:pPr>
            <w:r>
              <w:t>41.2%</w:t>
            </w:r>
          </w:p>
        </w:tc>
      </w:tr>
      <w:tr w:rsidR="00AE554B" w:rsidRPr="004D00D1" w:rsidTr="00701DCF">
        <w:trPr>
          <w:cantSplit/>
          <w:trHeight w:val="20"/>
          <w:jc w:val="center"/>
        </w:trPr>
        <w:tc>
          <w:tcPr>
            <w:tcW w:w="1588" w:type="dxa"/>
            <w:vMerge w:val="restart"/>
            <w:shd w:val="clear" w:color="auto" w:fill="auto"/>
            <w:vAlign w:val="center"/>
          </w:tcPr>
          <w:p w:rsidR="00AE554B" w:rsidRDefault="00AE554B" w:rsidP="00701DCF">
            <w:pPr>
              <w:pStyle w:val="Tabletext"/>
            </w:pPr>
            <w:r>
              <w:t>Equipment Failures</w:t>
            </w:r>
          </w:p>
        </w:tc>
        <w:tc>
          <w:tcPr>
            <w:tcW w:w="1588" w:type="dxa"/>
            <w:vAlign w:val="center"/>
          </w:tcPr>
          <w:p w:rsidR="00AE554B" w:rsidRDefault="00AE554B" w:rsidP="00701DCF">
            <w:pPr>
              <w:pStyle w:val="Tabletext"/>
            </w:pPr>
            <w:r>
              <w:t>Customer Minutes</w:t>
            </w:r>
          </w:p>
        </w:tc>
        <w:tc>
          <w:tcPr>
            <w:tcW w:w="1668" w:type="dxa"/>
            <w:vAlign w:val="center"/>
          </w:tcPr>
          <w:p w:rsidR="00AE554B" w:rsidRDefault="00AE554B" w:rsidP="00701DCF">
            <w:pPr>
              <w:pStyle w:val="Tabletext"/>
            </w:pPr>
            <w:r>
              <w:t>55,960,493</w:t>
            </w:r>
          </w:p>
        </w:tc>
        <w:tc>
          <w:tcPr>
            <w:tcW w:w="1589" w:type="dxa"/>
            <w:vAlign w:val="center"/>
          </w:tcPr>
          <w:p w:rsidR="00AE554B" w:rsidRDefault="00AE554B" w:rsidP="00701DCF">
            <w:pPr>
              <w:pStyle w:val="Tabletext"/>
            </w:pPr>
            <w:r>
              <w:t>61,194,786</w:t>
            </w:r>
          </w:p>
        </w:tc>
        <w:tc>
          <w:tcPr>
            <w:tcW w:w="1620" w:type="dxa"/>
            <w:vAlign w:val="center"/>
          </w:tcPr>
          <w:p w:rsidR="00AE554B" w:rsidRDefault="00AE554B" w:rsidP="00701DCF">
            <w:pPr>
              <w:pStyle w:val="Tabletext"/>
            </w:pPr>
            <w:r>
              <w:t>63,999,023</w:t>
            </w:r>
          </w:p>
        </w:tc>
        <w:tc>
          <w:tcPr>
            <w:tcW w:w="1620" w:type="dxa"/>
            <w:vAlign w:val="center"/>
          </w:tcPr>
          <w:p w:rsidR="00AE554B" w:rsidRDefault="00AE554B" w:rsidP="00701DCF">
            <w:pPr>
              <w:pStyle w:val="Tabletext"/>
            </w:pPr>
            <w:r>
              <w:t>32,934,266</w:t>
            </w:r>
          </w:p>
        </w:tc>
        <w:tc>
          <w:tcPr>
            <w:tcW w:w="1710" w:type="dxa"/>
            <w:vAlign w:val="center"/>
          </w:tcPr>
          <w:p w:rsidR="00AE554B" w:rsidRDefault="00AE554B" w:rsidP="00701DCF">
            <w:pPr>
              <w:pStyle w:val="Tabletext"/>
            </w:pPr>
            <w:r>
              <w:t>56,040,526</w:t>
            </w:r>
          </w:p>
        </w:tc>
        <w:tc>
          <w:tcPr>
            <w:tcW w:w="1663" w:type="dxa"/>
            <w:vAlign w:val="center"/>
          </w:tcPr>
          <w:p w:rsidR="00AE554B" w:rsidRDefault="00AE554B" w:rsidP="00701DCF">
            <w:pPr>
              <w:pStyle w:val="Tabletext"/>
            </w:pPr>
            <w:r>
              <w:t>34,279,080</w:t>
            </w:r>
          </w:p>
        </w:tc>
      </w:tr>
      <w:tr w:rsidR="00AE554B" w:rsidRPr="004D00D1" w:rsidTr="00701DCF">
        <w:trPr>
          <w:cantSplit/>
          <w:trHeight w:val="20"/>
          <w:jc w:val="center"/>
        </w:trPr>
        <w:tc>
          <w:tcPr>
            <w:tcW w:w="1588" w:type="dxa"/>
            <w:vMerge/>
            <w:shd w:val="clear" w:color="auto" w:fill="auto"/>
            <w:vAlign w:val="center"/>
          </w:tcPr>
          <w:p w:rsidR="00AE554B" w:rsidRPr="003B6894" w:rsidRDefault="00AE554B" w:rsidP="00701DCF">
            <w:pPr>
              <w:pStyle w:val="Tabletext"/>
            </w:pPr>
          </w:p>
        </w:tc>
        <w:tc>
          <w:tcPr>
            <w:tcW w:w="1588" w:type="dxa"/>
            <w:vAlign w:val="center"/>
          </w:tcPr>
          <w:p w:rsidR="00AE554B" w:rsidRDefault="00AE554B" w:rsidP="00701DCF">
            <w:pPr>
              <w:pStyle w:val="Tabletext"/>
            </w:pPr>
            <w:r>
              <w:t>Percent of Customer Minutes</w:t>
            </w:r>
          </w:p>
        </w:tc>
        <w:tc>
          <w:tcPr>
            <w:tcW w:w="1668" w:type="dxa"/>
            <w:vAlign w:val="center"/>
          </w:tcPr>
          <w:p w:rsidR="00AE554B" w:rsidRDefault="00AE554B" w:rsidP="00701DCF">
            <w:pPr>
              <w:pStyle w:val="Tabletext"/>
            </w:pPr>
            <w:r>
              <w:t>27.4%</w:t>
            </w:r>
          </w:p>
        </w:tc>
        <w:tc>
          <w:tcPr>
            <w:tcW w:w="1589" w:type="dxa"/>
            <w:vAlign w:val="center"/>
          </w:tcPr>
          <w:p w:rsidR="00AE554B" w:rsidRDefault="00AE554B" w:rsidP="00701DCF">
            <w:pPr>
              <w:pStyle w:val="Tabletext"/>
            </w:pPr>
            <w:r>
              <w:t>27.2%</w:t>
            </w:r>
          </w:p>
        </w:tc>
        <w:tc>
          <w:tcPr>
            <w:tcW w:w="1620" w:type="dxa"/>
            <w:vAlign w:val="center"/>
          </w:tcPr>
          <w:p w:rsidR="00AE554B" w:rsidRDefault="00AE554B" w:rsidP="00701DCF">
            <w:pPr>
              <w:pStyle w:val="Tabletext"/>
            </w:pPr>
            <w:r>
              <w:t>28.1%</w:t>
            </w:r>
          </w:p>
        </w:tc>
        <w:tc>
          <w:tcPr>
            <w:tcW w:w="1620" w:type="dxa"/>
            <w:vAlign w:val="center"/>
          </w:tcPr>
          <w:p w:rsidR="00AE554B" w:rsidRDefault="00AE554B" w:rsidP="00701DCF">
            <w:pPr>
              <w:pStyle w:val="Tabletext"/>
            </w:pPr>
            <w:r>
              <w:t>26.6%</w:t>
            </w:r>
          </w:p>
        </w:tc>
        <w:tc>
          <w:tcPr>
            <w:tcW w:w="1710" w:type="dxa"/>
            <w:vAlign w:val="center"/>
          </w:tcPr>
          <w:p w:rsidR="00AE554B" w:rsidRDefault="00AE554B" w:rsidP="00701DCF">
            <w:pPr>
              <w:pStyle w:val="Tabletext"/>
            </w:pPr>
            <w:r>
              <w:t>24.1%</w:t>
            </w:r>
          </w:p>
        </w:tc>
        <w:tc>
          <w:tcPr>
            <w:tcW w:w="1663" w:type="dxa"/>
            <w:vAlign w:val="center"/>
          </w:tcPr>
          <w:p w:rsidR="00AE554B" w:rsidRDefault="00AE554B" w:rsidP="00701DCF">
            <w:pPr>
              <w:pStyle w:val="Tabletext"/>
            </w:pPr>
            <w:r>
              <w:t>28.9%</w:t>
            </w:r>
          </w:p>
        </w:tc>
      </w:tr>
      <w:tr w:rsidR="00AE554B" w:rsidRPr="004D00D1" w:rsidTr="00701DCF">
        <w:trPr>
          <w:cantSplit/>
          <w:trHeight w:val="20"/>
          <w:jc w:val="center"/>
        </w:trPr>
        <w:tc>
          <w:tcPr>
            <w:tcW w:w="1588" w:type="dxa"/>
            <w:vMerge w:val="restart"/>
            <w:shd w:val="clear" w:color="auto" w:fill="auto"/>
            <w:vAlign w:val="center"/>
          </w:tcPr>
          <w:p w:rsidR="00AE554B" w:rsidRDefault="00AE554B" w:rsidP="00701DCF">
            <w:pPr>
              <w:pStyle w:val="Tabletext"/>
            </w:pPr>
            <w:r>
              <w:t>Animals</w:t>
            </w:r>
          </w:p>
        </w:tc>
        <w:tc>
          <w:tcPr>
            <w:tcW w:w="1588" w:type="dxa"/>
            <w:vAlign w:val="center"/>
          </w:tcPr>
          <w:p w:rsidR="00AE554B" w:rsidRDefault="00AE554B" w:rsidP="00701DCF">
            <w:pPr>
              <w:pStyle w:val="Tabletext"/>
            </w:pPr>
            <w:r>
              <w:t>Customer Minutes</w:t>
            </w:r>
          </w:p>
        </w:tc>
        <w:tc>
          <w:tcPr>
            <w:tcW w:w="1668" w:type="dxa"/>
            <w:vAlign w:val="center"/>
          </w:tcPr>
          <w:p w:rsidR="00AE554B" w:rsidRDefault="00AE554B" w:rsidP="00701DCF">
            <w:pPr>
              <w:pStyle w:val="Tabletext"/>
            </w:pPr>
            <w:r>
              <w:t>9,340,005</w:t>
            </w:r>
          </w:p>
        </w:tc>
        <w:tc>
          <w:tcPr>
            <w:tcW w:w="1589" w:type="dxa"/>
            <w:vAlign w:val="center"/>
          </w:tcPr>
          <w:p w:rsidR="00AE554B" w:rsidRDefault="00AE554B" w:rsidP="00701DCF">
            <w:pPr>
              <w:pStyle w:val="Tabletext"/>
            </w:pPr>
            <w:r>
              <w:t>5,078,343</w:t>
            </w:r>
          </w:p>
        </w:tc>
        <w:tc>
          <w:tcPr>
            <w:tcW w:w="1620" w:type="dxa"/>
            <w:vAlign w:val="center"/>
          </w:tcPr>
          <w:p w:rsidR="00AE554B" w:rsidRDefault="00AE554B" w:rsidP="00701DCF">
            <w:pPr>
              <w:pStyle w:val="Tabletext"/>
            </w:pPr>
            <w:r>
              <w:t>4,166,711</w:t>
            </w:r>
          </w:p>
        </w:tc>
        <w:tc>
          <w:tcPr>
            <w:tcW w:w="1620" w:type="dxa"/>
            <w:vAlign w:val="center"/>
          </w:tcPr>
          <w:p w:rsidR="00AE554B" w:rsidRDefault="00AE554B" w:rsidP="00701DCF">
            <w:pPr>
              <w:pStyle w:val="Tabletext"/>
            </w:pPr>
            <w:r>
              <w:t>5,692,006</w:t>
            </w:r>
          </w:p>
        </w:tc>
        <w:tc>
          <w:tcPr>
            <w:tcW w:w="1710" w:type="dxa"/>
            <w:vAlign w:val="center"/>
          </w:tcPr>
          <w:p w:rsidR="00AE554B" w:rsidRDefault="00AE554B" w:rsidP="00701DCF">
            <w:pPr>
              <w:pStyle w:val="Tabletext"/>
            </w:pPr>
            <w:r>
              <w:t>3,427,644</w:t>
            </w:r>
          </w:p>
        </w:tc>
        <w:tc>
          <w:tcPr>
            <w:tcW w:w="1663" w:type="dxa"/>
            <w:vAlign w:val="center"/>
          </w:tcPr>
          <w:p w:rsidR="00AE554B" w:rsidRDefault="00AE554B" w:rsidP="00701DCF">
            <w:pPr>
              <w:pStyle w:val="Tabletext"/>
            </w:pPr>
            <w:r>
              <w:t>3,920,788</w:t>
            </w:r>
          </w:p>
        </w:tc>
      </w:tr>
      <w:tr w:rsidR="00AE554B" w:rsidRPr="004D00D1" w:rsidTr="00701DCF">
        <w:trPr>
          <w:cantSplit/>
          <w:trHeight w:val="20"/>
          <w:jc w:val="center"/>
        </w:trPr>
        <w:tc>
          <w:tcPr>
            <w:tcW w:w="1588" w:type="dxa"/>
            <w:vMerge/>
            <w:shd w:val="clear" w:color="auto" w:fill="auto"/>
            <w:vAlign w:val="center"/>
          </w:tcPr>
          <w:p w:rsidR="00AE554B" w:rsidRPr="003B6894" w:rsidRDefault="00AE554B" w:rsidP="00701DCF">
            <w:pPr>
              <w:pStyle w:val="Tabletext"/>
            </w:pPr>
          </w:p>
        </w:tc>
        <w:tc>
          <w:tcPr>
            <w:tcW w:w="1588" w:type="dxa"/>
            <w:vAlign w:val="center"/>
          </w:tcPr>
          <w:p w:rsidR="00AE554B" w:rsidRDefault="00AE554B" w:rsidP="00701DCF">
            <w:pPr>
              <w:pStyle w:val="Tabletext"/>
            </w:pPr>
            <w:r>
              <w:t>Percent of Customer Minutes</w:t>
            </w:r>
          </w:p>
        </w:tc>
        <w:tc>
          <w:tcPr>
            <w:tcW w:w="1668" w:type="dxa"/>
            <w:vAlign w:val="center"/>
          </w:tcPr>
          <w:p w:rsidR="00AE554B" w:rsidRDefault="00AE554B" w:rsidP="00701DCF">
            <w:pPr>
              <w:pStyle w:val="Tabletext"/>
            </w:pPr>
            <w:r>
              <w:t>4.6%</w:t>
            </w:r>
          </w:p>
        </w:tc>
        <w:tc>
          <w:tcPr>
            <w:tcW w:w="1589" w:type="dxa"/>
            <w:vAlign w:val="center"/>
          </w:tcPr>
          <w:p w:rsidR="00AE554B" w:rsidRDefault="00AE554B" w:rsidP="00701DCF">
            <w:pPr>
              <w:pStyle w:val="Tabletext"/>
            </w:pPr>
            <w:r>
              <w:t>2.3%</w:t>
            </w:r>
          </w:p>
        </w:tc>
        <w:tc>
          <w:tcPr>
            <w:tcW w:w="1620" w:type="dxa"/>
            <w:vAlign w:val="center"/>
          </w:tcPr>
          <w:p w:rsidR="00AE554B" w:rsidRDefault="00AE554B" w:rsidP="00701DCF">
            <w:pPr>
              <w:pStyle w:val="Tabletext"/>
            </w:pPr>
            <w:r>
              <w:t>1.8%</w:t>
            </w:r>
          </w:p>
        </w:tc>
        <w:tc>
          <w:tcPr>
            <w:tcW w:w="1620" w:type="dxa"/>
            <w:vAlign w:val="center"/>
          </w:tcPr>
          <w:p w:rsidR="00AE554B" w:rsidRDefault="00AE554B" w:rsidP="00701DCF">
            <w:pPr>
              <w:pStyle w:val="Tabletext"/>
            </w:pPr>
            <w:r>
              <w:t>4.6%</w:t>
            </w:r>
          </w:p>
        </w:tc>
        <w:tc>
          <w:tcPr>
            <w:tcW w:w="1710" w:type="dxa"/>
            <w:vAlign w:val="center"/>
          </w:tcPr>
          <w:p w:rsidR="00AE554B" w:rsidRDefault="00AE554B" w:rsidP="00701DCF">
            <w:pPr>
              <w:pStyle w:val="Tabletext"/>
            </w:pPr>
            <w:r>
              <w:t>1.5%</w:t>
            </w:r>
          </w:p>
        </w:tc>
        <w:tc>
          <w:tcPr>
            <w:tcW w:w="1663" w:type="dxa"/>
            <w:vAlign w:val="center"/>
          </w:tcPr>
          <w:p w:rsidR="00AE554B" w:rsidRDefault="00AE554B" w:rsidP="00701DCF">
            <w:pPr>
              <w:pStyle w:val="Tabletext"/>
            </w:pPr>
            <w:r>
              <w:t>3.3%</w:t>
            </w:r>
          </w:p>
        </w:tc>
      </w:tr>
      <w:tr w:rsidR="00AE554B" w:rsidRPr="004D00D1" w:rsidTr="00701DCF">
        <w:trPr>
          <w:cantSplit/>
          <w:trHeight w:val="20"/>
          <w:jc w:val="center"/>
        </w:trPr>
        <w:tc>
          <w:tcPr>
            <w:tcW w:w="1588" w:type="dxa"/>
            <w:vMerge w:val="restart"/>
            <w:shd w:val="clear" w:color="auto" w:fill="auto"/>
            <w:vAlign w:val="center"/>
          </w:tcPr>
          <w:p w:rsidR="00AE554B" w:rsidRDefault="00AE554B" w:rsidP="00701DCF">
            <w:pPr>
              <w:pStyle w:val="Tabletext"/>
            </w:pPr>
            <w:r>
              <w:t>Vehicles</w:t>
            </w:r>
          </w:p>
        </w:tc>
        <w:tc>
          <w:tcPr>
            <w:tcW w:w="1588" w:type="dxa"/>
            <w:vAlign w:val="center"/>
          </w:tcPr>
          <w:p w:rsidR="00AE554B" w:rsidRDefault="00AE554B" w:rsidP="00701DCF">
            <w:pPr>
              <w:pStyle w:val="Tabletext"/>
            </w:pPr>
            <w:r>
              <w:t>Customer Minutes</w:t>
            </w:r>
          </w:p>
        </w:tc>
        <w:tc>
          <w:tcPr>
            <w:tcW w:w="1668" w:type="dxa"/>
            <w:vAlign w:val="center"/>
          </w:tcPr>
          <w:p w:rsidR="00AE554B" w:rsidRDefault="00AE554B" w:rsidP="00701DCF">
            <w:pPr>
              <w:pStyle w:val="Tabletext"/>
            </w:pPr>
            <w:r>
              <w:t>9,829,732</w:t>
            </w:r>
          </w:p>
        </w:tc>
        <w:tc>
          <w:tcPr>
            <w:tcW w:w="1589" w:type="dxa"/>
            <w:vAlign w:val="center"/>
          </w:tcPr>
          <w:p w:rsidR="00AE554B" w:rsidRDefault="00AE554B" w:rsidP="00701DCF">
            <w:pPr>
              <w:pStyle w:val="Tabletext"/>
            </w:pPr>
            <w:r>
              <w:t>18,144,497</w:t>
            </w:r>
          </w:p>
        </w:tc>
        <w:tc>
          <w:tcPr>
            <w:tcW w:w="1620" w:type="dxa"/>
            <w:vAlign w:val="center"/>
          </w:tcPr>
          <w:p w:rsidR="00AE554B" w:rsidRDefault="00AE554B" w:rsidP="00701DCF">
            <w:pPr>
              <w:pStyle w:val="Tabletext"/>
            </w:pPr>
            <w:r>
              <w:t>18,831,335</w:t>
            </w:r>
          </w:p>
        </w:tc>
        <w:tc>
          <w:tcPr>
            <w:tcW w:w="1620" w:type="dxa"/>
            <w:vAlign w:val="center"/>
          </w:tcPr>
          <w:p w:rsidR="00AE554B" w:rsidRDefault="00AE554B" w:rsidP="00701DCF">
            <w:pPr>
              <w:pStyle w:val="Tabletext"/>
            </w:pPr>
            <w:r>
              <w:t>18,670,567</w:t>
            </w:r>
          </w:p>
        </w:tc>
        <w:tc>
          <w:tcPr>
            <w:tcW w:w="1710" w:type="dxa"/>
            <w:vAlign w:val="center"/>
          </w:tcPr>
          <w:p w:rsidR="00AE554B" w:rsidRDefault="00AE554B" w:rsidP="00701DCF">
            <w:pPr>
              <w:pStyle w:val="Tabletext"/>
            </w:pPr>
            <w:r>
              <w:t>13,361,779</w:t>
            </w:r>
          </w:p>
        </w:tc>
        <w:tc>
          <w:tcPr>
            <w:tcW w:w="1663" w:type="dxa"/>
            <w:vAlign w:val="center"/>
          </w:tcPr>
          <w:p w:rsidR="00AE554B" w:rsidRDefault="00AE554B" w:rsidP="00701DCF">
            <w:pPr>
              <w:pStyle w:val="Tabletext"/>
            </w:pPr>
            <w:r>
              <w:t>15,216,113</w:t>
            </w:r>
          </w:p>
        </w:tc>
      </w:tr>
      <w:tr w:rsidR="00AE554B" w:rsidRPr="004D00D1" w:rsidTr="00701DCF">
        <w:trPr>
          <w:cantSplit/>
          <w:trHeight w:val="20"/>
          <w:jc w:val="center"/>
        </w:trPr>
        <w:tc>
          <w:tcPr>
            <w:tcW w:w="1588" w:type="dxa"/>
            <w:vMerge/>
            <w:shd w:val="clear" w:color="auto" w:fill="auto"/>
            <w:vAlign w:val="center"/>
          </w:tcPr>
          <w:p w:rsidR="00AE554B" w:rsidRPr="003B6894" w:rsidRDefault="00AE554B" w:rsidP="00701DCF">
            <w:pPr>
              <w:pStyle w:val="Tabletext"/>
            </w:pPr>
          </w:p>
        </w:tc>
        <w:tc>
          <w:tcPr>
            <w:tcW w:w="1588" w:type="dxa"/>
            <w:vAlign w:val="center"/>
          </w:tcPr>
          <w:p w:rsidR="00AE554B" w:rsidRDefault="00AE554B" w:rsidP="00701DCF">
            <w:pPr>
              <w:pStyle w:val="Tabletext"/>
            </w:pPr>
            <w:r>
              <w:t>Percent of Customer Minutes</w:t>
            </w:r>
          </w:p>
        </w:tc>
        <w:tc>
          <w:tcPr>
            <w:tcW w:w="1668" w:type="dxa"/>
            <w:vAlign w:val="center"/>
          </w:tcPr>
          <w:p w:rsidR="00AE554B" w:rsidRDefault="00AE554B" w:rsidP="00701DCF">
            <w:pPr>
              <w:pStyle w:val="Tabletext"/>
            </w:pPr>
            <w:r>
              <w:t>4.8%</w:t>
            </w:r>
          </w:p>
        </w:tc>
        <w:tc>
          <w:tcPr>
            <w:tcW w:w="1589" w:type="dxa"/>
            <w:vAlign w:val="center"/>
          </w:tcPr>
          <w:p w:rsidR="00AE554B" w:rsidRDefault="00AE554B" w:rsidP="00701DCF">
            <w:pPr>
              <w:pStyle w:val="Tabletext"/>
            </w:pPr>
            <w:r>
              <w:t>8.1%</w:t>
            </w:r>
          </w:p>
        </w:tc>
        <w:tc>
          <w:tcPr>
            <w:tcW w:w="1620" w:type="dxa"/>
            <w:vAlign w:val="center"/>
          </w:tcPr>
          <w:p w:rsidR="00AE554B" w:rsidRDefault="00AE554B" w:rsidP="00701DCF">
            <w:pPr>
              <w:pStyle w:val="Tabletext"/>
            </w:pPr>
            <w:r>
              <w:t>8.3%</w:t>
            </w:r>
          </w:p>
        </w:tc>
        <w:tc>
          <w:tcPr>
            <w:tcW w:w="1620" w:type="dxa"/>
            <w:vAlign w:val="center"/>
          </w:tcPr>
          <w:p w:rsidR="00AE554B" w:rsidRDefault="00AE554B" w:rsidP="00701DCF">
            <w:pPr>
              <w:pStyle w:val="Tabletext"/>
            </w:pPr>
            <w:r>
              <w:t>15.1%</w:t>
            </w:r>
          </w:p>
        </w:tc>
        <w:tc>
          <w:tcPr>
            <w:tcW w:w="1710" w:type="dxa"/>
            <w:vAlign w:val="center"/>
          </w:tcPr>
          <w:p w:rsidR="00AE554B" w:rsidRDefault="00AE554B" w:rsidP="00701DCF">
            <w:pPr>
              <w:pStyle w:val="Tabletext"/>
            </w:pPr>
            <w:r>
              <w:t>5.8%</w:t>
            </w:r>
          </w:p>
        </w:tc>
        <w:tc>
          <w:tcPr>
            <w:tcW w:w="1663" w:type="dxa"/>
            <w:vAlign w:val="center"/>
          </w:tcPr>
          <w:p w:rsidR="00AE554B" w:rsidRDefault="00AE554B" w:rsidP="00701DCF">
            <w:pPr>
              <w:pStyle w:val="Tabletext"/>
            </w:pPr>
            <w:r>
              <w:t>12.8%</w:t>
            </w:r>
          </w:p>
        </w:tc>
      </w:tr>
      <w:tr w:rsidR="00AE554B" w:rsidRPr="004D00D1" w:rsidTr="00701DCF">
        <w:trPr>
          <w:cantSplit/>
          <w:trHeight w:val="20"/>
          <w:jc w:val="center"/>
        </w:trPr>
        <w:tc>
          <w:tcPr>
            <w:tcW w:w="1588" w:type="dxa"/>
            <w:vMerge w:val="restart"/>
            <w:shd w:val="clear" w:color="auto" w:fill="auto"/>
            <w:vAlign w:val="center"/>
          </w:tcPr>
          <w:p w:rsidR="00AE554B" w:rsidRDefault="00AE554B" w:rsidP="00701DCF">
            <w:pPr>
              <w:pStyle w:val="Tabletext"/>
            </w:pPr>
            <w:r>
              <w:t>Other</w:t>
            </w:r>
          </w:p>
        </w:tc>
        <w:tc>
          <w:tcPr>
            <w:tcW w:w="1588" w:type="dxa"/>
            <w:vAlign w:val="center"/>
          </w:tcPr>
          <w:p w:rsidR="00AE554B" w:rsidRDefault="00AE554B" w:rsidP="00701DCF">
            <w:pPr>
              <w:pStyle w:val="Tabletext"/>
            </w:pPr>
            <w:r>
              <w:t>Customer Minutes</w:t>
            </w:r>
          </w:p>
        </w:tc>
        <w:tc>
          <w:tcPr>
            <w:tcW w:w="1668" w:type="dxa"/>
            <w:vAlign w:val="center"/>
          </w:tcPr>
          <w:p w:rsidR="00AE554B" w:rsidRDefault="00AE554B" w:rsidP="00701DCF">
            <w:pPr>
              <w:pStyle w:val="Tabletext"/>
            </w:pPr>
            <w:r>
              <w:t>17,908,964</w:t>
            </w:r>
          </w:p>
        </w:tc>
        <w:tc>
          <w:tcPr>
            <w:tcW w:w="1589" w:type="dxa"/>
            <w:vAlign w:val="center"/>
          </w:tcPr>
          <w:p w:rsidR="00AE554B" w:rsidRDefault="00AE554B" w:rsidP="00701DCF">
            <w:pPr>
              <w:pStyle w:val="Tabletext"/>
            </w:pPr>
            <w:r>
              <w:t>33,970,256</w:t>
            </w:r>
          </w:p>
        </w:tc>
        <w:tc>
          <w:tcPr>
            <w:tcW w:w="1620" w:type="dxa"/>
            <w:vAlign w:val="center"/>
          </w:tcPr>
          <w:p w:rsidR="00AE554B" w:rsidRDefault="00AE554B" w:rsidP="00701DCF">
            <w:pPr>
              <w:pStyle w:val="Tabletext"/>
            </w:pPr>
            <w:r>
              <w:t>19,895,367</w:t>
            </w:r>
          </w:p>
        </w:tc>
        <w:tc>
          <w:tcPr>
            <w:tcW w:w="1620" w:type="dxa"/>
            <w:vAlign w:val="center"/>
          </w:tcPr>
          <w:p w:rsidR="00AE554B" w:rsidRDefault="00AE554B" w:rsidP="00701DCF">
            <w:pPr>
              <w:pStyle w:val="Tabletext"/>
            </w:pPr>
            <w:r>
              <w:t>17,634,586</w:t>
            </w:r>
          </w:p>
        </w:tc>
        <w:tc>
          <w:tcPr>
            <w:tcW w:w="1710" w:type="dxa"/>
            <w:vAlign w:val="center"/>
          </w:tcPr>
          <w:p w:rsidR="00AE554B" w:rsidRDefault="00AE554B" w:rsidP="00701DCF">
            <w:pPr>
              <w:pStyle w:val="Tabletext"/>
            </w:pPr>
            <w:r>
              <w:t>17,715,426</w:t>
            </w:r>
          </w:p>
        </w:tc>
        <w:tc>
          <w:tcPr>
            <w:tcW w:w="1663" w:type="dxa"/>
            <w:vAlign w:val="center"/>
          </w:tcPr>
          <w:p w:rsidR="00AE554B" w:rsidRDefault="00AE554B" w:rsidP="00701DCF">
            <w:pPr>
              <w:pStyle w:val="Tabletext"/>
            </w:pPr>
            <w:r>
              <w:t>16,280,621</w:t>
            </w:r>
          </w:p>
        </w:tc>
      </w:tr>
      <w:tr w:rsidR="00AE554B" w:rsidRPr="004D00D1" w:rsidTr="00701DCF">
        <w:trPr>
          <w:cantSplit/>
          <w:trHeight w:val="20"/>
          <w:jc w:val="center"/>
        </w:trPr>
        <w:tc>
          <w:tcPr>
            <w:tcW w:w="1588" w:type="dxa"/>
            <w:vMerge/>
            <w:shd w:val="clear" w:color="auto" w:fill="auto"/>
            <w:vAlign w:val="center"/>
          </w:tcPr>
          <w:p w:rsidR="00AE554B" w:rsidRPr="003B6894" w:rsidRDefault="00AE554B" w:rsidP="00701DCF">
            <w:pPr>
              <w:pStyle w:val="Tabletext"/>
            </w:pPr>
          </w:p>
        </w:tc>
        <w:tc>
          <w:tcPr>
            <w:tcW w:w="1588" w:type="dxa"/>
            <w:vAlign w:val="center"/>
          </w:tcPr>
          <w:p w:rsidR="00AE554B" w:rsidRDefault="00AE554B" w:rsidP="00701DCF">
            <w:pPr>
              <w:pStyle w:val="Tabletext"/>
            </w:pPr>
            <w:r>
              <w:t>Percent of Customer Minutes</w:t>
            </w:r>
          </w:p>
        </w:tc>
        <w:tc>
          <w:tcPr>
            <w:tcW w:w="1668" w:type="dxa"/>
            <w:vAlign w:val="center"/>
          </w:tcPr>
          <w:p w:rsidR="00AE554B" w:rsidRDefault="00AE554B" w:rsidP="00701DCF">
            <w:pPr>
              <w:pStyle w:val="Tabletext"/>
            </w:pPr>
            <w:r>
              <w:t>8.8%</w:t>
            </w:r>
          </w:p>
        </w:tc>
        <w:tc>
          <w:tcPr>
            <w:tcW w:w="1589" w:type="dxa"/>
            <w:vAlign w:val="center"/>
          </w:tcPr>
          <w:p w:rsidR="00AE554B" w:rsidRDefault="00AE554B" w:rsidP="00701DCF">
            <w:pPr>
              <w:pStyle w:val="Tabletext"/>
            </w:pPr>
            <w:r>
              <w:t>15.1%</w:t>
            </w:r>
          </w:p>
        </w:tc>
        <w:tc>
          <w:tcPr>
            <w:tcW w:w="1620" w:type="dxa"/>
            <w:vAlign w:val="center"/>
          </w:tcPr>
          <w:p w:rsidR="00AE554B" w:rsidRDefault="00AE554B" w:rsidP="00701DCF">
            <w:pPr>
              <w:pStyle w:val="Tabletext"/>
            </w:pPr>
            <w:r>
              <w:t>8.7%</w:t>
            </w:r>
          </w:p>
        </w:tc>
        <w:tc>
          <w:tcPr>
            <w:tcW w:w="1620" w:type="dxa"/>
            <w:vAlign w:val="center"/>
          </w:tcPr>
          <w:p w:rsidR="00AE554B" w:rsidRDefault="00AE554B" w:rsidP="00701DCF">
            <w:pPr>
              <w:pStyle w:val="Tabletext"/>
            </w:pPr>
            <w:r>
              <w:t>14.3%</w:t>
            </w:r>
          </w:p>
        </w:tc>
        <w:tc>
          <w:tcPr>
            <w:tcW w:w="1710" w:type="dxa"/>
            <w:vAlign w:val="center"/>
          </w:tcPr>
          <w:p w:rsidR="00AE554B" w:rsidRDefault="00AE554B" w:rsidP="00701DCF">
            <w:pPr>
              <w:pStyle w:val="Tabletext"/>
            </w:pPr>
            <w:r>
              <w:t>7.6%</w:t>
            </w:r>
          </w:p>
        </w:tc>
        <w:tc>
          <w:tcPr>
            <w:tcW w:w="1663" w:type="dxa"/>
            <w:vAlign w:val="center"/>
          </w:tcPr>
          <w:p w:rsidR="00AE554B" w:rsidRDefault="00AE554B" w:rsidP="00701DCF">
            <w:pPr>
              <w:pStyle w:val="Tabletext"/>
            </w:pPr>
            <w:r>
              <w:t>13.7%</w:t>
            </w:r>
          </w:p>
        </w:tc>
      </w:tr>
      <w:tr w:rsidR="00AE554B" w:rsidRPr="004D00D1" w:rsidTr="00701DCF">
        <w:trPr>
          <w:cantSplit/>
          <w:trHeight w:val="20"/>
          <w:jc w:val="center"/>
        </w:trPr>
        <w:tc>
          <w:tcPr>
            <w:tcW w:w="3176" w:type="dxa"/>
            <w:gridSpan w:val="2"/>
            <w:shd w:val="clear" w:color="auto" w:fill="auto"/>
            <w:vAlign w:val="center"/>
          </w:tcPr>
          <w:p w:rsidR="00AE554B" w:rsidRPr="00413616" w:rsidRDefault="00AE554B" w:rsidP="00701DCF">
            <w:pPr>
              <w:pStyle w:val="Tabletext"/>
              <w:rPr>
                <w:b/>
              </w:rPr>
            </w:pPr>
            <w:r w:rsidRPr="00413616">
              <w:rPr>
                <w:b/>
              </w:rPr>
              <w:t>Total Customer Minutes</w:t>
            </w:r>
          </w:p>
        </w:tc>
        <w:tc>
          <w:tcPr>
            <w:tcW w:w="1668" w:type="dxa"/>
            <w:vAlign w:val="center"/>
          </w:tcPr>
          <w:p w:rsidR="00AE554B" w:rsidRPr="00413616" w:rsidRDefault="00AE554B" w:rsidP="00701DCF">
            <w:pPr>
              <w:pStyle w:val="Tabletext"/>
              <w:rPr>
                <w:b/>
              </w:rPr>
            </w:pPr>
            <w:r w:rsidRPr="00413616">
              <w:rPr>
                <w:b/>
              </w:rPr>
              <w:t>203,970,429</w:t>
            </w:r>
          </w:p>
        </w:tc>
        <w:tc>
          <w:tcPr>
            <w:tcW w:w="1589" w:type="dxa"/>
            <w:vAlign w:val="center"/>
          </w:tcPr>
          <w:p w:rsidR="00AE554B" w:rsidRPr="00413616" w:rsidRDefault="00AE554B" w:rsidP="00701DCF">
            <w:pPr>
              <w:pStyle w:val="Tabletext"/>
              <w:rPr>
                <w:b/>
              </w:rPr>
            </w:pPr>
            <w:r w:rsidRPr="00413616">
              <w:rPr>
                <w:b/>
              </w:rPr>
              <w:t>225,097,160</w:t>
            </w:r>
          </w:p>
        </w:tc>
        <w:tc>
          <w:tcPr>
            <w:tcW w:w="1620" w:type="dxa"/>
            <w:vAlign w:val="center"/>
          </w:tcPr>
          <w:p w:rsidR="00AE554B" w:rsidRPr="00413616" w:rsidRDefault="00AE554B" w:rsidP="00701DCF">
            <w:pPr>
              <w:pStyle w:val="Tabletext"/>
              <w:rPr>
                <w:b/>
              </w:rPr>
            </w:pPr>
            <w:r w:rsidRPr="00413616">
              <w:rPr>
                <w:b/>
              </w:rPr>
              <w:t>228,143,195</w:t>
            </w:r>
          </w:p>
        </w:tc>
        <w:tc>
          <w:tcPr>
            <w:tcW w:w="1620" w:type="dxa"/>
            <w:vAlign w:val="center"/>
          </w:tcPr>
          <w:p w:rsidR="00AE554B" w:rsidRPr="00413616" w:rsidRDefault="00AE554B" w:rsidP="00701DCF">
            <w:pPr>
              <w:pStyle w:val="Tabletext"/>
              <w:rPr>
                <w:b/>
              </w:rPr>
            </w:pPr>
            <w:r w:rsidRPr="00413616">
              <w:rPr>
                <w:b/>
              </w:rPr>
              <w:t>123,601,330</w:t>
            </w:r>
          </w:p>
        </w:tc>
        <w:tc>
          <w:tcPr>
            <w:tcW w:w="1710" w:type="dxa"/>
            <w:vAlign w:val="center"/>
          </w:tcPr>
          <w:p w:rsidR="00AE554B" w:rsidRPr="00413616" w:rsidRDefault="00AE554B" w:rsidP="00701DCF">
            <w:pPr>
              <w:pStyle w:val="Tabletext"/>
              <w:rPr>
                <w:b/>
              </w:rPr>
            </w:pPr>
            <w:r w:rsidRPr="00413616">
              <w:rPr>
                <w:b/>
              </w:rPr>
              <w:t>232,210,564</w:t>
            </w:r>
          </w:p>
        </w:tc>
        <w:tc>
          <w:tcPr>
            <w:tcW w:w="1663" w:type="dxa"/>
            <w:vAlign w:val="center"/>
          </w:tcPr>
          <w:p w:rsidR="00AE554B" w:rsidRPr="002A6560" w:rsidRDefault="00AE554B" w:rsidP="00701DCF">
            <w:pPr>
              <w:pStyle w:val="Tabletext"/>
              <w:rPr>
                <w:b/>
              </w:rPr>
            </w:pPr>
            <w:r w:rsidRPr="002A6560">
              <w:rPr>
                <w:b/>
              </w:rPr>
              <w:t>118,547,920</w:t>
            </w:r>
          </w:p>
        </w:tc>
      </w:tr>
      <w:tr w:rsidR="00AE554B" w:rsidRPr="004D00D1" w:rsidTr="00701DCF">
        <w:trPr>
          <w:cantSplit/>
          <w:trHeight w:val="20"/>
          <w:jc w:val="center"/>
        </w:trPr>
        <w:tc>
          <w:tcPr>
            <w:tcW w:w="13046" w:type="dxa"/>
            <w:gridSpan w:val="8"/>
            <w:vAlign w:val="center"/>
          </w:tcPr>
          <w:p w:rsidR="00AE554B" w:rsidRPr="003B6894" w:rsidRDefault="00AE554B" w:rsidP="00701DCF">
            <w:pPr>
              <w:pStyle w:val="Tabletext"/>
              <w:jc w:val="left"/>
            </w:pPr>
            <w:r w:rsidRPr="003B6894">
              <w:t xml:space="preserve">Source: </w:t>
            </w:r>
            <w:r>
              <w:t>DN 07-098</w:t>
            </w:r>
          </w:p>
        </w:tc>
      </w:tr>
    </w:tbl>
    <w:p w:rsidR="00AE554B" w:rsidRDefault="00AE554B" w:rsidP="00701DCF">
      <w:pPr>
        <w:pStyle w:val="Normal-aftertable"/>
        <w:sectPr w:rsidR="00AE554B" w:rsidSect="00701DCF">
          <w:footerReference w:type="default" r:id="rId49"/>
          <w:pgSz w:w="15840" w:h="12240" w:orient="landscape"/>
          <w:pgMar w:top="1440" w:right="1440" w:bottom="1440" w:left="1440" w:header="720" w:footer="576" w:gutter="0"/>
          <w:cols w:space="720"/>
          <w:docGrid w:linePitch="360"/>
        </w:sectPr>
      </w:pPr>
    </w:p>
    <w:p w:rsidR="00AE554B" w:rsidRDefault="00AE554B" w:rsidP="00701DCF">
      <w:pPr>
        <w:pStyle w:val="Normal-aftertable"/>
      </w:pPr>
      <w:r>
        <w:lastRenderedPageBreak/>
        <w:t>With the exception of 2011, the four largest outage causes in terms of total customer outage minutes were, in order of impact: tree-related outages, equipment failure, vehicles damaging facilities, and animals in the line.  In 2011 the second and third highest impact causes were identified as lightning and line failure.  Tree-related outages are largely weather related.  The impact of animals getting into the lines appears to be decreasing in terms of customer minutes.  Equipment failures may be decreasing but a clear trend is not shown in these results.  PPL EU reported that aging infrastructure and equipment originally installed in the 1960s and 1970s are adversely impacting reliability.  There are several programs designed to address these concerns in the Long Term Infrastructure Improvement Plan.</w:t>
      </w:r>
    </w:p>
    <w:p w:rsidR="00AE554B" w:rsidRDefault="00AE554B" w:rsidP="00701DCF">
      <w:r>
        <w:t>A 2015 PSEG Electric T&amp;D Benchmarking Study included 23 major electric utilities.  PPL’s reported T&amp;D CAIDI of 181 minutes was worse than the survey’s median of 125.18.  PPL’s reported distribution SAIFI (including major events) of .72 was better than the survey’s first quartile threshold of .73.</w:t>
      </w:r>
    </w:p>
    <w:p w:rsidR="00AE554B" w:rsidRPr="00EB51D4" w:rsidRDefault="00AE554B" w:rsidP="00B86FA4">
      <w:pPr>
        <w:pStyle w:val="Findings"/>
        <w:numPr>
          <w:ilvl w:val="0"/>
          <w:numId w:val="21"/>
        </w:numPr>
      </w:pPr>
      <w:r>
        <w:t>The CEMI Program to reduce the number of customers experiencing multiple outages is working.</w:t>
      </w:r>
    </w:p>
    <w:p w:rsidR="00AE554B" w:rsidRDefault="00AE554B" w:rsidP="00701DCF">
      <w:r>
        <w:t>PPL EU has focused efforts on reducing the numbers of customers experiencing multiple interruptions (CEMI) in a year.  Outage performance is monitored, causes are identified, and solutions are implemented to improve performance.  The following exhibit illustrates the improvement made in reducing the number of customers experiencing multiple outages since program implementation through 2015.</w:t>
      </w:r>
    </w:p>
    <w:p w:rsidR="00AE554B" w:rsidRPr="007D7B1B" w:rsidRDefault="00AD2223" w:rsidP="00AD2223">
      <w:pPr>
        <w:pStyle w:val="Caption"/>
      </w:pPr>
      <w:bookmarkStart w:id="169" w:name="_Toc464552994"/>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27</w:t>
      </w:r>
      <w:r w:rsidR="00CB2B2A">
        <w:rPr>
          <w:noProof/>
        </w:rPr>
        <w:fldChar w:fldCharType="end"/>
      </w:r>
      <w:r w:rsidR="002F6183">
        <w:br/>
      </w:r>
      <w:r w:rsidR="00AE554B">
        <w:t>PPL EU CEMI Performance 2010–2015</w:t>
      </w:r>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71"/>
        <w:gridCol w:w="1117"/>
        <w:gridCol w:w="1118"/>
        <w:gridCol w:w="1118"/>
        <w:gridCol w:w="1118"/>
        <w:gridCol w:w="1118"/>
        <w:gridCol w:w="1118"/>
      </w:tblGrid>
      <w:tr w:rsidR="00AE554B" w:rsidRPr="007370C9" w:rsidTr="00A113F8">
        <w:trPr>
          <w:cantSplit/>
          <w:trHeight w:val="20"/>
          <w:tblHeader/>
          <w:jc w:val="center"/>
        </w:trPr>
        <w:tc>
          <w:tcPr>
            <w:tcW w:w="2671" w:type="dxa"/>
            <w:shd w:val="clear" w:color="auto" w:fill="A5CD7E"/>
            <w:vAlign w:val="center"/>
          </w:tcPr>
          <w:p w:rsidR="00AE554B" w:rsidRPr="003E3F70" w:rsidRDefault="00AE554B" w:rsidP="007370C9">
            <w:pPr>
              <w:spacing w:before="120"/>
              <w:jc w:val="center"/>
              <w:rPr>
                <w:b/>
              </w:rPr>
            </w:pPr>
            <w:r w:rsidRPr="003E3F70">
              <w:rPr>
                <w:b/>
              </w:rPr>
              <w:t>Factor</w:t>
            </w:r>
          </w:p>
        </w:tc>
        <w:tc>
          <w:tcPr>
            <w:tcW w:w="1117" w:type="dxa"/>
            <w:shd w:val="clear" w:color="auto" w:fill="A5CD7E"/>
            <w:vAlign w:val="center"/>
          </w:tcPr>
          <w:p w:rsidR="00AE554B" w:rsidRPr="003E3F70" w:rsidRDefault="00AE554B" w:rsidP="007370C9">
            <w:pPr>
              <w:spacing w:before="120"/>
              <w:jc w:val="center"/>
              <w:rPr>
                <w:b/>
              </w:rPr>
            </w:pPr>
            <w:r w:rsidRPr="003E3F70">
              <w:rPr>
                <w:b/>
              </w:rPr>
              <w:t>2010</w:t>
            </w:r>
          </w:p>
        </w:tc>
        <w:tc>
          <w:tcPr>
            <w:tcW w:w="1118" w:type="dxa"/>
            <w:shd w:val="clear" w:color="auto" w:fill="A5CD7E"/>
            <w:vAlign w:val="center"/>
          </w:tcPr>
          <w:p w:rsidR="00AE554B" w:rsidRPr="003E3F70" w:rsidRDefault="00AE554B" w:rsidP="007370C9">
            <w:pPr>
              <w:spacing w:before="120"/>
              <w:jc w:val="center"/>
              <w:rPr>
                <w:b/>
              </w:rPr>
            </w:pPr>
            <w:r w:rsidRPr="003E3F70">
              <w:rPr>
                <w:b/>
              </w:rPr>
              <w:t>2011</w:t>
            </w:r>
          </w:p>
        </w:tc>
        <w:tc>
          <w:tcPr>
            <w:tcW w:w="1118" w:type="dxa"/>
            <w:shd w:val="clear" w:color="auto" w:fill="A5CD7E"/>
            <w:vAlign w:val="center"/>
          </w:tcPr>
          <w:p w:rsidR="00AE554B" w:rsidRPr="003E3F70" w:rsidRDefault="00AE554B" w:rsidP="007370C9">
            <w:pPr>
              <w:spacing w:before="120"/>
              <w:jc w:val="center"/>
              <w:rPr>
                <w:b/>
              </w:rPr>
            </w:pPr>
            <w:r w:rsidRPr="003E3F70">
              <w:rPr>
                <w:b/>
              </w:rPr>
              <w:t>2012</w:t>
            </w:r>
          </w:p>
        </w:tc>
        <w:tc>
          <w:tcPr>
            <w:tcW w:w="1118" w:type="dxa"/>
            <w:shd w:val="clear" w:color="auto" w:fill="A5CD7E"/>
            <w:vAlign w:val="center"/>
          </w:tcPr>
          <w:p w:rsidR="00AE554B" w:rsidRPr="003E3F70" w:rsidRDefault="00AE554B" w:rsidP="007370C9">
            <w:pPr>
              <w:spacing w:before="120"/>
              <w:jc w:val="center"/>
              <w:rPr>
                <w:b/>
              </w:rPr>
            </w:pPr>
            <w:r w:rsidRPr="003E3F70">
              <w:rPr>
                <w:b/>
              </w:rPr>
              <w:t>2013</w:t>
            </w:r>
          </w:p>
        </w:tc>
        <w:tc>
          <w:tcPr>
            <w:tcW w:w="1118" w:type="dxa"/>
            <w:shd w:val="clear" w:color="auto" w:fill="A5CD7E"/>
            <w:vAlign w:val="center"/>
          </w:tcPr>
          <w:p w:rsidR="00AE554B" w:rsidRPr="003E3F70" w:rsidRDefault="00AE554B" w:rsidP="007370C9">
            <w:pPr>
              <w:spacing w:before="120"/>
              <w:jc w:val="center"/>
              <w:rPr>
                <w:b/>
              </w:rPr>
            </w:pPr>
            <w:r w:rsidRPr="003E3F70">
              <w:rPr>
                <w:b/>
              </w:rPr>
              <w:t>2014</w:t>
            </w:r>
          </w:p>
        </w:tc>
        <w:tc>
          <w:tcPr>
            <w:tcW w:w="1118" w:type="dxa"/>
            <w:shd w:val="clear" w:color="auto" w:fill="A5CD7E"/>
            <w:vAlign w:val="center"/>
          </w:tcPr>
          <w:p w:rsidR="00AE554B" w:rsidRPr="003E3F70" w:rsidRDefault="00AE554B" w:rsidP="007370C9">
            <w:pPr>
              <w:spacing w:before="120"/>
              <w:jc w:val="center"/>
              <w:rPr>
                <w:b/>
              </w:rPr>
            </w:pPr>
            <w:r w:rsidRPr="003E3F70">
              <w:rPr>
                <w:b/>
              </w:rPr>
              <w:t>2015</w:t>
            </w:r>
          </w:p>
        </w:tc>
      </w:tr>
      <w:tr w:rsidR="00AE554B" w:rsidRPr="004D00D1" w:rsidTr="00701DCF">
        <w:trPr>
          <w:trHeight w:val="20"/>
          <w:jc w:val="center"/>
        </w:trPr>
        <w:tc>
          <w:tcPr>
            <w:tcW w:w="2671" w:type="dxa"/>
            <w:shd w:val="clear" w:color="auto" w:fill="auto"/>
            <w:vAlign w:val="center"/>
          </w:tcPr>
          <w:p w:rsidR="00AE554B" w:rsidRPr="004D00D1" w:rsidRDefault="00AE554B" w:rsidP="00701DCF">
            <w:pPr>
              <w:spacing w:after="0"/>
              <w:rPr>
                <w:rFonts w:cs="Arial"/>
                <w:sz w:val="22"/>
              </w:rPr>
            </w:pPr>
            <w:r w:rsidRPr="004D00D1">
              <w:rPr>
                <w:rFonts w:cs="Arial"/>
                <w:sz w:val="22"/>
              </w:rPr>
              <w:t>CEMI</w:t>
            </w:r>
            <w:r w:rsidRPr="004D00D1">
              <w:rPr>
                <w:rFonts w:cs="Arial"/>
                <w:sz w:val="22"/>
                <w:vertAlign w:val="subscript"/>
              </w:rPr>
              <w:t>4</w:t>
            </w:r>
            <w:r w:rsidRPr="004D00D1">
              <w:rPr>
                <w:rFonts w:cs="Arial"/>
                <w:sz w:val="22"/>
              </w:rPr>
              <w:t xml:space="preserve"> – customers with 4 or more interruptions</w:t>
            </w:r>
          </w:p>
        </w:tc>
        <w:tc>
          <w:tcPr>
            <w:tcW w:w="1117" w:type="dxa"/>
            <w:vAlign w:val="center"/>
          </w:tcPr>
          <w:p w:rsidR="00AE554B" w:rsidRPr="004D00D1" w:rsidRDefault="00AE554B" w:rsidP="00701DCF">
            <w:pPr>
              <w:spacing w:after="0"/>
              <w:jc w:val="center"/>
              <w:rPr>
                <w:rFonts w:cs="Arial"/>
                <w:sz w:val="22"/>
              </w:rPr>
            </w:pPr>
            <w:r w:rsidRPr="004D00D1">
              <w:rPr>
                <w:rFonts w:cs="Arial"/>
                <w:sz w:val="22"/>
              </w:rPr>
              <w:t>75,696</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74,759</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70,224</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29,305</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47,567</w:t>
            </w:r>
          </w:p>
        </w:tc>
        <w:tc>
          <w:tcPr>
            <w:tcW w:w="1118" w:type="dxa"/>
            <w:vAlign w:val="center"/>
          </w:tcPr>
          <w:p w:rsidR="00AE554B" w:rsidRPr="004D00D1" w:rsidRDefault="00AE554B" w:rsidP="00701DCF">
            <w:pPr>
              <w:spacing w:after="0"/>
              <w:jc w:val="center"/>
              <w:rPr>
                <w:rFonts w:cs="Arial"/>
                <w:sz w:val="22"/>
              </w:rPr>
            </w:pPr>
            <w:r>
              <w:rPr>
                <w:rFonts w:cs="Arial"/>
                <w:sz w:val="22"/>
              </w:rPr>
              <w:t>23,916</w:t>
            </w:r>
          </w:p>
        </w:tc>
      </w:tr>
      <w:tr w:rsidR="00AE554B" w:rsidRPr="004D00D1" w:rsidTr="00701DCF">
        <w:trPr>
          <w:trHeight w:val="20"/>
          <w:jc w:val="center"/>
        </w:trPr>
        <w:tc>
          <w:tcPr>
            <w:tcW w:w="2671" w:type="dxa"/>
            <w:shd w:val="clear" w:color="auto" w:fill="auto"/>
            <w:vAlign w:val="center"/>
          </w:tcPr>
          <w:p w:rsidR="00AE554B" w:rsidRPr="004D00D1" w:rsidRDefault="00AE554B" w:rsidP="00701DCF">
            <w:pPr>
              <w:spacing w:after="0"/>
              <w:rPr>
                <w:rFonts w:cs="Arial"/>
                <w:sz w:val="22"/>
              </w:rPr>
            </w:pPr>
            <w:r w:rsidRPr="004D00D1">
              <w:rPr>
                <w:rFonts w:cs="Arial"/>
                <w:sz w:val="22"/>
              </w:rPr>
              <w:t>CEMI</w:t>
            </w:r>
            <w:r w:rsidRPr="004D00D1">
              <w:rPr>
                <w:rFonts w:cs="Arial"/>
                <w:sz w:val="22"/>
                <w:vertAlign w:val="subscript"/>
              </w:rPr>
              <w:t>10</w:t>
            </w:r>
            <w:r w:rsidRPr="004D00D1">
              <w:rPr>
                <w:rFonts w:cs="Arial"/>
                <w:sz w:val="22"/>
              </w:rPr>
              <w:t xml:space="preserve"> – customers with 10 or more interruptions</w:t>
            </w:r>
          </w:p>
        </w:tc>
        <w:tc>
          <w:tcPr>
            <w:tcW w:w="1117" w:type="dxa"/>
            <w:vAlign w:val="center"/>
          </w:tcPr>
          <w:p w:rsidR="00AE554B" w:rsidRPr="004D00D1" w:rsidRDefault="00AE554B" w:rsidP="00701DCF">
            <w:pPr>
              <w:spacing w:after="0"/>
              <w:jc w:val="center"/>
              <w:rPr>
                <w:rFonts w:cs="Arial"/>
                <w:sz w:val="22"/>
              </w:rPr>
            </w:pPr>
            <w:r w:rsidRPr="004D00D1">
              <w:rPr>
                <w:rFonts w:cs="Arial"/>
                <w:sz w:val="22"/>
              </w:rPr>
              <w:t>274</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314</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96</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13</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100</w:t>
            </w:r>
          </w:p>
        </w:tc>
        <w:tc>
          <w:tcPr>
            <w:tcW w:w="1118" w:type="dxa"/>
            <w:vAlign w:val="center"/>
          </w:tcPr>
          <w:p w:rsidR="00AE554B" w:rsidRPr="004D00D1" w:rsidRDefault="00AE554B" w:rsidP="00701DCF">
            <w:pPr>
              <w:spacing w:after="0"/>
              <w:jc w:val="center"/>
              <w:rPr>
                <w:rFonts w:cs="Arial"/>
                <w:sz w:val="22"/>
              </w:rPr>
            </w:pPr>
            <w:r w:rsidRPr="004D00D1">
              <w:rPr>
                <w:rFonts w:cs="Arial"/>
                <w:sz w:val="22"/>
              </w:rPr>
              <w:t>4</w:t>
            </w:r>
          </w:p>
        </w:tc>
      </w:tr>
      <w:tr w:rsidR="00AE554B" w:rsidRPr="004D00D1" w:rsidTr="00701DCF">
        <w:trPr>
          <w:trHeight w:val="20"/>
          <w:jc w:val="center"/>
        </w:trPr>
        <w:tc>
          <w:tcPr>
            <w:tcW w:w="9378" w:type="dxa"/>
            <w:gridSpan w:val="7"/>
            <w:vAlign w:val="center"/>
          </w:tcPr>
          <w:p w:rsidR="00AE554B" w:rsidRPr="004D00D1" w:rsidRDefault="00AE554B" w:rsidP="00701DCF">
            <w:pPr>
              <w:spacing w:after="0"/>
              <w:jc w:val="left"/>
              <w:rPr>
                <w:rFonts w:cs="Arial"/>
                <w:sz w:val="22"/>
              </w:rPr>
            </w:pPr>
            <w:r w:rsidRPr="004D00D1">
              <w:rPr>
                <w:rFonts w:cs="Arial"/>
                <w:sz w:val="22"/>
              </w:rPr>
              <w:t xml:space="preserve">Source: DN </w:t>
            </w:r>
            <w:r>
              <w:rPr>
                <w:rFonts w:cs="Arial"/>
                <w:sz w:val="22"/>
              </w:rPr>
              <w:t>01-024</w:t>
            </w:r>
            <w:r w:rsidRPr="004D00D1">
              <w:rPr>
                <w:rFonts w:cs="Arial"/>
                <w:sz w:val="22"/>
              </w:rPr>
              <w:t>; DN 07-110</w:t>
            </w:r>
          </w:p>
        </w:tc>
      </w:tr>
    </w:tbl>
    <w:p w:rsidR="00AE554B" w:rsidRDefault="00AE554B" w:rsidP="00701DCF">
      <w:pPr>
        <w:pStyle w:val="Normal-aftertable"/>
      </w:pPr>
      <w:r>
        <w:rPr>
          <w:noProof/>
        </w:rPr>
        <w:t>The CEMI</w:t>
      </w:r>
      <w:r w:rsidRPr="00FE427B">
        <w:rPr>
          <w:noProof/>
          <w:vertAlign w:val="subscript"/>
        </w:rPr>
        <w:t>4</w:t>
      </w:r>
      <w:r>
        <w:rPr>
          <w:noProof/>
        </w:rPr>
        <w:t xml:space="preserve"> goal for 2015 was 3.25% of customers or approximately 45,600.  The CEMI</w:t>
      </w:r>
      <w:r w:rsidRPr="00FE427B">
        <w:rPr>
          <w:noProof/>
          <w:vertAlign w:val="subscript"/>
        </w:rPr>
        <w:t>10</w:t>
      </w:r>
      <w:r>
        <w:rPr>
          <w:noProof/>
        </w:rPr>
        <w:t xml:space="preserve"> goal was zero.  The CEMI</w:t>
      </w:r>
      <w:r w:rsidRPr="00B13C1F">
        <w:rPr>
          <w:noProof/>
          <w:vertAlign w:val="subscript"/>
        </w:rPr>
        <w:t>4</w:t>
      </w:r>
      <w:r>
        <w:rPr>
          <w:noProof/>
        </w:rPr>
        <w:t xml:space="preserve"> and CEMI</w:t>
      </w:r>
      <w:r>
        <w:rPr>
          <w:noProof/>
          <w:vertAlign w:val="subscript"/>
        </w:rPr>
        <w:t>10</w:t>
      </w:r>
      <w:r>
        <w:rPr>
          <w:noProof/>
        </w:rPr>
        <w:t xml:space="preserve"> results for 2015 represent a significant</w:t>
      </w:r>
      <w:r w:rsidRPr="004B315E">
        <w:rPr>
          <w:noProof/>
        </w:rPr>
        <w:t xml:space="preserve"> reduction compared to the 2010 to 2012 results.  Major events that cause more than ten percent of </w:t>
      </w:r>
      <w:r>
        <w:rPr>
          <w:noProof/>
        </w:rPr>
        <w:t xml:space="preserve">PPL EU </w:t>
      </w:r>
      <w:r w:rsidRPr="004B315E">
        <w:rPr>
          <w:noProof/>
        </w:rPr>
        <w:t>customers to be out of service for five or more minutes are not included in the CEMI calculations.  All other outage events lasting more than five minutes are counted.</w:t>
      </w:r>
    </w:p>
    <w:p w:rsidR="00AE554B" w:rsidRDefault="00AE554B" w:rsidP="00B86FA4">
      <w:pPr>
        <w:pStyle w:val="Findings"/>
        <w:numPr>
          <w:ilvl w:val="0"/>
          <w:numId w:val="21"/>
        </w:numPr>
      </w:pPr>
      <w:r>
        <w:t>A well-defined program is in place for the analysis of failed distribution equipment.</w:t>
      </w:r>
    </w:p>
    <w:p w:rsidR="00AE554B" w:rsidRDefault="00AE554B" w:rsidP="00701DCF">
      <w:r>
        <w:t xml:space="preserve">Distribution Operations utilizes a documented process for the collection, analysis, and results reporting of major equipment failures such as transformers, reclosers, switchgear, and other selected equipment.  Representatives from engineering, construction, and asset management are involved in the review process.  A cross section of employees throughout the organization are trained in root cause analysis and </w:t>
      </w:r>
      <w:r>
        <w:lastRenderedPageBreak/>
        <w:t>affected work areas are involved in investigations based on the nature of the failure event.  Results of the forensic analysis are used to adjust standards and specifications and are also communicated to Distribution Asset Management to adjust maintenance programs as necessary.</w:t>
      </w:r>
    </w:p>
    <w:p w:rsidR="00AE554B" w:rsidRDefault="00AE554B" w:rsidP="00B86FA4">
      <w:pPr>
        <w:pStyle w:val="Findings"/>
        <w:numPr>
          <w:ilvl w:val="0"/>
          <w:numId w:val="21"/>
        </w:numPr>
      </w:pPr>
      <w:r>
        <w:t>Distribution Standards is completing a comprehensive review and updating of specifications and standards.</w:t>
      </w:r>
    </w:p>
    <w:p w:rsidR="00AE554B" w:rsidRDefault="00AE554B" w:rsidP="00701DCF">
      <w:r w:rsidRPr="009D2842">
        <w:rPr>
          <w:rFonts w:cs="Arial"/>
          <w:szCs w:val="24"/>
        </w:rPr>
        <w:t xml:space="preserve">Distribution </w:t>
      </w:r>
      <w:r>
        <w:rPr>
          <w:rFonts w:cs="Arial"/>
          <w:szCs w:val="24"/>
        </w:rPr>
        <w:t xml:space="preserve">Design and </w:t>
      </w:r>
      <w:r w:rsidRPr="009D2842">
        <w:rPr>
          <w:rFonts w:cs="Arial"/>
          <w:szCs w:val="24"/>
        </w:rPr>
        <w:t>Standards initiated a</w:t>
      </w:r>
      <w:r>
        <w:rPr>
          <w:rFonts w:cs="Arial"/>
          <w:szCs w:val="24"/>
        </w:rPr>
        <w:t xml:space="preserve"> </w:t>
      </w:r>
      <w:r w:rsidRPr="009D2842">
        <w:rPr>
          <w:rFonts w:cs="Arial"/>
          <w:szCs w:val="24"/>
        </w:rPr>
        <w:t xml:space="preserve">systematic review of sections of the </w:t>
      </w:r>
      <w:r w:rsidRPr="009D2842">
        <w:rPr>
          <w:szCs w:val="24"/>
        </w:rPr>
        <w:t xml:space="preserve">Distribution Construction Specifications (DCS) and Distribution Engineering Instructions (DEI) that </w:t>
      </w:r>
      <w:r>
        <w:rPr>
          <w:szCs w:val="24"/>
        </w:rPr>
        <w:t>were</w:t>
      </w:r>
      <w:r w:rsidRPr="009D2842">
        <w:rPr>
          <w:szCs w:val="24"/>
        </w:rPr>
        <w:t xml:space="preserve"> considered outdated</w:t>
      </w:r>
      <w:r>
        <w:rPr>
          <w:szCs w:val="24"/>
        </w:rPr>
        <w:t xml:space="preserve"> in late 2014.  The project is nearing completion and involved </w:t>
      </w:r>
      <w:r w:rsidRPr="009D2842">
        <w:rPr>
          <w:szCs w:val="24"/>
        </w:rPr>
        <w:t>subject matter experts from Distribution Design</w:t>
      </w:r>
      <w:r>
        <w:rPr>
          <w:szCs w:val="24"/>
        </w:rPr>
        <w:t xml:space="preserve"> and Standards</w:t>
      </w:r>
      <w:r w:rsidRPr="009D2842">
        <w:rPr>
          <w:szCs w:val="24"/>
        </w:rPr>
        <w:t xml:space="preserve">, </w:t>
      </w:r>
      <w:r>
        <w:rPr>
          <w:szCs w:val="24"/>
        </w:rPr>
        <w:t xml:space="preserve">Region Operations, </w:t>
      </w:r>
      <w:r w:rsidRPr="009D2842">
        <w:rPr>
          <w:szCs w:val="24"/>
        </w:rPr>
        <w:t xml:space="preserve">Regional Reliability, field crews, Technical </w:t>
      </w:r>
      <w:r>
        <w:rPr>
          <w:szCs w:val="24"/>
        </w:rPr>
        <w:t>Development and Improvement</w:t>
      </w:r>
      <w:r w:rsidRPr="009D2842">
        <w:rPr>
          <w:szCs w:val="24"/>
        </w:rPr>
        <w:t xml:space="preserve">, and Supply Chain.  </w:t>
      </w:r>
      <w:r>
        <w:rPr>
          <w:szCs w:val="24"/>
        </w:rPr>
        <w:t>Moving forward, Standards intends to review all specifications and instructions on a two year cycle in order to maintain up to date design documents.</w:t>
      </w:r>
    </w:p>
    <w:p w:rsidR="00AE554B" w:rsidRDefault="00AE554B" w:rsidP="00B86FA4">
      <w:pPr>
        <w:pStyle w:val="Findings"/>
        <w:numPr>
          <w:ilvl w:val="0"/>
          <w:numId w:val="21"/>
        </w:numPr>
      </w:pPr>
      <w:r>
        <w:t>The deployment of Smart Grid technologies should improve overall distribution system performance.</w:t>
      </w:r>
    </w:p>
    <w:p w:rsidR="00AE554B" w:rsidRDefault="00AE554B" w:rsidP="00701DCF">
      <w:r>
        <w:t>There has been significant development of smart grid technologies over the past decade.  The devices and systems that PPL EU is installing will enable more discrete real-time monitoring, control, and restoration of the system.  The currently installed control and communications systems provide a good foundation for implementation of additional technologies as they mature.</w:t>
      </w:r>
    </w:p>
    <w:p w:rsidR="00AE554B" w:rsidRPr="008118AB" w:rsidRDefault="00AE554B" w:rsidP="00B86FA4">
      <w:pPr>
        <w:pStyle w:val="Findings"/>
        <w:numPr>
          <w:ilvl w:val="0"/>
          <w:numId w:val="21"/>
        </w:numPr>
      </w:pPr>
      <w:r w:rsidRPr="008118AB">
        <w:t xml:space="preserve">Detailed condition data for lines is being added to </w:t>
      </w:r>
      <w:r>
        <w:rPr>
          <w:rFonts w:cs="Arial"/>
          <w:szCs w:val="24"/>
        </w:rPr>
        <w:t>the asset management application</w:t>
      </w:r>
      <w:r w:rsidRPr="008118AB">
        <w:t xml:space="preserve"> to drive condition-based maintenance decisions.</w:t>
      </w:r>
    </w:p>
    <w:p w:rsidR="00AE554B" w:rsidRDefault="00AE554B" w:rsidP="00701DCF">
      <w:r w:rsidRPr="008118AB">
        <w:t xml:space="preserve">An effort is underway to populate </w:t>
      </w:r>
      <w:r>
        <w:rPr>
          <w:rFonts w:cs="Arial"/>
          <w:szCs w:val="24"/>
        </w:rPr>
        <w:t>the asset management application</w:t>
      </w:r>
      <w:r w:rsidRPr="008118AB">
        <w:t xml:space="preserve"> with line maintenance history data from field inspections and maintenance activities.  The data will be used to </w:t>
      </w:r>
      <w:r w:rsidRPr="008118AB">
        <w:rPr>
          <w:rFonts w:cs="Arial"/>
          <w:szCs w:val="24"/>
        </w:rPr>
        <w:t>support greater use of condition-based maintenance activity related to asset health.  Asset health is being collected on circuit breakers, transformers, and underground cable vaults via tablet and uploaded to the system to supplement pole inspection and line patrol results.</w:t>
      </w:r>
    </w:p>
    <w:p w:rsidR="00AE554B" w:rsidRDefault="00AE554B" w:rsidP="00B86FA4">
      <w:pPr>
        <w:pStyle w:val="Findings"/>
        <w:numPr>
          <w:ilvl w:val="0"/>
          <w:numId w:val="21"/>
        </w:numPr>
      </w:pPr>
      <w:r>
        <w:t>Distribution Operations has implemented a robust set of performance indicators.</w:t>
      </w:r>
    </w:p>
    <w:p w:rsidR="00AE554B" w:rsidRDefault="00AE554B" w:rsidP="00701DCF">
      <w:r>
        <w:t>Distribution Operations metrics cover safety, health, and reliability.  There are 21 performance indicators on the corporate scorecard specific to Distribution Operations.  These metrics cover reliability, vegetation management, and work execution metrics.</w:t>
      </w:r>
    </w:p>
    <w:p w:rsidR="00AE554B" w:rsidRDefault="00AE554B" w:rsidP="00701DCF">
      <w:r>
        <w:t>Goals are developed with the managers and targets are established at the regional level and by office function.  PPL EU has established a set of long term goals for safety, health, and reliability of first quartile performance as compared to peer utilities.  Best practices are shared and the individual groups develop initiatives to support the goals.</w:t>
      </w:r>
    </w:p>
    <w:p w:rsidR="00AE554B" w:rsidRDefault="00AE554B" w:rsidP="00B86FA4">
      <w:pPr>
        <w:pStyle w:val="Findings"/>
        <w:numPr>
          <w:ilvl w:val="0"/>
          <w:numId w:val="21"/>
        </w:numPr>
      </w:pPr>
      <w:r>
        <w:t>The transition from paper records to a database for maintenance of relay settings and testing records is a good practice.</w:t>
      </w:r>
    </w:p>
    <w:p w:rsidR="00AE554B" w:rsidRDefault="00AE554B" w:rsidP="00701DCF">
      <w:r>
        <w:t xml:space="preserve">A high volume of relay test and maintenance records are generated each year.  Use of paper based records systems can lead to overlooking individual relays when completing the periodic testing and maintenance cycles.  The NERC PRC-005 Protection System </w:t>
      </w:r>
      <w:r>
        <w:lastRenderedPageBreak/>
        <w:t>and Automatic Reclosing Maintenance standard is one of the most frequently violated standards due to the high volume of activity and the need to maintain detailed records for at least two maintenance cycles.  Use of the database will reduce PPL EU’s risk of a violation in this area.  This effort was completed by year end 2015.</w:t>
      </w:r>
    </w:p>
    <w:p w:rsidR="00AE554B" w:rsidRDefault="00AE554B" w:rsidP="00B86FA4">
      <w:pPr>
        <w:pStyle w:val="Findings"/>
        <w:numPr>
          <w:ilvl w:val="0"/>
          <w:numId w:val="21"/>
        </w:numPr>
      </w:pPr>
      <w:r>
        <w:t>The enhanced Vegetation Management program appears to be having a generally positive impact on reducing tree related outages.</w:t>
      </w:r>
    </w:p>
    <w:p w:rsidR="00AE554B" w:rsidRDefault="00AE554B" w:rsidP="00701DCF">
      <w:r>
        <w:t>The following table summarizes the number of tree-related outages reported on an annual basis since 2011.</w:t>
      </w:r>
    </w:p>
    <w:p w:rsidR="00AE554B" w:rsidRPr="003E1C85" w:rsidRDefault="00AD2223" w:rsidP="00AD2223">
      <w:pPr>
        <w:pStyle w:val="Caption"/>
      </w:pPr>
      <w:bookmarkStart w:id="170" w:name="_Toc464552995"/>
      <w:r>
        <w:t xml:space="preserve">Exhibit </w:t>
      </w:r>
      <w:r w:rsidR="00CB2B2A">
        <w:fldChar w:fldCharType="begin"/>
      </w:r>
      <w:r w:rsidR="00EC053E">
        <w:instrText xml:space="preserve"> STYLEREF 1 \s </w:instrText>
      </w:r>
      <w:r w:rsidR="00CB2B2A">
        <w:fldChar w:fldCharType="separate"/>
      </w:r>
      <w:r w:rsidR="00CA3BDB">
        <w:rPr>
          <w:noProof/>
        </w:rPr>
        <w:t>VI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28</w:t>
      </w:r>
      <w:r w:rsidR="00CB2B2A">
        <w:rPr>
          <w:noProof/>
        </w:rPr>
        <w:fldChar w:fldCharType="end"/>
      </w:r>
      <w:r w:rsidR="002F6183">
        <w:br/>
      </w:r>
      <w:r w:rsidR="00AE554B" w:rsidRPr="003E1C85">
        <w:t>PPL EU Tree-related Outages 201</w:t>
      </w:r>
      <w:r w:rsidR="00AE554B">
        <w:t>1–</w:t>
      </w:r>
      <w:r w:rsidR="00AE554B" w:rsidRPr="003E1C85">
        <w:t>201</w:t>
      </w:r>
      <w:r w:rsidR="00AE554B">
        <w:t>5</w:t>
      </w:r>
      <w:bookmarkEnd w:id="1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5"/>
        <w:gridCol w:w="1179"/>
        <w:gridCol w:w="1179"/>
        <w:gridCol w:w="1179"/>
        <w:gridCol w:w="1179"/>
        <w:gridCol w:w="1179"/>
      </w:tblGrid>
      <w:tr w:rsidR="00AE554B" w:rsidRPr="007370C9" w:rsidTr="00A113F8">
        <w:trPr>
          <w:cantSplit/>
          <w:trHeight w:val="20"/>
          <w:tblHeader/>
          <w:jc w:val="center"/>
        </w:trPr>
        <w:tc>
          <w:tcPr>
            <w:tcW w:w="3015" w:type="dxa"/>
            <w:shd w:val="clear" w:color="auto" w:fill="A5CD7E"/>
            <w:vAlign w:val="center"/>
          </w:tcPr>
          <w:p w:rsidR="00AE554B" w:rsidRPr="007370C9" w:rsidRDefault="00AE554B" w:rsidP="007370C9">
            <w:pPr>
              <w:spacing w:before="120"/>
              <w:jc w:val="center"/>
              <w:rPr>
                <w:b/>
              </w:rPr>
            </w:pPr>
            <w:r w:rsidRPr="007370C9">
              <w:rPr>
                <w:b/>
              </w:rPr>
              <w:t>Factor</w:t>
            </w:r>
          </w:p>
        </w:tc>
        <w:tc>
          <w:tcPr>
            <w:tcW w:w="1179" w:type="dxa"/>
            <w:shd w:val="clear" w:color="auto" w:fill="A5CD7E"/>
            <w:vAlign w:val="center"/>
          </w:tcPr>
          <w:p w:rsidR="00AE554B" w:rsidRPr="007370C9" w:rsidRDefault="00AE554B" w:rsidP="007370C9">
            <w:pPr>
              <w:spacing w:before="120"/>
              <w:jc w:val="center"/>
              <w:rPr>
                <w:b/>
              </w:rPr>
            </w:pPr>
            <w:r w:rsidRPr="007370C9">
              <w:rPr>
                <w:b/>
              </w:rPr>
              <w:t>2011</w:t>
            </w:r>
          </w:p>
        </w:tc>
        <w:tc>
          <w:tcPr>
            <w:tcW w:w="1179" w:type="dxa"/>
            <w:shd w:val="clear" w:color="auto" w:fill="A5CD7E"/>
            <w:vAlign w:val="center"/>
          </w:tcPr>
          <w:p w:rsidR="00AE554B" w:rsidRPr="007370C9" w:rsidRDefault="00AE554B" w:rsidP="007370C9">
            <w:pPr>
              <w:spacing w:before="120"/>
              <w:jc w:val="center"/>
              <w:rPr>
                <w:b/>
              </w:rPr>
            </w:pPr>
            <w:r w:rsidRPr="007370C9">
              <w:rPr>
                <w:b/>
              </w:rPr>
              <w:t>2012</w:t>
            </w:r>
          </w:p>
        </w:tc>
        <w:tc>
          <w:tcPr>
            <w:tcW w:w="1179" w:type="dxa"/>
            <w:shd w:val="clear" w:color="auto" w:fill="A5CD7E"/>
            <w:vAlign w:val="center"/>
          </w:tcPr>
          <w:p w:rsidR="00AE554B" w:rsidRPr="007370C9" w:rsidRDefault="00AE554B" w:rsidP="007370C9">
            <w:pPr>
              <w:spacing w:before="120"/>
              <w:jc w:val="center"/>
              <w:rPr>
                <w:b/>
              </w:rPr>
            </w:pPr>
            <w:r w:rsidRPr="007370C9">
              <w:rPr>
                <w:b/>
              </w:rPr>
              <w:t>2013</w:t>
            </w:r>
          </w:p>
        </w:tc>
        <w:tc>
          <w:tcPr>
            <w:tcW w:w="1179" w:type="dxa"/>
            <w:shd w:val="clear" w:color="auto" w:fill="A5CD7E"/>
            <w:vAlign w:val="center"/>
          </w:tcPr>
          <w:p w:rsidR="00AE554B" w:rsidRPr="007370C9" w:rsidRDefault="00AE554B" w:rsidP="007370C9">
            <w:pPr>
              <w:spacing w:before="120"/>
              <w:jc w:val="center"/>
              <w:rPr>
                <w:b/>
              </w:rPr>
            </w:pPr>
            <w:r w:rsidRPr="007370C9">
              <w:rPr>
                <w:b/>
              </w:rPr>
              <w:t>2014</w:t>
            </w:r>
          </w:p>
        </w:tc>
        <w:tc>
          <w:tcPr>
            <w:tcW w:w="1179" w:type="dxa"/>
            <w:shd w:val="clear" w:color="auto" w:fill="A5CD7E"/>
            <w:vAlign w:val="center"/>
          </w:tcPr>
          <w:p w:rsidR="00AE554B" w:rsidRPr="007370C9" w:rsidRDefault="00AE554B" w:rsidP="007370C9">
            <w:pPr>
              <w:spacing w:before="120"/>
              <w:jc w:val="center"/>
              <w:rPr>
                <w:b/>
              </w:rPr>
            </w:pPr>
            <w:r w:rsidRPr="007370C9">
              <w:rPr>
                <w:b/>
              </w:rPr>
              <w:t>2015</w:t>
            </w:r>
          </w:p>
        </w:tc>
      </w:tr>
      <w:tr w:rsidR="00AE554B" w:rsidRPr="00094B43" w:rsidTr="00701DCF">
        <w:trPr>
          <w:trHeight w:val="20"/>
          <w:jc w:val="center"/>
        </w:trPr>
        <w:tc>
          <w:tcPr>
            <w:tcW w:w="3015" w:type="dxa"/>
            <w:shd w:val="clear" w:color="auto" w:fill="auto"/>
            <w:vAlign w:val="center"/>
          </w:tcPr>
          <w:p w:rsidR="00AE554B" w:rsidRPr="00094B43" w:rsidRDefault="00AE554B" w:rsidP="00701DCF">
            <w:pPr>
              <w:pStyle w:val="Tabletext"/>
              <w:rPr>
                <w:rFonts w:cs="Arial"/>
              </w:rPr>
            </w:pPr>
            <w:r>
              <w:rPr>
                <w:rFonts w:cs="Arial"/>
              </w:rPr>
              <w:t>Tree-related Outages – off corridor</w:t>
            </w:r>
          </w:p>
        </w:tc>
        <w:tc>
          <w:tcPr>
            <w:tcW w:w="1179" w:type="dxa"/>
            <w:vAlign w:val="center"/>
          </w:tcPr>
          <w:p w:rsidR="00AE554B" w:rsidRPr="005439C4" w:rsidRDefault="00AE554B" w:rsidP="00701DCF">
            <w:pPr>
              <w:pStyle w:val="Tabletext"/>
              <w:rPr>
                <w:rFonts w:cs="Arial"/>
              </w:rPr>
            </w:pPr>
            <w:r>
              <w:rPr>
                <w:rFonts w:cs="Arial"/>
              </w:rPr>
              <w:t>5,064</w:t>
            </w:r>
          </w:p>
        </w:tc>
        <w:tc>
          <w:tcPr>
            <w:tcW w:w="1179" w:type="dxa"/>
            <w:vAlign w:val="center"/>
          </w:tcPr>
          <w:p w:rsidR="00AE554B" w:rsidRPr="00094B43" w:rsidRDefault="00AE554B" w:rsidP="00701DCF">
            <w:pPr>
              <w:pStyle w:val="Tabletext"/>
              <w:rPr>
                <w:rFonts w:cs="Arial"/>
              </w:rPr>
            </w:pPr>
            <w:r>
              <w:rPr>
                <w:rFonts w:cs="Arial"/>
              </w:rPr>
              <w:t>4,356</w:t>
            </w:r>
          </w:p>
        </w:tc>
        <w:tc>
          <w:tcPr>
            <w:tcW w:w="1179" w:type="dxa"/>
            <w:vAlign w:val="center"/>
          </w:tcPr>
          <w:p w:rsidR="00AE554B" w:rsidRPr="00094B43" w:rsidRDefault="00AE554B" w:rsidP="00701DCF">
            <w:pPr>
              <w:pStyle w:val="Tabletext"/>
              <w:rPr>
                <w:rFonts w:cs="Arial"/>
              </w:rPr>
            </w:pPr>
            <w:r>
              <w:rPr>
                <w:rFonts w:cs="Arial"/>
              </w:rPr>
              <w:t>3,160</w:t>
            </w:r>
          </w:p>
        </w:tc>
        <w:tc>
          <w:tcPr>
            <w:tcW w:w="1179" w:type="dxa"/>
            <w:vAlign w:val="center"/>
          </w:tcPr>
          <w:p w:rsidR="00AE554B" w:rsidRPr="00094B43" w:rsidRDefault="00AE554B" w:rsidP="00701DCF">
            <w:pPr>
              <w:pStyle w:val="Tabletext"/>
              <w:rPr>
                <w:rFonts w:cs="Arial"/>
              </w:rPr>
            </w:pPr>
            <w:r>
              <w:rPr>
                <w:rFonts w:cs="Arial"/>
              </w:rPr>
              <w:t>4,943</w:t>
            </w:r>
          </w:p>
        </w:tc>
        <w:tc>
          <w:tcPr>
            <w:tcW w:w="1179" w:type="dxa"/>
            <w:vAlign w:val="center"/>
          </w:tcPr>
          <w:p w:rsidR="00AE554B" w:rsidRPr="00094B43" w:rsidRDefault="00AE554B" w:rsidP="00701DCF">
            <w:pPr>
              <w:pStyle w:val="Tabletext"/>
              <w:rPr>
                <w:rFonts w:cs="Arial"/>
              </w:rPr>
            </w:pPr>
            <w:r>
              <w:rPr>
                <w:rFonts w:cs="Arial"/>
              </w:rPr>
              <w:t>3,456</w:t>
            </w:r>
          </w:p>
        </w:tc>
      </w:tr>
      <w:tr w:rsidR="00AE554B" w:rsidRPr="00094B43" w:rsidTr="00701DCF">
        <w:trPr>
          <w:trHeight w:val="20"/>
          <w:jc w:val="center"/>
        </w:trPr>
        <w:tc>
          <w:tcPr>
            <w:tcW w:w="3015" w:type="dxa"/>
            <w:shd w:val="clear" w:color="auto" w:fill="auto"/>
            <w:vAlign w:val="center"/>
          </w:tcPr>
          <w:p w:rsidR="00AE554B" w:rsidRDefault="00AE554B" w:rsidP="00701DCF">
            <w:pPr>
              <w:pStyle w:val="Tabletext"/>
              <w:rPr>
                <w:rFonts w:cs="Arial"/>
              </w:rPr>
            </w:pPr>
            <w:r>
              <w:rPr>
                <w:rFonts w:cs="Arial"/>
              </w:rPr>
              <w:t>Tree-trimming related Outages – within ROW</w:t>
            </w:r>
          </w:p>
        </w:tc>
        <w:tc>
          <w:tcPr>
            <w:tcW w:w="1179" w:type="dxa"/>
            <w:vAlign w:val="center"/>
          </w:tcPr>
          <w:p w:rsidR="00AE554B" w:rsidRDefault="00AE554B" w:rsidP="00701DCF">
            <w:pPr>
              <w:pStyle w:val="Tabletext"/>
              <w:rPr>
                <w:rFonts w:cs="Arial"/>
              </w:rPr>
            </w:pPr>
            <w:r>
              <w:rPr>
                <w:rFonts w:cs="Arial"/>
              </w:rPr>
              <w:t>824</w:t>
            </w:r>
          </w:p>
        </w:tc>
        <w:tc>
          <w:tcPr>
            <w:tcW w:w="1179" w:type="dxa"/>
            <w:vAlign w:val="center"/>
          </w:tcPr>
          <w:p w:rsidR="00AE554B" w:rsidRDefault="00AE554B" w:rsidP="00701DCF">
            <w:pPr>
              <w:pStyle w:val="Tabletext"/>
              <w:rPr>
                <w:rFonts w:cs="Arial"/>
              </w:rPr>
            </w:pPr>
            <w:r>
              <w:rPr>
                <w:rFonts w:cs="Arial"/>
              </w:rPr>
              <w:t>787</w:t>
            </w:r>
          </w:p>
        </w:tc>
        <w:tc>
          <w:tcPr>
            <w:tcW w:w="1179" w:type="dxa"/>
            <w:vAlign w:val="center"/>
          </w:tcPr>
          <w:p w:rsidR="00AE554B" w:rsidRDefault="00AE554B" w:rsidP="00701DCF">
            <w:pPr>
              <w:pStyle w:val="Tabletext"/>
              <w:rPr>
                <w:rFonts w:cs="Arial"/>
              </w:rPr>
            </w:pPr>
            <w:r>
              <w:rPr>
                <w:rFonts w:cs="Arial"/>
              </w:rPr>
              <w:t>534</w:t>
            </w:r>
          </w:p>
        </w:tc>
        <w:tc>
          <w:tcPr>
            <w:tcW w:w="1179" w:type="dxa"/>
            <w:vAlign w:val="center"/>
          </w:tcPr>
          <w:p w:rsidR="00AE554B" w:rsidRPr="00094B43" w:rsidRDefault="00AE554B" w:rsidP="00701DCF">
            <w:pPr>
              <w:pStyle w:val="Tabletext"/>
              <w:rPr>
                <w:rFonts w:cs="Arial"/>
              </w:rPr>
            </w:pPr>
            <w:r>
              <w:rPr>
                <w:rFonts w:cs="Arial"/>
              </w:rPr>
              <w:t>966</w:t>
            </w:r>
          </w:p>
        </w:tc>
        <w:tc>
          <w:tcPr>
            <w:tcW w:w="1179" w:type="dxa"/>
            <w:vAlign w:val="center"/>
          </w:tcPr>
          <w:p w:rsidR="00AE554B" w:rsidRPr="00094B43" w:rsidRDefault="00AE554B" w:rsidP="00701DCF">
            <w:pPr>
              <w:pStyle w:val="Tabletext"/>
              <w:rPr>
                <w:rFonts w:cs="Arial"/>
              </w:rPr>
            </w:pPr>
            <w:r>
              <w:rPr>
                <w:rFonts w:cs="Arial"/>
              </w:rPr>
              <w:t>538</w:t>
            </w:r>
          </w:p>
        </w:tc>
      </w:tr>
      <w:tr w:rsidR="00AE554B" w:rsidRPr="00094B43" w:rsidTr="00701DCF">
        <w:trPr>
          <w:trHeight w:val="20"/>
          <w:jc w:val="center"/>
        </w:trPr>
        <w:tc>
          <w:tcPr>
            <w:tcW w:w="8910" w:type="dxa"/>
            <w:gridSpan w:val="6"/>
          </w:tcPr>
          <w:p w:rsidR="00AE554B" w:rsidRPr="00094B43" w:rsidRDefault="00AE554B" w:rsidP="00701DCF">
            <w:pPr>
              <w:pStyle w:val="Tabletext"/>
              <w:jc w:val="left"/>
              <w:rPr>
                <w:rFonts w:cs="Arial"/>
              </w:rPr>
            </w:pPr>
            <w:r w:rsidRPr="00094B43">
              <w:rPr>
                <w:rFonts w:cs="Arial"/>
              </w:rPr>
              <w:t xml:space="preserve">Source: DN </w:t>
            </w:r>
            <w:r>
              <w:rPr>
                <w:rFonts w:cs="Arial"/>
              </w:rPr>
              <w:t>07-109 (2015 is through Dec. 29)</w:t>
            </w:r>
          </w:p>
        </w:tc>
      </w:tr>
    </w:tbl>
    <w:p w:rsidR="00AE554B" w:rsidRDefault="00AE554B" w:rsidP="00701DCF">
      <w:pPr>
        <w:pStyle w:val="Normal-aftertable"/>
      </w:pPr>
      <w:r>
        <w:t>Tree related outages will tend to vary from year to year due to changing weather conditions however outages caused by trees outside of the right of way (ROW) will continue to be a major source of outages.  The enhanced tree trimming program and efforts to remove danger trees outside the right of way appear to be yielding some improvement based on the 2013 and 2015 results.  Completion of the first full cycle of distribution line trimming under the revised distribution tree trimming guidelines is expected to be completed by the end of 2017.</w:t>
      </w:r>
    </w:p>
    <w:p w:rsidR="00AE554B" w:rsidRDefault="00AE554B" w:rsidP="00B86FA4">
      <w:pPr>
        <w:pStyle w:val="Findings"/>
        <w:numPr>
          <w:ilvl w:val="0"/>
          <w:numId w:val="21"/>
        </w:numPr>
      </w:pPr>
      <w:r>
        <w:t>Implementation of the geospatial application in Vegetation Management will provide more accurate records of transmission corridor vegetation conditions.</w:t>
      </w:r>
    </w:p>
    <w:p w:rsidR="00AE554B" w:rsidRDefault="00AE554B" w:rsidP="00701DCF">
      <w:r>
        <w:t>The application will allow for detailed recording of vegetation conditions along the entire corridor using LIDAR data, line inspection, and vegetation program results.  Conversion of records to this application should also facilitate maintaining evidence of compliance with the NERC FAC-003 Vegetation Management standard.  The initial implementation is expected to be complete by early 2016.</w:t>
      </w:r>
    </w:p>
    <w:p w:rsidR="00AE554B" w:rsidRPr="004C6144" w:rsidRDefault="00AE554B" w:rsidP="00B86FA4">
      <w:pPr>
        <w:pStyle w:val="Findings"/>
        <w:numPr>
          <w:ilvl w:val="0"/>
          <w:numId w:val="21"/>
        </w:numPr>
      </w:pPr>
      <w:r w:rsidRPr="004C6144">
        <w:t>Implementation of the Universal Outage Alert System is a progressive step to inform affected customers.</w:t>
      </w:r>
    </w:p>
    <w:p w:rsidR="00AE554B" w:rsidRDefault="00AE554B" w:rsidP="00701DCF">
      <w:r>
        <w:t xml:space="preserve">Customers affected by an outage have two primary concerns.  Does the utility know the power is out and when can I expect to have service restored?  PPL’s implementation of the alert system answers both questions.  The customer receives a notification via their preferred method of contact, email, text, or phone call acknowledging the outage which is followed up by later notification(s) of the estimated restoration time.  These notifications are followed up by a final notification that restoration has been completed.  The program is made possible by extensive investments in technology and </w:t>
      </w:r>
      <w:r>
        <w:lastRenderedPageBreak/>
        <w:t>development of internal processes to manage the restoration efforts.  Overall customer satisfaction should be positively impacted through these efforts.</w:t>
      </w:r>
    </w:p>
    <w:p w:rsidR="00AE554B" w:rsidRPr="00AD3C11" w:rsidRDefault="00AE554B" w:rsidP="00815240">
      <w:pPr>
        <w:pStyle w:val="Findings"/>
        <w:keepNext/>
        <w:numPr>
          <w:ilvl w:val="0"/>
          <w:numId w:val="21"/>
        </w:numPr>
      </w:pPr>
      <w:r w:rsidRPr="00CA77A5">
        <w:t xml:space="preserve">Work orders for substation equipment are currently generated manually and added into </w:t>
      </w:r>
      <w:r>
        <w:rPr>
          <w:rFonts w:cs="Arial"/>
          <w:szCs w:val="24"/>
        </w:rPr>
        <w:t>the asset management application</w:t>
      </w:r>
      <w:r w:rsidRPr="00CA77A5">
        <w:t>.</w:t>
      </w:r>
    </w:p>
    <w:p w:rsidR="00AE554B" w:rsidRDefault="00AE554B" w:rsidP="00701DCF">
      <w:r>
        <w:t xml:space="preserve">Manual generation of the work orders can lead to errors and missed maintenance cycles.  Transition of the responsibility to a new employee can also lead to errors.  The substation maintenance cycles from the substation maintenance management application should be mirrored in </w:t>
      </w:r>
      <w:r>
        <w:rPr>
          <w:rFonts w:cs="Arial"/>
          <w:szCs w:val="24"/>
        </w:rPr>
        <w:t>the asset management application</w:t>
      </w:r>
      <w:r>
        <w:t xml:space="preserve"> to allow for automatic work order creation.  </w:t>
      </w:r>
      <w:r>
        <w:rPr>
          <w:rFonts w:cs="Arial"/>
          <w:szCs w:val="24"/>
        </w:rPr>
        <w:t>PPL EU plans to add the substation equipment maintenance cycles into the asset management application for automated work order creation.</w:t>
      </w:r>
    </w:p>
    <w:p w:rsidR="00AE554B" w:rsidRPr="009C7A0F" w:rsidRDefault="00AE554B" w:rsidP="00B86FA4">
      <w:pPr>
        <w:pStyle w:val="Findings"/>
        <w:numPr>
          <w:ilvl w:val="0"/>
          <w:numId w:val="21"/>
        </w:numPr>
      </w:pPr>
      <w:r w:rsidRPr="009C7A0F">
        <w:t>PPL EU has a dedicated troubleshooter organization</w:t>
      </w:r>
      <w:r>
        <w:t>, however it is only</w:t>
      </w:r>
      <w:r w:rsidRPr="009C7A0F">
        <w:t xml:space="preserve"> responsible for </w:t>
      </w:r>
      <w:r>
        <w:t>responding to</w:t>
      </w:r>
      <w:r w:rsidRPr="009C7A0F">
        <w:t xml:space="preserve"> outages occurring outside of normal work hours.</w:t>
      </w:r>
    </w:p>
    <w:p w:rsidR="00AE554B" w:rsidRDefault="00AE554B" w:rsidP="00701DCF">
      <w:r>
        <w:t>During the workday, the line crews assigned for outage response are used as first responders instead of troubleshooters.  These two person crews are assigned work that is relatively easy to halt and drive to the outage location.  The field crew responding to the outage must then report to the service center to pick up any additional equipment and materials necessary to complete the repairs.  T</w:t>
      </w:r>
      <w:r w:rsidRPr="009C7A0F">
        <w:t>he</w:t>
      </w:r>
      <w:r>
        <w:t xml:space="preserve"> Distribution Operations</w:t>
      </w:r>
      <w:r w:rsidRPr="009C7A0F">
        <w:t xml:space="preserve"> troubleshooters provide coverage for the initial response to outage events outside of the normal workweek schedule.  </w:t>
      </w:r>
      <w:r>
        <w:t>Initial response time is a critical component of managing CAIDI.  The troubleshooter can diagnose the problem and report necessary repairs to the field crew. The rapid initial response by the troubleshooter enables the field crew to respond with the proper equipment and materials to make repairs and return the system to its normal configuration in a timely manner.</w:t>
      </w:r>
    </w:p>
    <w:p w:rsidR="00AE554B" w:rsidRDefault="00AE554B" w:rsidP="008F30B6">
      <w:pPr>
        <w:pStyle w:val="Heading-forToC"/>
      </w:pPr>
      <w:bookmarkStart w:id="171" w:name="_Toc442617431"/>
      <w:bookmarkStart w:id="172" w:name="_Toc464552034"/>
      <w:r>
        <w:t>Recommendations</w:t>
      </w:r>
      <w:bookmarkEnd w:id="171"/>
      <w:bookmarkEnd w:id="172"/>
    </w:p>
    <w:p w:rsidR="00AE554B" w:rsidRPr="00970C30" w:rsidRDefault="00AE554B" w:rsidP="00B86FA4">
      <w:pPr>
        <w:pStyle w:val="Findings"/>
        <w:numPr>
          <w:ilvl w:val="0"/>
          <w:numId w:val="22"/>
        </w:numPr>
      </w:pPr>
      <w:r>
        <w:t>Adopt the reduction in the CEMI</w:t>
      </w:r>
      <w:r w:rsidRPr="00970C30">
        <w:rPr>
          <w:rFonts w:ascii="Arial Bold" w:hAnsi="Arial Bold"/>
          <w:vertAlign w:val="subscript"/>
        </w:rPr>
        <w:t>10</w:t>
      </w:r>
      <w:r>
        <w:t xml:space="preserve"> goal to CEMI</w:t>
      </w:r>
      <w:r w:rsidRPr="00970C30">
        <w:rPr>
          <w:rFonts w:ascii="Arial Bold" w:hAnsi="Arial Bold"/>
          <w:vertAlign w:val="subscript"/>
        </w:rPr>
        <w:t>9</w:t>
      </w:r>
      <w:r>
        <w:t>.</w:t>
      </w:r>
      <w:r w:rsidRPr="00970C30">
        <w:t xml:space="preserve">  (</w:t>
      </w:r>
      <w:r>
        <w:t xml:space="preserve">See </w:t>
      </w:r>
      <w:r w:rsidRPr="00970C30">
        <w:t xml:space="preserve">Finding </w:t>
      </w:r>
      <w:r>
        <w:t>4</w:t>
      </w:r>
      <w:r w:rsidRPr="00970C30">
        <w:t>)</w:t>
      </w:r>
    </w:p>
    <w:p w:rsidR="00AE554B" w:rsidRDefault="00AE554B" w:rsidP="00701DCF">
      <w:r>
        <w:t>The program has yielded significant improvements in individual PPL customer experience.  PPL EU has reduced the program targets as performance has improved.  PPL has indicated that it plans to reduce the CEMI</w:t>
      </w:r>
      <w:r w:rsidRPr="00156F2D">
        <w:rPr>
          <w:vertAlign w:val="subscript"/>
        </w:rPr>
        <w:t>10</w:t>
      </w:r>
      <w:r>
        <w:t xml:space="preserve"> measure to CEMI</w:t>
      </w:r>
      <w:r>
        <w:rPr>
          <w:vertAlign w:val="subscript"/>
        </w:rPr>
        <w:t>9</w:t>
      </w:r>
      <w:r w:rsidRPr="00156F2D">
        <w:t>, or</w:t>
      </w:r>
      <w:r>
        <w:rPr>
          <w:vertAlign w:val="subscript"/>
        </w:rPr>
        <w:t xml:space="preserve"> </w:t>
      </w:r>
      <w:r>
        <w:t>nine events, and work towards zero customers experiencing nine or more outages in a year.  As of the end of 2015 there were approximately 45 customers with nine or more outages in the year.  Further reductions in the numbers of customers experiencing multiple outages will likely become increasingly challenging.  Through continued use of the CEMI program, PPL EU should gain insights into methods for further reductions in the numbers of customers experiencing multiple outages.  Continued use of the metric provides visibility to outage frequency at the individual customer level.</w:t>
      </w:r>
    </w:p>
    <w:p w:rsidR="00AE554B" w:rsidRDefault="00AE554B" w:rsidP="00B86FA4">
      <w:pPr>
        <w:pStyle w:val="Findings"/>
        <w:numPr>
          <w:ilvl w:val="0"/>
          <w:numId w:val="22"/>
        </w:numPr>
      </w:pPr>
      <w:r>
        <w:t>Complete the addition of distribution asset condition to the asset management system.  (See Finding 8)</w:t>
      </w:r>
    </w:p>
    <w:p w:rsidR="00AE554B" w:rsidRDefault="00AE554B" w:rsidP="00701DCF">
      <w:r>
        <w:t xml:space="preserve">PPL EU is populating the asset management system with field data collected on the distribution system assets.  The detailed condition information will facilitate the transition from time based maintenance cycles to greater use of condition based maintenance.  This transition will help increase the reliable performance of the system and more </w:t>
      </w:r>
      <w:r>
        <w:lastRenderedPageBreak/>
        <w:t>efficiently manage maintenance spending.  PPL EU plans to complete the initial data collection effort in the 2017/2018 time frame.</w:t>
      </w:r>
    </w:p>
    <w:p w:rsidR="00AE554B" w:rsidRPr="003D4A79" w:rsidRDefault="00AE554B" w:rsidP="00B86FA4">
      <w:pPr>
        <w:pStyle w:val="Findings"/>
        <w:numPr>
          <w:ilvl w:val="0"/>
          <w:numId w:val="22"/>
        </w:numPr>
      </w:pPr>
      <w:r w:rsidRPr="003D4A79">
        <w:t xml:space="preserve">Complete the planned linkage of substation maintenance cycles in </w:t>
      </w:r>
      <w:r>
        <w:rPr>
          <w:rFonts w:cs="Arial"/>
          <w:szCs w:val="24"/>
        </w:rPr>
        <w:t>the asset management application</w:t>
      </w:r>
      <w:r w:rsidRPr="003D4A79">
        <w:t>.  (</w:t>
      </w:r>
      <w:r>
        <w:t xml:space="preserve">See </w:t>
      </w:r>
      <w:r w:rsidRPr="003D4A79">
        <w:t>Finding 1</w:t>
      </w:r>
      <w:r>
        <w:t>4</w:t>
      </w:r>
      <w:r w:rsidRPr="003D4A79">
        <w:t>)</w:t>
      </w:r>
    </w:p>
    <w:p w:rsidR="00AE554B" w:rsidRDefault="00AE554B" w:rsidP="00701DCF">
      <w:r w:rsidRPr="003D4A79">
        <w:t xml:space="preserve">Inclusion of the substation maintenance cycle triggers in </w:t>
      </w:r>
      <w:r>
        <w:rPr>
          <w:rFonts w:cs="Arial"/>
          <w:szCs w:val="24"/>
        </w:rPr>
        <w:t>the asset management application</w:t>
      </w:r>
      <w:r w:rsidRPr="003D4A79">
        <w:t xml:space="preserve"> will enable more efficient generation of maintenance work orders within a single system.  This will also facilitate more efficient workload planning and scheduling activities.  If a sooner timeframe has not been established for this effort, a goal of completion by the end of 2016 should be established.</w:t>
      </w:r>
    </w:p>
    <w:p w:rsidR="00C12CD7" w:rsidRPr="003D4A79" w:rsidRDefault="0065076A" w:rsidP="00701DCF">
      <w:r>
        <w:t>PPL EU estimates that a reduction of .5 FTE would save approximately $62,500 per year in the Work and Resource Planning Group.</w:t>
      </w:r>
    </w:p>
    <w:p w:rsidR="00AE554B" w:rsidRPr="00970C30" w:rsidRDefault="00AE554B" w:rsidP="00B86FA4">
      <w:pPr>
        <w:pStyle w:val="Findings"/>
        <w:numPr>
          <w:ilvl w:val="0"/>
          <w:numId w:val="22"/>
        </w:numPr>
      </w:pPr>
      <w:r>
        <w:t xml:space="preserve">Consider expanding the troubleshooter function to include coverage during the normal work day.  </w:t>
      </w:r>
      <w:r w:rsidRPr="00970C30">
        <w:t>(</w:t>
      </w:r>
      <w:r>
        <w:t xml:space="preserve">See </w:t>
      </w:r>
      <w:r w:rsidRPr="00970C30">
        <w:t>Finding 1</w:t>
      </w:r>
      <w:r>
        <w:t>5</w:t>
      </w:r>
      <w:r w:rsidRPr="00970C30">
        <w:t>)</w:t>
      </w:r>
    </w:p>
    <w:p w:rsidR="00AE554B" w:rsidRDefault="00AE554B" w:rsidP="00701DCF">
      <w:r>
        <w:t>PPL should consider adding day shift troubleshooters to the Distribution Operations troubleshooter organization.  Not every outage requires a response by a two person line crew to resolve.  Use of troubleshooters during the day shift as first responders may be more efficient and yield some additional incremental savings in the CAIDI measure for some of the workday outages.  This would supplement the more rapid response by the on duty line crews assigned for outage response.  Implementation of the Smart Grid features will also require additional training for first responders to understand the added complexity of the automated switching protocols and identification of repair priorities</w:t>
      </w:r>
    </w:p>
    <w:p w:rsidR="00AE554B" w:rsidRDefault="00AE554B" w:rsidP="00701DCF"/>
    <w:p w:rsidR="009B421B" w:rsidRDefault="009B421B" w:rsidP="00701DCF">
      <w:pPr>
        <w:sectPr w:rsidR="009B421B" w:rsidSect="00C73199">
          <w:footerReference w:type="default" r:id="rId50"/>
          <w:type w:val="continuous"/>
          <w:pgSz w:w="12240" w:h="15840"/>
          <w:pgMar w:top="1440" w:right="1440" w:bottom="1440" w:left="1440" w:header="720" w:footer="576" w:gutter="0"/>
          <w:cols w:space="720"/>
          <w:docGrid w:linePitch="360"/>
        </w:sectPr>
      </w:pPr>
    </w:p>
    <w:p w:rsidR="00286C71" w:rsidRPr="00451E86" w:rsidRDefault="00286C71" w:rsidP="00E142EC">
      <w:pPr>
        <w:pStyle w:val="Heading1"/>
      </w:pPr>
      <w:bookmarkStart w:id="173" w:name="_Toc464552035"/>
      <w:r w:rsidRPr="008D3567">
        <w:lastRenderedPageBreak/>
        <w:t>emergency</w:t>
      </w:r>
      <w:r>
        <w:t xml:space="preserve"> response</w:t>
      </w:r>
      <w:bookmarkEnd w:id="173"/>
    </w:p>
    <w:p w:rsidR="00286C71" w:rsidRDefault="00286C71" w:rsidP="00701DCF">
      <w:r>
        <w:t>Emergency response preparedness encompasses electric system events affecting service to customers, critical business systems, physical security of facilities and infrastructure, and the cyber security of information and operational systems.  The PPL Services Corporation (PPL SC) Human Resources (HR) Protective Services group (Protective Services) is responsible for business continuity and physical security plans for non-weather events.  The Emergency Preparedness (EP) group, part of the Technical Development and Improvement Department of PPL Electric Utilities (PPL EU), is responsible for electric system damage and storm response plans.  The PPL SC Information Technology (IT) Information Assurance Group (IAG) is responsible for cyber security plans.</w:t>
      </w:r>
    </w:p>
    <w:p w:rsidR="00286C71" w:rsidRDefault="00286C71" w:rsidP="00701DCF">
      <w:r>
        <w:t>The documents encompassing the emergency response plans and programs established and maintained by PPL EU and PPL SC are considered confidential documents.  The primary documents establishing the PPL EU and PPL SC emergency response plans were reviewed onsite during the audit.  References to specific systems, locations, and capabilities have been generalized to respect the sensitive nature of such details.</w:t>
      </w:r>
    </w:p>
    <w:p w:rsidR="00286C71" w:rsidRDefault="00286C71" w:rsidP="00701DCF">
      <w:r w:rsidRPr="00A56CDE">
        <w:t>This chapter cov</w:t>
      </w:r>
      <w:r>
        <w:t>ers the PPL EU and PPL SC</w:t>
      </w:r>
      <w:r w:rsidRPr="00A56CDE">
        <w:t xml:space="preserve"> </w:t>
      </w:r>
      <w:r w:rsidRPr="00A56CDE">
        <w:rPr>
          <w:rFonts w:cs="Arial"/>
          <w:szCs w:val="24"/>
        </w:rPr>
        <w:t>Emergency Preparedness, Business Continuity, Physical Security</w:t>
      </w:r>
      <w:r>
        <w:rPr>
          <w:rFonts w:cs="Arial"/>
          <w:szCs w:val="24"/>
        </w:rPr>
        <w:t>,</w:t>
      </w:r>
      <w:r w:rsidRPr="00A56CDE">
        <w:rPr>
          <w:rFonts w:cs="Arial"/>
          <w:szCs w:val="24"/>
        </w:rPr>
        <w:t xml:space="preserve"> and Cyber </w:t>
      </w:r>
      <w:r>
        <w:rPr>
          <w:rFonts w:cs="Arial"/>
          <w:szCs w:val="24"/>
        </w:rPr>
        <w:t>S</w:t>
      </w:r>
      <w:r w:rsidRPr="00A56CDE">
        <w:rPr>
          <w:rFonts w:cs="Arial"/>
          <w:szCs w:val="24"/>
        </w:rPr>
        <w:t>ecurity plans, programs, policies</w:t>
      </w:r>
      <w:r>
        <w:rPr>
          <w:rFonts w:cs="Arial"/>
          <w:szCs w:val="24"/>
        </w:rPr>
        <w:t>,</w:t>
      </w:r>
      <w:r w:rsidRPr="00A56CDE">
        <w:rPr>
          <w:rFonts w:cs="Arial"/>
          <w:szCs w:val="24"/>
        </w:rPr>
        <w:t xml:space="preserve"> and procedures</w:t>
      </w:r>
      <w:r>
        <w:rPr>
          <w:rFonts w:cs="Arial"/>
          <w:szCs w:val="24"/>
        </w:rPr>
        <w:t xml:space="preserve"> under</w:t>
      </w:r>
      <w:r>
        <w:t xml:space="preserve"> separate sections, along with a section covering compliance with the Pennsylvania Code as follows:</w:t>
      </w:r>
    </w:p>
    <w:p w:rsidR="00286C71" w:rsidRDefault="00286C71" w:rsidP="00B86FA4">
      <w:pPr>
        <w:numPr>
          <w:ilvl w:val="0"/>
          <w:numId w:val="23"/>
        </w:numPr>
      </w:pPr>
      <w:r>
        <w:t>Protective Services Emergency Management</w:t>
      </w:r>
    </w:p>
    <w:p w:rsidR="00286C71" w:rsidRDefault="00286C71" w:rsidP="00B86FA4">
      <w:pPr>
        <w:numPr>
          <w:ilvl w:val="0"/>
          <w:numId w:val="23"/>
        </w:numPr>
      </w:pPr>
      <w:r w:rsidRPr="00A56CDE">
        <w:rPr>
          <w:caps/>
        </w:rPr>
        <w:t xml:space="preserve">PPL </w:t>
      </w:r>
      <w:r>
        <w:t>EU System Damage and Storm</w:t>
      </w:r>
      <w:r w:rsidRPr="007E45D5">
        <w:t xml:space="preserve"> Response</w:t>
      </w:r>
    </w:p>
    <w:p w:rsidR="00286C71" w:rsidRDefault="00286C71" w:rsidP="00B86FA4">
      <w:pPr>
        <w:numPr>
          <w:ilvl w:val="0"/>
          <w:numId w:val="23"/>
        </w:numPr>
      </w:pPr>
      <w:r>
        <w:t>Cyber Security</w:t>
      </w:r>
    </w:p>
    <w:p w:rsidR="00286C71" w:rsidRDefault="00286C71" w:rsidP="00B86FA4">
      <w:pPr>
        <w:numPr>
          <w:ilvl w:val="0"/>
          <w:numId w:val="23"/>
        </w:numPr>
      </w:pPr>
      <w:r>
        <w:t xml:space="preserve">Compliance with Requirements of </w:t>
      </w:r>
      <w:r>
        <w:rPr>
          <w:rFonts w:cs="Arial"/>
          <w:szCs w:val="24"/>
        </w:rPr>
        <w:t>the Pennsylvania Code</w:t>
      </w:r>
    </w:p>
    <w:p w:rsidR="00286C71" w:rsidRDefault="00286C71" w:rsidP="00701DCF">
      <w:pPr>
        <w:pStyle w:val="Normal-aftertable"/>
      </w:pPr>
      <w:r>
        <w:t>Each section includes relevant background information, findings, and recommendations.  Each section follows the Vondle &amp; Associates, Inc. proprietary Planning, Preparation, Prevention, Practice, and Performance (P5) Methodology for examining disaster planning and response functions.</w:t>
      </w:r>
    </w:p>
    <w:p w:rsidR="00286C71" w:rsidRDefault="00286C71" w:rsidP="00B86FA4">
      <w:pPr>
        <w:pStyle w:val="Heading2"/>
        <w:numPr>
          <w:ilvl w:val="0"/>
          <w:numId w:val="24"/>
        </w:numPr>
      </w:pPr>
      <w:bookmarkStart w:id="174" w:name="_Toc464552036"/>
      <w:r>
        <w:t>Protective services Emergency Management</w:t>
      </w:r>
      <w:bookmarkEnd w:id="174"/>
    </w:p>
    <w:p w:rsidR="00977CA4" w:rsidRDefault="00977CA4" w:rsidP="008F30B6">
      <w:pPr>
        <w:pStyle w:val="Heading-forToC"/>
      </w:pPr>
      <w:bookmarkStart w:id="175" w:name="_Toc464552037"/>
      <w:r>
        <w:t>Background</w:t>
      </w:r>
      <w:bookmarkEnd w:id="175"/>
    </w:p>
    <w:p w:rsidR="00286C71" w:rsidRDefault="00977CA4" w:rsidP="00977CA4">
      <w:pPr>
        <w:pStyle w:val="Heading40"/>
      </w:pPr>
      <w:r>
        <w:t>O</w:t>
      </w:r>
      <w:r w:rsidR="00286C71">
        <w:t xml:space="preserve">rganization </w:t>
      </w:r>
      <w:r>
        <w:t>S</w:t>
      </w:r>
      <w:r w:rsidR="00286C71">
        <w:t>tructure</w:t>
      </w:r>
    </w:p>
    <w:p w:rsidR="00286C71" w:rsidRDefault="00286C71" w:rsidP="00701DCF">
      <w:r>
        <w:t>The PPL SC Protective Services security organization is shown in the following exhibit.</w:t>
      </w:r>
    </w:p>
    <w:p w:rsidR="00286C71" w:rsidRDefault="00ED6D61" w:rsidP="00ED6D61">
      <w:pPr>
        <w:pStyle w:val="Caption"/>
      </w:pPr>
      <w:bookmarkStart w:id="176" w:name="_Toc464552996"/>
      <w:r>
        <w:lastRenderedPageBreak/>
        <w:t xml:space="preserve">Exhibit </w:t>
      </w:r>
      <w:r w:rsidR="00CB2B2A">
        <w:fldChar w:fldCharType="begin"/>
      </w:r>
      <w:r w:rsidR="00EC053E">
        <w:instrText xml:space="preserve"> STYLEREF 1 \s </w:instrText>
      </w:r>
      <w:r w:rsidR="00CB2B2A">
        <w:fldChar w:fldCharType="separate"/>
      </w:r>
      <w:r w:rsidR="00CA3BDB">
        <w:rPr>
          <w:noProof/>
        </w:rPr>
        <w:t>VII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2F6183">
        <w:br/>
      </w:r>
      <w:r w:rsidR="00286C71">
        <w:t>PPL SC HR Protective Services Organization Structure</w:t>
      </w:r>
      <w:bookmarkEnd w:id="176"/>
    </w:p>
    <w:p w:rsidR="00286C71" w:rsidRDefault="00FE7DC4" w:rsidP="00701DCF">
      <w:r>
        <w:rPr>
          <w:noProof/>
        </w:rPr>
        <w:drawing>
          <wp:inline distT="0" distB="0" distL="0" distR="0">
            <wp:extent cx="5943600" cy="2524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PL-SC_Security_page52_v3.jpg"/>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524125"/>
                    </a:xfrm>
                    <a:prstGeom prst="rect">
                      <a:avLst/>
                    </a:prstGeom>
                  </pic:spPr>
                </pic:pic>
              </a:graphicData>
            </a:graphic>
          </wp:inline>
        </w:drawing>
      </w:r>
    </w:p>
    <w:p w:rsidR="00286C71" w:rsidRDefault="00286C71" w:rsidP="00701DCF">
      <w:r>
        <w:t>Source: DN 01-072</w:t>
      </w:r>
    </w:p>
    <w:p w:rsidR="00286C71" w:rsidRDefault="00286C71" w:rsidP="00701DCF">
      <w:r>
        <w:t>Protective Services consists of a Project Manager Corporate Security and a Manager Corporate Security, both reporting to the Director Protective Services.  Two Electronic Protection Systems (EPS) Specialists, an Executive Services Agent, and a Senior Security Consultant report to the Manager Corporate Security.  Protective Services is part of the PPL SC HR organization.</w:t>
      </w:r>
    </w:p>
    <w:p w:rsidR="00286C71" w:rsidRPr="00DB7652" w:rsidRDefault="00286C71" w:rsidP="007B7458">
      <w:pPr>
        <w:pStyle w:val="Heading40"/>
      </w:pPr>
      <w:r w:rsidRPr="00DB7652">
        <w:t>Planning</w:t>
      </w:r>
    </w:p>
    <w:p w:rsidR="00286C71" w:rsidRDefault="00286C71" w:rsidP="00701DCF">
      <w:r>
        <w:t>Protective Services</w:t>
      </w:r>
      <w:r w:rsidRPr="007831D0">
        <w:t xml:space="preserve"> is responsible for emergency management planning for </w:t>
      </w:r>
      <w:r>
        <w:t xml:space="preserve">all </w:t>
      </w:r>
      <w:r w:rsidRPr="007831D0">
        <w:t xml:space="preserve">PPL Corporation entities in Pennsylvania, </w:t>
      </w:r>
      <w:r>
        <w:t>including</w:t>
      </w:r>
      <w:r w:rsidRPr="007831D0">
        <w:t xml:space="preserve"> PPL EU, PPL Services Corporation, </w:t>
      </w:r>
      <w:r w:rsidR="00763DEA">
        <w:t>PPLSolutions</w:t>
      </w:r>
      <w:r w:rsidRPr="007831D0">
        <w:t>, and PPL EU Services</w:t>
      </w:r>
      <w:r>
        <w:t xml:space="preserve">, </w:t>
      </w:r>
      <w:r>
        <w:rPr>
          <w:rFonts w:cs="Arial"/>
          <w:color w:val="000000"/>
          <w:szCs w:val="24"/>
        </w:rPr>
        <w:t>and</w:t>
      </w:r>
      <w:r>
        <w:t xml:space="preserve"> maintains the following emergency response plans:</w:t>
      </w:r>
    </w:p>
    <w:p w:rsidR="00286C71" w:rsidRDefault="00286C71" w:rsidP="00701DCF">
      <w:pPr>
        <w:pStyle w:val="Bullet"/>
        <w:rPr>
          <w:rFonts w:cs="Arial"/>
          <w:szCs w:val="24"/>
        </w:rPr>
      </w:pPr>
      <w:r>
        <w:t>Business Cont</w:t>
      </w:r>
      <w:r w:rsidRPr="00444396">
        <w:t>inuity</w:t>
      </w:r>
      <w:r>
        <w:t xml:space="preserve"> Plan</w:t>
      </w:r>
      <w:r w:rsidRPr="00444396">
        <w:t xml:space="preserve"> </w:t>
      </w:r>
    </w:p>
    <w:p w:rsidR="00286C71" w:rsidRPr="002D784B" w:rsidRDefault="00286C71" w:rsidP="00701DCF">
      <w:pPr>
        <w:pStyle w:val="Bullet"/>
      </w:pPr>
      <w:r w:rsidRPr="002D784B">
        <w:t>Corporate Emergency Management Plan</w:t>
      </w:r>
    </w:p>
    <w:p w:rsidR="00286C71" w:rsidRDefault="00286C71" w:rsidP="00701DCF">
      <w:pPr>
        <w:pStyle w:val="Bullet"/>
      </w:pPr>
      <w:r w:rsidRPr="002D784B">
        <w:t xml:space="preserve">Corporate Security Plan </w:t>
      </w:r>
    </w:p>
    <w:p w:rsidR="00286C71" w:rsidRDefault="00286C71" w:rsidP="00701DCF">
      <w:pPr>
        <w:pStyle w:val="Normal-aftertable"/>
      </w:pPr>
      <w:r w:rsidRPr="00DB7652">
        <w:t>The current version</w:t>
      </w:r>
      <w:r>
        <w:t>s</w:t>
      </w:r>
      <w:r w:rsidRPr="00DB7652">
        <w:t xml:space="preserve"> of </w:t>
      </w:r>
      <w:r>
        <w:t xml:space="preserve">the </w:t>
      </w:r>
      <w:r w:rsidRPr="00DB7652">
        <w:t xml:space="preserve">corporate plans, based on </w:t>
      </w:r>
      <w:r>
        <w:t>Incident Command System (</w:t>
      </w:r>
      <w:r w:rsidRPr="00DB7652">
        <w:t>ICS</w:t>
      </w:r>
      <w:r>
        <w:t>)</w:t>
      </w:r>
      <w:r w:rsidRPr="00DB7652">
        <w:t xml:space="preserve"> principles, were developed in 2012 </w:t>
      </w:r>
      <w:r>
        <w:t>and</w:t>
      </w:r>
      <w:r w:rsidRPr="00DB7652">
        <w:t xml:space="preserve"> 2013 using an all-hazards approach.  </w:t>
      </w:r>
      <w:r>
        <w:t>An all-hazards approach is based on the completion of a risk assessment to identify the most likely risks to impact the organization and its operations.  Response planning resources can then be focused on means to recover business processes, delivery systems, resources, and other critical infrastructure identified as vulnerable in the risk assessments.  These recovery plans can then be deployed in response to a wide range of disruptive events.</w:t>
      </w:r>
    </w:p>
    <w:p w:rsidR="00286C71" w:rsidRPr="00DB7652" w:rsidRDefault="00286C71" w:rsidP="00701DCF">
      <w:r w:rsidRPr="00DB7652">
        <w:t xml:space="preserve">The formerly hard copy </w:t>
      </w:r>
      <w:r>
        <w:t xml:space="preserve">corporate </w:t>
      </w:r>
      <w:r w:rsidRPr="00DB7652">
        <w:t>plans were repla</w:t>
      </w:r>
      <w:r>
        <w:t>ced with plans within the cloud-</w:t>
      </w:r>
      <w:r w:rsidRPr="00DB7652">
        <w:t xml:space="preserve">based </w:t>
      </w:r>
      <w:r>
        <w:t>corporate</w:t>
      </w:r>
      <w:r w:rsidRPr="00DB7652">
        <w:t xml:space="preserve"> </w:t>
      </w:r>
      <w:r>
        <w:rPr>
          <w:rFonts w:cs="Arial"/>
          <w:szCs w:val="24"/>
        </w:rPr>
        <w:t>business continuity management system for better plan development and maintenance</w:t>
      </w:r>
      <w:r w:rsidRPr="00DB7652">
        <w:t xml:space="preserve"> which improves flexibility in managing revisions and plan changes</w:t>
      </w:r>
      <w:r>
        <w:t xml:space="preserve">. </w:t>
      </w:r>
      <w:r w:rsidRPr="00F31394">
        <w:rPr>
          <w:rFonts w:cs="Arial"/>
          <w:szCs w:val="24"/>
        </w:rPr>
        <w:t xml:space="preserve"> Policies, procedures, and checklists supporting the corporate Business Continuity Plan </w:t>
      </w:r>
      <w:r w:rsidRPr="00F31394">
        <w:rPr>
          <w:rFonts w:cs="Arial"/>
          <w:szCs w:val="24"/>
        </w:rPr>
        <w:lastRenderedPageBreak/>
        <w:t xml:space="preserve">and the Emergency Management Plan are also maintained </w:t>
      </w:r>
      <w:r>
        <w:rPr>
          <w:rFonts w:cs="Arial"/>
          <w:szCs w:val="24"/>
        </w:rPr>
        <w:t>with</w:t>
      </w:r>
      <w:r w:rsidRPr="00F31394">
        <w:rPr>
          <w:rFonts w:cs="Arial"/>
          <w:szCs w:val="24"/>
        </w:rPr>
        <w:t>in a limited access intranet SharePoint site.</w:t>
      </w:r>
    </w:p>
    <w:p w:rsidR="00286C71" w:rsidRDefault="00286C71" w:rsidP="00701DCF">
      <w:pPr>
        <w:rPr>
          <w:rFonts w:cs="Arial"/>
          <w:szCs w:val="24"/>
        </w:rPr>
      </w:pPr>
      <w:r>
        <w:rPr>
          <w:rFonts w:cs="Arial"/>
          <w:szCs w:val="24"/>
        </w:rPr>
        <w:t xml:space="preserve">The additional migration of IAG and PPL EU EP emergency plans, procedures, and policies into a </w:t>
      </w:r>
      <w:r>
        <w:t>corporate</w:t>
      </w:r>
      <w:r w:rsidRPr="00DB7652">
        <w:t xml:space="preserve"> </w:t>
      </w:r>
      <w:r>
        <w:rPr>
          <w:rFonts w:cs="Arial"/>
          <w:szCs w:val="24"/>
        </w:rPr>
        <w:t xml:space="preserve">business continuity management system is underway and is expected to be complete by mid-2016, although certain confidential cyber security documents will not be migrated to this system.  All of these documents are in the system in draft form and are in the process </w:t>
      </w:r>
      <w:r w:rsidRPr="00F31394">
        <w:rPr>
          <w:rFonts w:cs="Arial"/>
          <w:szCs w:val="24"/>
        </w:rPr>
        <w:t>of being structured and validated</w:t>
      </w:r>
      <w:r>
        <w:rPr>
          <w:rFonts w:cs="Arial"/>
          <w:szCs w:val="24"/>
        </w:rPr>
        <w:t xml:space="preserve"> to fit the capabilities of the </w:t>
      </w:r>
      <w:r>
        <w:t>corporate</w:t>
      </w:r>
      <w:r w:rsidRPr="00DB7652">
        <w:t xml:space="preserve"> </w:t>
      </w:r>
      <w:r>
        <w:rPr>
          <w:rFonts w:cs="Arial"/>
          <w:szCs w:val="24"/>
        </w:rPr>
        <w:t>business continuity management system</w:t>
      </w:r>
      <w:r w:rsidRPr="00F31394">
        <w:rPr>
          <w:rFonts w:cs="Arial"/>
          <w:szCs w:val="24"/>
        </w:rPr>
        <w:t>.</w:t>
      </w:r>
    </w:p>
    <w:p w:rsidR="00286C71" w:rsidRPr="00BE701A" w:rsidRDefault="00286C71" w:rsidP="00701DCF">
      <w:pPr>
        <w:rPr>
          <w:szCs w:val="24"/>
        </w:rPr>
      </w:pPr>
      <w:proofErr w:type="gramStart"/>
      <w:r w:rsidRPr="007B7458">
        <w:rPr>
          <w:b/>
        </w:rPr>
        <w:t>Business Continuity Plan</w:t>
      </w:r>
      <w:r w:rsidR="007B7458" w:rsidRPr="007B7458">
        <w:rPr>
          <w:b/>
        </w:rPr>
        <w:t>.</w:t>
      </w:r>
      <w:proofErr w:type="gramEnd"/>
      <w:r w:rsidR="007B7458">
        <w:t xml:space="preserve">  </w:t>
      </w:r>
      <w:r w:rsidRPr="00BE701A">
        <w:rPr>
          <w:szCs w:val="24"/>
        </w:rPr>
        <w:t xml:space="preserve">The Corporate Business Continuity Plan (BCP) establishes the governance framework for the corporate security plans, including the expectation of annual reviews and testing of the plans.  All PPL </w:t>
      </w:r>
      <w:r>
        <w:rPr>
          <w:szCs w:val="24"/>
        </w:rPr>
        <w:t xml:space="preserve">Corporation </w:t>
      </w:r>
      <w:r w:rsidRPr="00BE701A">
        <w:rPr>
          <w:szCs w:val="24"/>
        </w:rPr>
        <w:t xml:space="preserve">business lines and support service groups are required to develop </w:t>
      </w:r>
      <w:r>
        <w:rPr>
          <w:szCs w:val="24"/>
        </w:rPr>
        <w:t>supporting plans</w:t>
      </w:r>
      <w:r w:rsidRPr="00BE701A">
        <w:rPr>
          <w:szCs w:val="24"/>
        </w:rPr>
        <w:t xml:space="preserve"> for emergency preparedness and business continuity</w:t>
      </w:r>
      <w:r>
        <w:rPr>
          <w:szCs w:val="24"/>
        </w:rPr>
        <w:t xml:space="preserve"> in their respective areas</w:t>
      </w:r>
      <w:r w:rsidRPr="00BE701A">
        <w:rPr>
          <w:szCs w:val="24"/>
        </w:rPr>
        <w:t>.</w:t>
      </w:r>
    </w:p>
    <w:p w:rsidR="00286C71" w:rsidRDefault="00286C71" w:rsidP="00701DCF">
      <w:pPr>
        <w:rPr>
          <w:rFonts w:cs="Arial"/>
          <w:color w:val="000000"/>
          <w:shd w:val="clear" w:color="auto" w:fill="FFFFFF"/>
        </w:rPr>
      </w:pPr>
      <w:r w:rsidRPr="00DB7652">
        <w:rPr>
          <w:rFonts w:cs="Arial"/>
          <w:szCs w:val="24"/>
        </w:rPr>
        <w:t xml:space="preserve">A hazard vulnerability analysis was performed to identify potential hazards with the largest impact on PPL </w:t>
      </w:r>
      <w:r>
        <w:rPr>
          <w:rFonts w:cs="Arial"/>
          <w:szCs w:val="24"/>
        </w:rPr>
        <w:t xml:space="preserve">Corporation </w:t>
      </w:r>
      <w:r w:rsidRPr="00DB7652">
        <w:rPr>
          <w:rFonts w:cs="Arial"/>
          <w:szCs w:val="24"/>
        </w:rPr>
        <w:t>operations</w:t>
      </w:r>
      <w:r>
        <w:rPr>
          <w:rFonts w:cs="Arial"/>
          <w:szCs w:val="24"/>
        </w:rPr>
        <w:t xml:space="preserve"> in Pennsylvania and is documented in a Corporate Hazard Vulnerability Assessment. </w:t>
      </w:r>
      <w:r w:rsidRPr="004622C6">
        <w:rPr>
          <w:rFonts w:cs="Arial"/>
          <w:color w:val="000000"/>
          <w:szCs w:val="24"/>
        </w:rPr>
        <w:t xml:space="preserve"> </w:t>
      </w:r>
      <w:r>
        <w:rPr>
          <w:rFonts w:cs="Arial"/>
          <w:color w:val="000000"/>
          <w:szCs w:val="24"/>
        </w:rPr>
        <w:t>The hazard spectrum reviewed also included t</w:t>
      </w:r>
      <w:r w:rsidRPr="004622C6">
        <w:rPr>
          <w:rFonts w:cs="Arial"/>
          <w:color w:val="000000"/>
          <w:szCs w:val="24"/>
        </w:rPr>
        <w:t xml:space="preserve">he </w:t>
      </w:r>
      <w:r>
        <w:rPr>
          <w:rFonts w:cs="Arial"/>
          <w:color w:val="000000"/>
          <w:szCs w:val="24"/>
        </w:rPr>
        <w:t xml:space="preserve">top </w:t>
      </w:r>
      <w:r w:rsidRPr="00DB7652">
        <w:rPr>
          <w:rFonts w:cs="Arial"/>
          <w:szCs w:val="24"/>
        </w:rPr>
        <w:t>eleven</w:t>
      </w:r>
      <w:r w:rsidRPr="004622C6">
        <w:rPr>
          <w:rFonts w:cs="Arial"/>
          <w:color w:val="000000"/>
          <w:szCs w:val="24"/>
        </w:rPr>
        <w:t xml:space="preserve"> hazard</w:t>
      </w:r>
      <w:r>
        <w:rPr>
          <w:rFonts w:cs="Arial"/>
          <w:color w:val="000000"/>
          <w:szCs w:val="24"/>
        </w:rPr>
        <w:t xml:space="preserve">s identified by the </w:t>
      </w:r>
      <w:r w:rsidRPr="004622C6">
        <w:rPr>
          <w:rFonts w:cs="Arial"/>
          <w:color w:val="000000"/>
          <w:szCs w:val="24"/>
        </w:rPr>
        <w:t>Pennsylvania Emergency Management Agency (PEMA</w:t>
      </w:r>
      <w:r>
        <w:rPr>
          <w:rFonts w:cs="Arial"/>
          <w:color w:val="000000"/>
          <w:szCs w:val="24"/>
        </w:rPr>
        <w:t>) for the Commonwealth</w:t>
      </w:r>
      <w:r w:rsidRPr="004622C6">
        <w:rPr>
          <w:rFonts w:cs="Arial"/>
          <w:color w:val="000000"/>
          <w:szCs w:val="24"/>
        </w:rPr>
        <w:t xml:space="preserve">.  </w:t>
      </w:r>
      <w:r>
        <w:rPr>
          <w:rFonts w:cs="Arial"/>
          <w:color w:val="000000"/>
          <w:szCs w:val="24"/>
        </w:rPr>
        <w:t>The</w:t>
      </w:r>
      <w:r w:rsidRPr="004622C6">
        <w:rPr>
          <w:rFonts w:cs="Arial"/>
          <w:color w:val="000000"/>
          <w:szCs w:val="24"/>
        </w:rPr>
        <w:t xml:space="preserve"> </w:t>
      </w:r>
      <w:r w:rsidRPr="004622C6">
        <w:rPr>
          <w:rFonts w:cs="Arial"/>
          <w:color w:val="000000"/>
          <w:shd w:val="clear" w:color="auto" w:fill="FFFFFF"/>
        </w:rPr>
        <w:t xml:space="preserve">hazards posing the greatest dangers that have occurred most frequently </w:t>
      </w:r>
      <w:r>
        <w:rPr>
          <w:rFonts w:cs="Arial"/>
          <w:color w:val="000000"/>
          <w:shd w:val="clear" w:color="auto" w:fill="FFFFFF"/>
        </w:rPr>
        <w:t>are:</w:t>
      </w:r>
      <w:r w:rsidRPr="004622C6">
        <w:rPr>
          <w:rFonts w:cs="Arial"/>
          <w:color w:val="000000"/>
          <w:shd w:val="clear" w:color="auto" w:fill="FFFFFF"/>
        </w:rPr>
        <w:t xml:space="preserve"> transportation accidents, floods, fires, winter storms, tropical storms, tornadoes and windstorms, hazardous material accidents, geological incidents, nuclear facility accidents, dam failures, terrorism</w:t>
      </w:r>
      <w:r>
        <w:rPr>
          <w:rFonts w:cs="Arial"/>
          <w:color w:val="000000"/>
          <w:shd w:val="clear" w:color="auto" w:fill="FFFFFF"/>
        </w:rPr>
        <w:t>,</w:t>
      </w:r>
      <w:r w:rsidRPr="004622C6">
        <w:rPr>
          <w:rFonts w:cs="Arial"/>
          <w:color w:val="000000"/>
          <w:shd w:val="clear" w:color="auto" w:fill="FFFFFF"/>
        </w:rPr>
        <w:t xml:space="preserve"> and riots</w:t>
      </w:r>
      <w:r>
        <w:rPr>
          <w:rFonts w:cs="Arial"/>
          <w:color w:val="000000"/>
          <w:shd w:val="clear" w:color="auto" w:fill="FFFFFF"/>
        </w:rPr>
        <w:t xml:space="preserve">. </w:t>
      </w:r>
      <w:r w:rsidRPr="008D2A25">
        <w:rPr>
          <w:rFonts w:cs="Arial"/>
          <w:szCs w:val="24"/>
        </w:rPr>
        <w:t xml:space="preserve"> </w:t>
      </w:r>
      <w:r>
        <w:rPr>
          <w:rFonts w:cs="Arial"/>
          <w:szCs w:val="24"/>
        </w:rPr>
        <w:t>In addition, t</w:t>
      </w:r>
      <w:r w:rsidRPr="00DB7652">
        <w:rPr>
          <w:rFonts w:cs="Arial"/>
          <w:szCs w:val="24"/>
        </w:rPr>
        <w:t>he content</w:t>
      </w:r>
      <w:r>
        <w:rPr>
          <w:rFonts w:cs="Arial"/>
          <w:szCs w:val="24"/>
        </w:rPr>
        <w:t>s</w:t>
      </w:r>
      <w:r w:rsidRPr="00DB7652">
        <w:rPr>
          <w:rFonts w:cs="Arial"/>
          <w:szCs w:val="24"/>
        </w:rPr>
        <w:t xml:space="preserve"> of </w:t>
      </w:r>
      <w:r>
        <w:rPr>
          <w:rFonts w:cs="Arial"/>
          <w:szCs w:val="24"/>
        </w:rPr>
        <w:t xml:space="preserve">several </w:t>
      </w:r>
      <w:r w:rsidRPr="00DB7652">
        <w:rPr>
          <w:rFonts w:cs="Arial"/>
          <w:szCs w:val="24"/>
        </w:rPr>
        <w:t xml:space="preserve">county emergency plans </w:t>
      </w:r>
      <w:r>
        <w:rPr>
          <w:rFonts w:cs="Arial"/>
          <w:szCs w:val="24"/>
        </w:rPr>
        <w:t xml:space="preserve">were </w:t>
      </w:r>
      <w:r w:rsidRPr="00DB7652">
        <w:rPr>
          <w:rFonts w:cs="Arial"/>
          <w:szCs w:val="24"/>
        </w:rPr>
        <w:t xml:space="preserve">reviewed for hazards.  This analysis is reviewed and updated annually and serves as the foundation for </w:t>
      </w:r>
      <w:r>
        <w:rPr>
          <w:rFonts w:cs="Arial"/>
          <w:szCs w:val="24"/>
        </w:rPr>
        <w:t xml:space="preserve">updating corporate and functional </w:t>
      </w:r>
      <w:r w:rsidRPr="00DB7652">
        <w:rPr>
          <w:rFonts w:cs="Arial"/>
          <w:szCs w:val="24"/>
        </w:rPr>
        <w:t>response plans.</w:t>
      </w:r>
    </w:p>
    <w:p w:rsidR="00286C71" w:rsidRDefault="00286C71" w:rsidP="00701DCF">
      <w:pPr>
        <w:rPr>
          <w:rFonts w:cs="Arial"/>
          <w:szCs w:val="24"/>
        </w:rPr>
      </w:pPr>
      <w:r w:rsidRPr="004622C6">
        <w:rPr>
          <w:rFonts w:cs="Arial"/>
          <w:color w:val="000000"/>
          <w:szCs w:val="24"/>
        </w:rPr>
        <w:t>Business continuity is embedded in all PPL</w:t>
      </w:r>
      <w:r>
        <w:rPr>
          <w:rFonts w:cs="Arial"/>
          <w:color w:val="000000"/>
          <w:szCs w:val="24"/>
        </w:rPr>
        <w:t xml:space="preserve"> Corporation entity</w:t>
      </w:r>
      <w:r w:rsidRPr="004622C6">
        <w:rPr>
          <w:rFonts w:cs="Arial"/>
          <w:color w:val="000000"/>
          <w:szCs w:val="24"/>
        </w:rPr>
        <w:t xml:space="preserve"> response plans.</w:t>
      </w:r>
      <w:r>
        <w:rPr>
          <w:rFonts w:cs="Arial"/>
          <w:szCs w:val="24"/>
        </w:rPr>
        <w:t xml:space="preserve">  The National Fire Protection Association (NFPA) 1600 </w:t>
      </w:r>
      <w:r>
        <w:t>Standard on Disaster/Emergency Management and Business Continuity Programs,</w:t>
      </w:r>
      <w:r w:rsidRPr="005173DC">
        <w:rPr>
          <w:rFonts w:cs="Arial"/>
          <w:szCs w:val="24"/>
        </w:rPr>
        <w:t xml:space="preserve"> </w:t>
      </w:r>
      <w:r>
        <w:rPr>
          <w:rFonts w:cs="Arial"/>
          <w:szCs w:val="24"/>
        </w:rPr>
        <w:t>as well as information from the Business Continuity Institute,</w:t>
      </w:r>
      <w:r>
        <w:t xml:space="preserve"> was</w:t>
      </w:r>
      <w:r>
        <w:rPr>
          <w:rFonts w:cs="Arial"/>
          <w:szCs w:val="24"/>
        </w:rPr>
        <w:t xml:space="preserve"> used to guide business continuity planning.  PPL SC </w:t>
      </w:r>
      <w:r w:rsidRPr="00DB7652">
        <w:rPr>
          <w:rFonts w:cs="Arial"/>
          <w:szCs w:val="24"/>
        </w:rPr>
        <w:t>P</w:t>
      </w:r>
      <w:r>
        <w:rPr>
          <w:rFonts w:cs="Arial"/>
          <w:szCs w:val="24"/>
        </w:rPr>
        <w:t>rotective Services</w:t>
      </w:r>
      <w:r w:rsidRPr="00DB7652">
        <w:rPr>
          <w:rFonts w:cs="Arial"/>
          <w:szCs w:val="24"/>
        </w:rPr>
        <w:t xml:space="preserve"> is seeking </w:t>
      </w:r>
      <w:r>
        <w:rPr>
          <w:rFonts w:cs="Arial"/>
          <w:szCs w:val="24"/>
        </w:rPr>
        <w:t xml:space="preserve">Department of Homeland Security </w:t>
      </w:r>
      <w:r w:rsidRPr="00DB7652">
        <w:rPr>
          <w:rFonts w:cs="Arial"/>
          <w:szCs w:val="24"/>
        </w:rPr>
        <w:t>PS-PREP</w:t>
      </w:r>
      <w:r w:rsidRPr="00BB1F05">
        <w:rPr>
          <w:rFonts w:cs="Arial"/>
          <w:szCs w:val="24"/>
          <w:vertAlign w:val="superscript"/>
        </w:rPr>
        <w:t>TM</w:t>
      </w:r>
      <w:r w:rsidRPr="00DB7652">
        <w:rPr>
          <w:rFonts w:cs="Arial"/>
          <w:szCs w:val="24"/>
        </w:rPr>
        <w:t xml:space="preserve"> </w:t>
      </w:r>
      <w:r>
        <w:rPr>
          <w:rFonts w:cs="Arial"/>
          <w:szCs w:val="24"/>
        </w:rPr>
        <w:t xml:space="preserve">Program </w:t>
      </w:r>
      <w:r w:rsidRPr="00DB7652">
        <w:rPr>
          <w:rFonts w:cs="Arial"/>
          <w:szCs w:val="24"/>
        </w:rPr>
        <w:t xml:space="preserve">voluntary certification for its Business Continuity Plan </w:t>
      </w:r>
      <w:r>
        <w:rPr>
          <w:rFonts w:cs="Arial"/>
          <w:szCs w:val="24"/>
        </w:rPr>
        <w:t xml:space="preserve">compliance </w:t>
      </w:r>
      <w:r w:rsidRPr="00DB7652">
        <w:rPr>
          <w:rFonts w:cs="Arial"/>
          <w:szCs w:val="24"/>
        </w:rPr>
        <w:t>with the NFPA 1600 standard.</w:t>
      </w:r>
    </w:p>
    <w:p w:rsidR="00286C71" w:rsidRDefault="00286C71" w:rsidP="00701DCF">
      <w:pPr>
        <w:rPr>
          <w:rFonts w:cs="Arial"/>
          <w:szCs w:val="24"/>
        </w:rPr>
      </w:pPr>
      <w:r w:rsidRPr="00DB7652">
        <w:rPr>
          <w:rFonts w:cs="Arial"/>
          <w:color w:val="000000"/>
          <w:szCs w:val="24"/>
        </w:rPr>
        <w:t>Th</w:t>
      </w:r>
      <w:r w:rsidRPr="00DB7652">
        <w:rPr>
          <w:rFonts w:cs="Arial"/>
          <w:szCs w:val="24"/>
        </w:rPr>
        <w:t xml:space="preserve">e </w:t>
      </w:r>
      <w:r>
        <w:rPr>
          <w:rFonts w:cs="Arial"/>
          <w:szCs w:val="24"/>
        </w:rPr>
        <w:t xml:space="preserve">enterprise-wide </w:t>
      </w:r>
      <w:r w:rsidRPr="00DB7652">
        <w:rPr>
          <w:rFonts w:cs="Arial"/>
          <w:szCs w:val="24"/>
        </w:rPr>
        <w:t>BCP includes strategies for response to each of the disruption types</w:t>
      </w:r>
      <w:r>
        <w:rPr>
          <w:rFonts w:cs="Arial"/>
          <w:szCs w:val="24"/>
        </w:rPr>
        <w:t xml:space="preserve"> and </w:t>
      </w:r>
      <w:r w:rsidRPr="00DB7652">
        <w:rPr>
          <w:rFonts w:cs="Arial"/>
          <w:szCs w:val="24"/>
        </w:rPr>
        <w:t xml:space="preserve">identifies </w:t>
      </w:r>
      <w:r>
        <w:rPr>
          <w:rFonts w:cs="Arial"/>
          <w:szCs w:val="24"/>
        </w:rPr>
        <w:t xml:space="preserve">the </w:t>
      </w:r>
      <w:r w:rsidRPr="00DB7652">
        <w:rPr>
          <w:rFonts w:cs="Arial"/>
          <w:szCs w:val="24"/>
        </w:rPr>
        <w:t xml:space="preserve">resources and staff </w:t>
      </w:r>
      <w:r>
        <w:rPr>
          <w:rFonts w:cs="Arial"/>
          <w:szCs w:val="24"/>
        </w:rPr>
        <w:t xml:space="preserve">needed </w:t>
      </w:r>
      <w:r w:rsidRPr="00DB7652">
        <w:rPr>
          <w:rFonts w:cs="Arial"/>
          <w:szCs w:val="24"/>
        </w:rPr>
        <w:t xml:space="preserve">to provide corporate support for each of the six </w:t>
      </w:r>
      <w:r>
        <w:rPr>
          <w:rFonts w:cs="Arial"/>
          <w:szCs w:val="24"/>
        </w:rPr>
        <w:t xml:space="preserve">PPL </w:t>
      </w:r>
      <w:r w:rsidRPr="00DB7652">
        <w:rPr>
          <w:rFonts w:cs="Arial"/>
          <w:szCs w:val="24"/>
        </w:rPr>
        <w:t>EU regions</w:t>
      </w:r>
      <w:r>
        <w:rPr>
          <w:rFonts w:cs="Arial"/>
          <w:szCs w:val="24"/>
        </w:rPr>
        <w:t>. It also</w:t>
      </w:r>
      <w:r w:rsidRPr="00DB7652">
        <w:rPr>
          <w:rFonts w:cs="Arial"/>
          <w:szCs w:val="24"/>
        </w:rPr>
        <w:t xml:space="preserve"> identifies alternate work locations and contracted business services available to the organization.  </w:t>
      </w:r>
      <w:r>
        <w:rPr>
          <w:rFonts w:cs="Arial"/>
          <w:szCs w:val="24"/>
        </w:rPr>
        <w:t xml:space="preserve">The corporate BCP plan and the functional area BCP plans are supported by procedures and checklists.  </w:t>
      </w:r>
      <w:r w:rsidRPr="00DB7652">
        <w:t xml:space="preserve">The </w:t>
      </w:r>
      <w:r>
        <w:t>plans cover</w:t>
      </w:r>
      <w:r w:rsidRPr="00DB7652">
        <w:t xml:space="preserve"> the four </w:t>
      </w:r>
      <w:r>
        <w:t>primary types of disruptions</w:t>
      </w:r>
      <w:r w:rsidRPr="00DB7652">
        <w:t xml:space="preserve"> </w:t>
      </w:r>
      <w:r>
        <w:t>–</w:t>
      </w:r>
      <w:r w:rsidRPr="00DB7652">
        <w:t xml:space="preserve"> workplace disruptions, workforce disruptions, IT disruptions, </w:t>
      </w:r>
      <w:r>
        <w:t xml:space="preserve">and </w:t>
      </w:r>
      <w:r w:rsidRPr="00DB7652">
        <w:t>supply chain disruptions</w:t>
      </w:r>
      <w:r>
        <w:t xml:space="preserve">.  </w:t>
      </w:r>
      <w:r w:rsidRPr="00DB7652">
        <w:rPr>
          <w:rFonts w:cs="Arial"/>
          <w:szCs w:val="24"/>
        </w:rPr>
        <w:t xml:space="preserve">The plans are designed to manage events at the lowest level and escalate the response as necessary.  The BCP is triggered by either the Director </w:t>
      </w:r>
      <w:r>
        <w:rPr>
          <w:rFonts w:cs="Arial"/>
          <w:szCs w:val="24"/>
        </w:rPr>
        <w:t xml:space="preserve">of </w:t>
      </w:r>
      <w:r w:rsidRPr="00DB7652">
        <w:rPr>
          <w:rFonts w:cs="Arial"/>
          <w:szCs w:val="24"/>
        </w:rPr>
        <w:t>Protective Services or the security representative on-call</w:t>
      </w:r>
      <w:r w:rsidRPr="005D640D">
        <w:rPr>
          <w:rFonts w:cs="Arial"/>
          <w:szCs w:val="24"/>
        </w:rPr>
        <w:t xml:space="preserve"> </w:t>
      </w:r>
      <w:r w:rsidRPr="00DB7652">
        <w:rPr>
          <w:rFonts w:cs="Arial"/>
          <w:szCs w:val="24"/>
        </w:rPr>
        <w:t>whenever on</w:t>
      </w:r>
      <w:r>
        <w:rPr>
          <w:rFonts w:cs="Arial"/>
          <w:szCs w:val="24"/>
        </w:rPr>
        <w:t>e</w:t>
      </w:r>
      <w:r w:rsidRPr="00DB7652">
        <w:rPr>
          <w:rFonts w:cs="Arial"/>
          <w:szCs w:val="24"/>
        </w:rPr>
        <w:t xml:space="preserve"> of the </w:t>
      </w:r>
      <w:r>
        <w:rPr>
          <w:rFonts w:cs="Arial"/>
          <w:szCs w:val="24"/>
        </w:rPr>
        <w:t>disruptions</w:t>
      </w:r>
      <w:r w:rsidRPr="00DB7652">
        <w:rPr>
          <w:rFonts w:cs="Arial"/>
          <w:szCs w:val="24"/>
        </w:rPr>
        <w:t xml:space="preserve"> occurs.</w:t>
      </w:r>
    </w:p>
    <w:p w:rsidR="00286C71" w:rsidRDefault="00286C71" w:rsidP="00701DCF">
      <w:pPr>
        <w:rPr>
          <w:rFonts w:cs="Arial"/>
          <w:szCs w:val="24"/>
        </w:rPr>
      </w:pPr>
      <w:r>
        <w:rPr>
          <w:rFonts w:cs="Arial"/>
          <w:szCs w:val="24"/>
        </w:rPr>
        <w:t>The BCP action steps are aggregated into four phases:</w:t>
      </w:r>
    </w:p>
    <w:p w:rsidR="00286C71" w:rsidRDefault="00286C71" w:rsidP="00701DCF">
      <w:pPr>
        <w:pStyle w:val="Bullet"/>
      </w:pPr>
      <w:r>
        <w:t>R</w:t>
      </w:r>
      <w:r w:rsidRPr="00DB7652">
        <w:t>esponse</w:t>
      </w:r>
      <w:r>
        <w:t xml:space="preserve"> – Initial incident identification, impact assessment, and communication</w:t>
      </w:r>
    </w:p>
    <w:p w:rsidR="00286C71" w:rsidRDefault="00286C71" w:rsidP="00701DCF">
      <w:pPr>
        <w:pStyle w:val="Bullet"/>
      </w:pPr>
      <w:r>
        <w:lastRenderedPageBreak/>
        <w:t>R</w:t>
      </w:r>
      <w:r w:rsidRPr="00DB7652">
        <w:t>ecovery</w:t>
      </w:r>
      <w:r>
        <w:t xml:space="preserve"> – Validation of the strategy, acquisition of resources, staff assignments, implement recovery procedures, commence contingency operations</w:t>
      </w:r>
    </w:p>
    <w:p w:rsidR="00286C71" w:rsidRDefault="00286C71" w:rsidP="00701DCF">
      <w:pPr>
        <w:pStyle w:val="Bullet"/>
      </w:pPr>
      <w:r>
        <w:t>R</w:t>
      </w:r>
      <w:r w:rsidRPr="00DB7652">
        <w:t>estoration</w:t>
      </w:r>
      <w:r>
        <w:t xml:space="preserve"> – Develop resumption plan and timeline for return to normal operations</w:t>
      </w:r>
    </w:p>
    <w:p w:rsidR="00286C71" w:rsidRPr="00DB7652" w:rsidRDefault="00286C71" w:rsidP="00701DCF">
      <w:pPr>
        <w:pStyle w:val="Bullet"/>
        <w:rPr>
          <w:rFonts w:cs="Arial"/>
          <w:szCs w:val="24"/>
        </w:rPr>
      </w:pPr>
      <w:r>
        <w:t>R</w:t>
      </w:r>
      <w:r w:rsidRPr="00DB7652">
        <w:t>esumption</w:t>
      </w:r>
      <w:r>
        <w:t xml:space="preserve"> – Implement restoration procedures to transition to normal operations, confirmation of return to normal operations, after-action reporting.</w:t>
      </w:r>
      <w:r w:rsidRPr="00440B39">
        <w:t xml:space="preserve"> </w:t>
      </w:r>
    </w:p>
    <w:p w:rsidR="00286C71" w:rsidRDefault="00286C71" w:rsidP="00701DCF">
      <w:pPr>
        <w:pStyle w:val="Normal-aftertable"/>
      </w:pPr>
      <w:r>
        <w:t>In addition to the Corporate BCP, more specific business continuity plans are in place for each super region, critical facility, and critical function.  These plans use the same NFPA 1600 structure as the enterprise-wide BCP.  A business impact analysis is conducted to identify the criticality and business impact on loss of the functionality for each plan.  There are approximately 27 business continuity functional/facility plans with about 15 plans specific to PPL EU operations.  The functional plans cover areas such as customer service, supply chain, facilities management, general counsel, and risk management.  The PPL EU operations plans cover areas such as each super region, general office, and system shops.</w:t>
      </w:r>
      <w:r w:rsidRPr="001E3BAA">
        <w:t xml:space="preserve"> </w:t>
      </w:r>
      <w:r>
        <w:t xml:space="preserve"> Supporting checklists are maintained for key implementation steps.</w:t>
      </w:r>
    </w:p>
    <w:p w:rsidR="00286C71" w:rsidRDefault="00286C71" w:rsidP="00701DCF">
      <w:pPr>
        <w:rPr>
          <w:rFonts w:cs="Arial"/>
          <w:szCs w:val="24"/>
        </w:rPr>
      </w:pPr>
      <w:r>
        <w:rPr>
          <w:rFonts w:cs="Arial"/>
          <w:szCs w:val="24"/>
        </w:rPr>
        <w:t xml:space="preserve">Currently, the identification of the criticality, business impact, and recovery times for critical systems is not coordinated among the corporate, IT, and PPL EU entities.  </w:t>
      </w:r>
      <w:r w:rsidRPr="00DB7652">
        <w:rPr>
          <w:rFonts w:cs="Arial"/>
          <w:szCs w:val="24"/>
        </w:rPr>
        <w:t xml:space="preserve">Priorities and recovery times are established in the </w:t>
      </w:r>
      <w:r>
        <w:rPr>
          <w:rFonts w:cs="Arial"/>
          <w:szCs w:val="24"/>
        </w:rPr>
        <w:t xml:space="preserve">corporate </w:t>
      </w:r>
      <w:r w:rsidRPr="00DB7652">
        <w:rPr>
          <w:rFonts w:cs="Arial"/>
          <w:szCs w:val="24"/>
        </w:rPr>
        <w:t>BCP</w:t>
      </w:r>
      <w:r>
        <w:rPr>
          <w:rFonts w:cs="Arial"/>
          <w:szCs w:val="24"/>
        </w:rPr>
        <w:t xml:space="preserve"> and IT BCP</w:t>
      </w:r>
      <w:r w:rsidRPr="00DB7652">
        <w:rPr>
          <w:rFonts w:cs="Arial"/>
          <w:szCs w:val="24"/>
        </w:rPr>
        <w:t xml:space="preserve"> for identified critical systems.</w:t>
      </w:r>
      <w:r>
        <w:rPr>
          <w:rFonts w:cs="Arial"/>
          <w:szCs w:val="24"/>
        </w:rPr>
        <w:t xml:space="preserve">  Protective Services is developing a process criticality matrix with all of the individual business continuity plan owners and IT to align the individual group criticality and priority assessments across PPL Corporation.</w:t>
      </w:r>
      <w:r w:rsidRPr="00F1304B">
        <w:rPr>
          <w:rFonts w:cs="Arial"/>
          <w:szCs w:val="24"/>
        </w:rPr>
        <w:t xml:space="preserve"> </w:t>
      </w:r>
      <w:r>
        <w:rPr>
          <w:rFonts w:cs="Arial"/>
          <w:szCs w:val="24"/>
        </w:rPr>
        <w:t xml:space="preserve"> </w:t>
      </w:r>
      <w:r w:rsidRPr="00DB7652">
        <w:rPr>
          <w:rFonts w:cs="Arial"/>
          <w:szCs w:val="24"/>
        </w:rPr>
        <w:t xml:space="preserve">Protective Services expects to have the priorities fully coordinated between the cyber recovery and </w:t>
      </w:r>
      <w:r>
        <w:rPr>
          <w:rFonts w:cs="Arial"/>
          <w:szCs w:val="24"/>
        </w:rPr>
        <w:t xml:space="preserve">PPL </w:t>
      </w:r>
      <w:r w:rsidRPr="00DB7652">
        <w:rPr>
          <w:rFonts w:cs="Arial"/>
          <w:szCs w:val="24"/>
        </w:rPr>
        <w:t>EU response plans in 2016.</w:t>
      </w:r>
    </w:p>
    <w:p w:rsidR="00286C71" w:rsidRDefault="00286C71" w:rsidP="00701DCF">
      <w:pPr>
        <w:rPr>
          <w:rFonts w:cs="Arial"/>
          <w:szCs w:val="24"/>
        </w:rPr>
      </w:pPr>
      <w:r w:rsidRPr="00716574">
        <w:rPr>
          <w:rFonts w:cs="Arial"/>
          <w:szCs w:val="24"/>
        </w:rPr>
        <w:t>The Corporat</w:t>
      </w:r>
      <w:r>
        <w:rPr>
          <w:rFonts w:cs="Arial"/>
          <w:szCs w:val="24"/>
        </w:rPr>
        <w:t xml:space="preserve">e Business Continuity </w:t>
      </w:r>
      <w:r w:rsidRPr="00716574">
        <w:rPr>
          <w:rFonts w:cs="Arial"/>
          <w:szCs w:val="24"/>
        </w:rPr>
        <w:t xml:space="preserve">Plan </w:t>
      </w:r>
      <w:r>
        <w:rPr>
          <w:rFonts w:cs="Arial"/>
          <w:szCs w:val="24"/>
        </w:rPr>
        <w:t xml:space="preserve">(Corporate BCP) </w:t>
      </w:r>
      <w:r w:rsidRPr="00716574">
        <w:rPr>
          <w:rFonts w:cs="Arial"/>
          <w:szCs w:val="24"/>
        </w:rPr>
        <w:t>is reviewed and revised at lea</w:t>
      </w:r>
      <w:r>
        <w:rPr>
          <w:rFonts w:cs="Arial"/>
          <w:szCs w:val="24"/>
        </w:rPr>
        <w:t>st annually.  A revision history was added in the latest revision.  Owners of the functional business continuity plans are responsible for the annual review and update of their respective plans with oversight through the Director of Corporate Protective Services.</w:t>
      </w:r>
    </w:p>
    <w:p w:rsidR="00286C71" w:rsidRDefault="00286C71" w:rsidP="00701DCF">
      <w:pPr>
        <w:rPr>
          <w:rFonts w:cs="Arial"/>
          <w:szCs w:val="24"/>
        </w:rPr>
      </w:pPr>
      <w:proofErr w:type="gramStart"/>
      <w:r w:rsidRPr="007B7458">
        <w:rPr>
          <w:b/>
        </w:rPr>
        <w:t>Corporate Emergency Management Plan</w:t>
      </w:r>
      <w:r w:rsidR="007B7458" w:rsidRPr="007B7458">
        <w:rPr>
          <w:b/>
        </w:rPr>
        <w:t>.</w:t>
      </w:r>
      <w:proofErr w:type="gramEnd"/>
      <w:r w:rsidR="007B7458">
        <w:t xml:space="preserve">  </w:t>
      </w:r>
      <w:r>
        <w:rPr>
          <w:rFonts w:cs="Arial"/>
          <w:szCs w:val="24"/>
        </w:rPr>
        <w:t>The Corporate Emergency Management Plan (EMP) covers all hazards and defines the Corporate Emergency Management Organization</w:t>
      </w:r>
      <w:r w:rsidRPr="00DB7652">
        <w:rPr>
          <w:rFonts w:cs="Arial"/>
          <w:szCs w:val="24"/>
        </w:rPr>
        <w:t xml:space="preserve"> (</w:t>
      </w:r>
      <w:r>
        <w:rPr>
          <w:rFonts w:cs="Arial"/>
          <w:szCs w:val="24"/>
        </w:rPr>
        <w:t>EMO</w:t>
      </w:r>
      <w:r w:rsidRPr="00DB7652">
        <w:rPr>
          <w:rFonts w:cs="Arial"/>
          <w:szCs w:val="24"/>
        </w:rPr>
        <w:t>)</w:t>
      </w:r>
      <w:r>
        <w:rPr>
          <w:rFonts w:cs="Arial"/>
          <w:szCs w:val="24"/>
        </w:rPr>
        <w:t>,</w:t>
      </w:r>
      <w:r w:rsidRPr="00DB7652">
        <w:rPr>
          <w:rFonts w:cs="Arial"/>
          <w:szCs w:val="24"/>
        </w:rPr>
        <w:t xml:space="preserve"> </w:t>
      </w:r>
      <w:r>
        <w:rPr>
          <w:rFonts w:cs="Arial"/>
          <w:szCs w:val="24"/>
        </w:rPr>
        <w:t xml:space="preserve">Executive Crisis Team, response structure, resource needs, and </w:t>
      </w:r>
      <w:r>
        <w:t>Incident Command System (</w:t>
      </w:r>
      <w:r>
        <w:rPr>
          <w:rFonts w:cs="Arial"/>
          <w:szCs w:val="24"/>
        </w:rPr>
        <w:t xml:space="preserve">ICS) roles for response to an event impacting corporate operations.  The corporate emergency operations center (EOC) is used to provide overall </w:t>
      </w:r>
      <w:r w:rsidRPr="00BD1F34">
        <w:rPr>
          <w:rFonts w:cs="Arial"/>
          <w:szCs w:val="24"/>
        </w:rPr>
        <w:t xml:space="preserve">response coordination and </w:t>
      </w:r>
      <w:r>
        <w:rPr>
          <w:rFonts w:cs="Arial"/>
          <w:szCs w:val="24"/>
        </w:rPr>
        <w:t>public communications support for major events.</w:t>
      </w:r>
    </w:p>
    <w:p w:rsidR="00286C71" w:rsidRPr="00EF6B78" w:rsidRDefault="00286C71" w:rsidP="00701DCF">
      <w:pPr>
        <w:rPr>
          <w:rFonts w:cs="Arial"/>
          <w:szCs w:val="24"/>
        </w:rPr>
      </w:pPr>
      <w:r w:rsidRPr="00EF6B78">
        <w:rPr>
          <w:rFonts w:cs="Arial"/>
          <w:szCs w:val="24"/>
        </w:rPr>
        <w:t xml:space="preserve">The Executive Crisis Team (ECT) </w:t>
      </w:r>
      <w:r>
        <w:rPr>
          <w:rFonts w:cs="Arial"/>
          <w:szCs w:val="24"/>
        </w:rPr>
        <w:t xml:space="preserve">is convened and chaired by </w:t>
      </w:r>
      <w:r w:rsidRPr="00EF6B78">
        <w:rPr>
          <w:rFonts w:cs="Arial"/>
          <w:szCs w:val="24"/>
        </w:rPr>
        <w:t>PPL’s Chairman, President and Chief Executive Officer, or designee</w:t>
      </w:r>
      <w:r>
        <w:rPr>
          <w:rFonts w:cs="Arial"/>
          <w:szCs w:val="24"/>
        </w:rPr>
        <w:t xml:space="preserve">.  Alternates are </w:t>
      </w:r>
      <w:r w:rsidRPr="00EF6B78">
        <w:rPr>
          <w:rFonts w:cs="Arial"/>
          <w:szCs w:val="24"/>
        </w:rPr>
        <w:t>the Executive Vice President and General Counsel</w:t>
      </w:r>
      <w:r>
        <w:rPr>
          <w:rFonts w:cs="Arial"/>
          <w:szCs w:val="24"/>
        </w:rPr>
        <w:t xml:space="preserve"> or the</w:t>
      </w:r>
      <w:r w:rsidRPr="00EF6B78">
        <w:rPr>
          <w:rFonts w:cs="Arial"/>
          <w:szCs w:val="24"/>
        </w:rPr>
        <w:t xml:space="preserve"> Chief Financial Officer</w:t>
      </w:r>
      <w:r>
        <w:rPr>
          <w:rFonts w:cs="Arial"/>
          <w:szCs w:val="24"/>
        </w:rPr>
        <w:t>.  The ECT is activated for</w:t>
      </w:r>
      <w:r w:rsidRPr="00EF6B78">
        <w:rPr>
          <w:rFonts w:cs="Arial"/>
          <w:szCs w:val="24"/>
        </w:rPr>
        <w:t xml:space="preserve"> crises that have the potential to significantly affect the public, the environment, PPL Corporation’s reputation, operations or delivery of services, </w:t>
      </w:r>
      <w:r>
        <w:rPr>
          <w:rFonts w:cs="Arial"/>
          <w:szCs w:val="24"/>
        </w:rPr>
        <w:t>o</w:t>
      </w:r>
      <w:r w:rsidRPr="00EF6B78">
        <w:rPr>
          <w:rFonts w:cs="Arial"/>
          <w:szCs w:val="24"/>
        </w:rPr>
        <w:t>r financial stability</w:t>
      </w:r>
      <w:r>
        <w:rPr>
          <w:rFonts w:cs="Arial"/>
          <w:szCs w:val="24"/>
        </w:rPr>
        <w:t xml:space="preserve">.  </w:t>
      </w:r>
      <w:r w:rsidRPr="00EF6B78">
        <w:rPr>
          <w:rFonts w:cs="Arial"/>
          <w:szCs w:val="24"/>
        </w:rPr>
        <w:t>Following the activation checklist, the team chair would decide if the team needed to meet, where, and the frequency. Based on</w:t>
      </w:r>
      <w:r>
        <w:rPr>
          <w:rFonts w:cs="Arial"/>
          <w:szCs w:val="24"/>
        </w:rPr>
        <w:t xml:space="preserve"> the event, they could relocate </w:t>
      </w:r>
      <w:r w:rsidRPr="00EF6B78">
        <w:rPr>
          <w:rFonts w:cs="Arial"/>
          <w:szCs w:val="24"/>
        </w:rPr>
        <w:t xml:space="preserve">to </w:t>
      </w:r>
      <w:r>
        <w:rPr>
          <w:rFonts w:cs="Arial"/>
          <w:szCs w:val="24"/>
        </w:rPr>
        <w:t xml:space="preserve">the ECC or </w:t>
      </w:r>
      <w:r w:rsidRPr="00EF6B78">
        <w:rPr>
          <w:rFonts w:cs="Arial"/>
          <w:szCs w:val="24"/>
        </w:rPr>
        <w:t>a</w:t>
      </w:r>
      <w:r>
        <w:rPr>
          <w:rFonts w:cs="Arial"/>
          <w:szCs w:val="24"/>
        </w:rPr>
        <w:t>nother</w:t>
      </w:r>
      <w:r w:rsidRPr="00EF6B78">
        <w:rPr>
          <w:rFonts w:cs="Arial"/>
          <w:szCs w:val="24"/>
        </w:rPr>
        <w:t xml:space="preserve"> location that would </w:t>
      </w:r>
      <w:r>
        <w:rPr>
          <w:rFonts w:cs="Arial"/>
          <w:szCs w:val="24"/>
        </w:rPr>
        <w:t xml:space="preserve">facilitate </w:t>
      </w:r>
      <w:r w:rsidRPr="00EF6B78">
        <w:rPr>
          <w:rFonts w:cs="Arial"/>
          <w:szCs w:val="24"/>
        </w:rPr>
        <w:t xml:space="preserve">best support </w:t>
      </w:r>
      <w:r>
        <w:rPr>
          <w:rFonts w:cs="Arial"/>
          <w:szCs w:val="24"/>
        </w:rPr>
        <w:t>from the ECT for event.</w:t>
      </w:r>
    </w:p>
    <w:p w:rsidR="00286C71" w:rsidRDefault="00286C71" w:rsidP="00701DCF">
      <w:pPr>
        <w:rPr>
          <w:rFonts w:cs="Arial"/>
          <w:szCs w:val="24"/>
        </w:rPr>
      </w:pPr>
      <w:r w:rsidRPr="00007717">
        <w:rPr>
          <w:rFonts w:cs="Arial"/>
          <w:szCs w:val="24"/>
        </w:rPr>
        <w:lastRenderedPageBreak/>
        <w:t xml:space="preserve">The </w:t>
      </w:r>
      <w:r>
        <w:rPr>
          <w:rFonts w:cs="Arial"/>
          <w:szCs w:val="24"/>
        </w:rPr>
        <w:t>EMO</w:t>
      </w:r>
      <w:r w:rsidRPr="00007717">
        <w:rPr>
          <w:rFonts w:cs="Arial"/>
          <w:szCs w:val="24"/>
        </w:rPr>
        <w:t xml:space="preserve"> is comprised of the </w:t>
      </w:r>
      <w:r w:rsidRPr="00007717">
        <w:rPr>
          <w:rFonts w:cs="Arial"/>
          <w:bCs/>
          <w:szCs w:val="24"/>
        </w:rPr>
        <w:t>Chairman, President and CEO</w:t>
      </w:r>
      <w:r w:rsidRPr="00007717">
        <w:rPr>
          <w:rFonts w:cs="Arial"/>
          <w:szCs w:val="24"/>
        </w:rPr>
        <w:t xml:space="preserve">; VP Communications; Director Protective Services; Chief Financial Officer; General Counsel; </w:t>
      </w:r>
      <w:r>
        <w:rPr>
          <w:rFonts w:cs="Arial"/>
          <w:szCs w:val="24"/>
        </w:rPr>
        <w:t>Chief Human Resources Officer; Director Corporate Communications; and President PPL EU, as needed based on the nature of the event.</w:t>
      </w:r>
    </w:p>
    <w:p w:rsidR="00286C71" w:rsidRDefault="00286C71" w:rsidP="00701DCF">
      <w:pPr>
        <w:rPr>
          <w:rFonts w:cs="Arial"/>
          <w:szCs w:val="24"/>
        </w:rPr>
      </w:pPr>
      <w:r>
        <w:rPr>
          <w:rFonts w:cs="Arial"/>
          <w:szCs w:val="24"/>
        </w:rPr>
        <w:t>The plan defines four levels for classifying the response to emergency events:</w:t>
      </w:r>
    </w:p>
    <w:p w:rsidR="00286C71" w:rsidRDefault="00286C71" w:rsidP="00701DCF">
      <w:pPr>
        <w:pStyle w:val="Bullet"/>
      </w:pPr>
      <w:r>
        <w:t>Corporate Watch Level – Monitoring of a credible threat and notification of leadership</w:t>
      </w:r>
    </w:p>
    <w:p w:rsidR="00286C71" w:rsidRDefault="00286C71" w:rsidP="00701DCF">
      <w:pPr>
        <w:pStyle w:val="Bullet"/>
      </w:pPr>
      <w:r>
        <w:t>Corporate Level 1 – Emergency affecting a single department, facility, or function that can be quickly resolved with internal resources or limited help with an expected duration of hours</w:t>
      </w:r>
    </w:p>
    <w:p w:rsidR="00286C71" w:rsidRDefault="00286C71" w:rsidP="00701DCF">
      <w:pPr>
        <w:pStyle w:val="Bullet"/>
      </w:pPr>
      <w:r>
        <w:t>Corporate Level 2 – Emergency affecting one or more departments, facilities, or functions with an expected duration of days</w:t>
      </w:r>
    </w:p>
    <w:p w:rsidR="00286C71" w:rsidRDefault="00286C71" w:rsidP="00701DCF">
      <w:pPr>
        <w:pStyle w:val="Bullet"/>
      </w:pPr>
      <w:r>
        <w:t>Corporate Level 3 – A region or area-wide event causing long-term disruption to PPL Corporation business operations</w:t>
      </w:r>
    </w:p>
    <w:p w:rsidR="00286C71" w:rsidRPr="00DB7652" w:rsidRDefault="00286C71" w:rsidP="00701DCF">
      <w:pPr>
        <w:pStyle w:val="Normal-aftertable"/>
      </w:pPr>
      <w:r>
        <w:t xml:space="preserve">The EMP addresses plan activation, emergency command and operations centers, incident management team roles, crisis communications, and general recovery strategies.  Nineteen </w:t>
      </w:r>
      <w:r w:rsidRPr="00DB7652">
        <w:t xml:space="preserve">response protocols </w:t>
      </w:r>
      <w:r>
        <w:t>are included for</w:t>
      </w:r>
      <w:r w:rsidRPr="00DB7652">
        <w:t xml:space="preserve"> specific events, many of which are supplemented with additional procedures and instructions.  </w:t>
      </w:r>
      <w:r>
        <w:t xml:space="preserve">These protocols are based on the threats identified in the hazard vulnerability analysis and risk assessment, and </w:t>
      </w:r>
      <w:r>
        <w:rPr>
          <w:rFonts w:cs="Arial"/>
          <w:szCs w:val="24"/>
        </w:rPr>
        <w:t>the plan is implemented under the unified ICS.  Checklists have been developed for each Crisis Manageme</w:t>
      </w:r>
      <w:r w:rsidRPr="00845A68">
        <w:rPr>
          <w:rFonts w:cs="Arial"/>
          <w:szCs w:val="24"/>
        </w:rPr>
        <w:t xml:space="preserve">nt </w:t>
      </w:r>
      <w:r>
        <w:rPr>
          <w:rFonts w:cs="Arial"/>
          <w:szCs w:val="24"/>
        </w:rPr>
        <w:t>T</w:t>
      </w:r>
      <w:r w:rsidRPr="00845A68">
        <w:rPr>
          <w:rFonts w:cs="Arial"/>
          <w:szCs w:val="24"/>
        </w:rPr>
        <w:t>eam response role such as incident commander, public information officer, safety officer, logistics leader, and operations leader.</w:t>
      </w:r>
      <w:r>
        <w:rPr>
          <w:rFonts w:cs="Arial"/>
          <w:szCs w:val="24"/>
        </w:rPr>
        <w:t xml:space="preserve">  </w:t>
      </w:r>
      <w:r>
        <w:t>The checklists line up with the National Incident Management System/Incident Command System and would be identified by the Crisis Management Team member appointed to that role (i.e.: the CEO would most likely be the Incident Commander).</w:t>
      </w:r>
    </w:p>
    <w:p w:rsidR="00286C71" w:rsidRPr="00DB7652" w:rsidRDefault="00286C71" w:rsidP="00701DCF">
      <w:pPr>
        <w:rPr>
          <w:rFonts w:cs="Arial"/>
          <w:szCs w:val="24"/>
        </w:rPr>
      </w:pPr>
      <w:r w:rsidRPr="00DB7652">
        <w:rPr>
          <w:rFonts w:cs="Arial"/>
          <w:szCs w:val="24"/>
        </w:rPr>
        <w:t>Protective Services is responsible for emergency evacuation plans for corporate facilities</w:t>
      </w:r>
      <w:r>
        <w:rPr>
          <w:rFonts w:cs="Arial"/>
          <w:szCs w:val="24"/>
        </w:rPr>
        <w:t xml:space="preserve"> while</w:t>
      </w:r>
      <w:r w:rsidRPr="00DB7652">
        <w:rPr>
          <w:rFonts w:cs="Arial"/>
          <w:szCs w:val="24"/>
        </w:rPr>
        <w:t xml:space="preserve"> </w:t>
      </w:r>
      <w:r>
        <w:rPr>
          <w:rFonts w:cs="Arial"/>
          <w:szCs w:val="24"/>
        </w:rPr>
        <w:t xml:space="preserve">PPL </w:t>
      </w:r>
      <w:r w:rsidRPr="00DB7652">
        <w:rPr>
          <w:rFonts w:cs="Arial"/>
          <w:szCs w:val="24"/>
        </w:rPr>
        <w:t xml:space="preserve">EU Safety is responsible for emergency evacuation plans for </w:t>
      </w:r>
      <w:r>
        <w:rPr>
          <w:rFonts w:cs="Arial"/>
          <w:szCs w:val="24"/>
        </w:rPr>
        <w:t xml:space="preserve">PPL </w:t>
      </w:r>
      <w:r w:rsidRPr="00DB7652">
        <w:rPr>
          <w:rFonts w:cs="Arial"/>
          <w:szCs w:val="24"/>
        </w:rPr>
        <w:t>EU facilities.</w:t>
      </w:r>
    </w:p>
    <w:p w:rsidR="00286C71" w:rsidRDefault="00286C71" w:rsidP="00701DCF">
      <w:pPr>
        <w:rPr>
          <w:rFonts w:cs="Arial"/>
          <w:szCs w:val="24"/>
        </w:rPr>
      </w:pPr>
      <w:r>
        <w:t xml:space="preserve">The Corporate Emergency Management Plan provides a template for the development of evacuation procedures at each PPL facility.  Management of the facility occupants generally are responsible for developing, staffing, and maintaining </w:t>
      </w:r>
      <w:r w:rsidRPr="008B447A">
        <w:t xml:space="preserve">an Emergency Plan </w:t>
      </w:r>
      <w:r>
        <w:t xml:space="preserve">for the location.  </w:t>
      </w:r>
      <w:r w:rsidRPr="008B447A">
        <w:t xml:space="preserve">Each location has emergency coordinators and/or crisis management team members who coordinate this activity. </w:t>
      </w:r>
      <w:r>
        <w:t xml:space="preserve"> </w:t>
      </w:r>
      <w:r w:rsidRPr="008B447A">
        <w:t xml:space="preserve">Corporate Protective Services </w:t>
      </w:r>
      <w:r>
        <w:t xml:space="preserve">is </w:t>
      </w:r>
      <w:r w:rsidRPr="008B447A">
        <w:t>responsibl</w:t>
      </w:r>
      <w:r>
        <w:t>e</w:t>
      </w:r>
      <w:r w:rsidRPr="008B447A">
        <w:t xml:space="preserve"> for coordination of this activity in the Allentown offices.</w:t>
      </w:r>
    </w:p>
    <w:p w:rsidR="00286C71" w:rsidRDefault="00286C71" w:rsidP="00701DCF">
      <w:r>
        <w:rPr>
          <w:rFonts w:cs="Arial"/>
          <w:szCs w:val="24"/>
        </w:rPr>
        <w:t>Protective Services</w:t>
      </w:r>
      <w:r w:rsidRPr="00DB7652">
        <w:rPr>
          <w:rFonts w:cs="Arial"/>
          <w:szCs w:val="24"/>
        </w:rPr>
        <w:t xml:space="preserve"> makes the final determination on whether physical damage inflicted on the PPL</w:t>
      </w:r>
      <w:r>
        <w:rPr>
          <w:rFonts w:cs="Arial"/>
          <w:szCs w:val="24"/>
        </w:rPr>
        <w:t xml:space="preserve"> EU</w:t>
      </w:r>
      <w:r w:rsidRPr="00DB7652">
        <w:rPr>
          <w:rFonts w:cs="Arial"/>
          <w:szCs w:val="24"/>
        </w:rPr>
        <w:t xml:space="preserve"> system is an act of sabotage.  IAG is responsible for declaration of a cyber event.</w:t>
      </w:r>
    </w:p>
    <w:p w:rsidR="00286C71" w:rsidRDefault="00286C71" w:rsidP="00701DCF">
      <w:pPr>
        <w:rPr>
          <w:rFonts w:cs="Arial"/>
          <w:szCs w:val="24"/>
        </w:rPr>
      </w:pPr>
      <w:r w:rsidRPr="00E94D2E">
        <w:rPr>
          <w:rFonts w:cs="Arial"/>
          <w:szCs w:val="24"/>
        </w:rPr>
        <w:t>The PPL Corporat</w:t>
      </w:r>
      <w:r>
        <w:rPr>
          <w:rFonts w:cs="Arial"/>
          <w:szCs w:val="24"/>
        </w:rPr>
        <w:t>e</w:t>
      </w:r>
      <w:r w:rsidRPr="00E94D2E">
        <w:rPr>
          <w:rFonts w:cs="Arial"/>
          <w:szCs w:val="24"/>
        </w:rPr>
        <w:t xml:space="preserve"> Emergency Management Plan is reviewed and revised at least annually.</w:t>
      </w:r>
    </w:p>
    <w:p w:rsidR="00286C71" w:rsidRDefault="00286C71" w:rsidP="00701DCF">
      <w:pPr>
        <w:rPr>
          <w:rFonts w:cs="Arial"/>
          <w:szCs w:val="24"/>
        </w:rPr>
      </w:pPr>
      <w:proofErr w:type="gramStart"/>
      <w:r w:rsidRPr="007B7458">
        <w:rPr>
          <w:b/>
        </w:rPr>
        <w:t>Corporate Security Plan</w:t>
      </w:r>
      <w:r w:rsidR="007B7458" w:rsidRPr="007B7458">
        <w:rPr>
          <w:b/>
        </w:rPr>
        <w:t>.</w:t>
      </w:r>
      <w:proofErr w:type="gramEnd"/>
      <w:r w:rsidR="007B7458">
        <w:t xml:space="preserve">  </w:t>
      </w:r>
      <w:r>
        <w:rPr>
          <w:rFonts w:cs="Arial"/>
          <w:szCs w:val="24"/>
        </w:rPr>
        <w:t xml:space="preserve">The Corporate Security Plan is also applicable to Talen through 2017 as part of a Transition Services Agreement.  Corporate Security maintains the Corporate Security Plan Policies and the Corporate Security Plan.  The plan </w:t>
      </w:r>
      <w:r>
        <w:rPr>
          <w:rFonts w:cs="Arial"/>
          <w:szCs w:val="24"/>
        </w:rPr>
        <w:lastRenderedPageBreak/>
        <w:t>encompasses physical security concerns including monitoring, general security, coordination of roles/responsibilities, information sharing, cyber security, reporting protocol, and emergency center activation.  There are nineteen supporting procedures covering personnel background checks, specific physical and cyber secure locations, alarm response, and other security processes.</w:t>
      </w:r>
    </w:p>
    <w:p w:rsidR="00286C71" w:rsidRDefault="00286C71" w:rsidP="007B7458">
      <w:pPr>
        <w:pStyle w:val="Heading40"/>
      </w:pPr>
      <w:r>
        <w:t>Prevention</w:t>
      </w:r>
    </w:p>
    <w:p w:rsidR="00286C71" w:rsidRDefault="00286C71" w:rsidP="00701DCF">
      <w:pPr>
        <w:rPr>
          <w:rFonts w:cs="Arial"/>
          <w:szCs w:val="24"/>
        </w:rPr>
      </w:pPr>
      <w:r>
        <w:rPr>
          <w:rFonts w:cs="Arial"/>
          <w:szCs w:val="24"/>
        </w:rPr>
        <w:t>In October 2015, PPL SC Protective Services conducted an outreach for law enforcement agencies across the service area to seek support for monitoring PPL Corporation facilities and reporting any unusual activity.</w:t>
      </w:r>
    </w:p>
    <w:p w:rsidR="00286C71" w:rsidRDefault="00286C71" w:rsidP="00701DCF">
      <w:pPr>
        <w:rPr>
          <w:rFonts w:cs="Arial"/>
          <w:szCs w:val="24"/>
        </w:rPr>
      </w:pPr>
      <w:r>
        <w:rPr>
          <w:rFonts w:cs="Arial"/>
          <w:szCs w:val="24"/>
        </w:rPr>
        <w:t>Protective Services is working on physical security plans to support the North American Electric Reliability Corporation (NERC) Standard CIP-014 – Physical Security, compliance for critical electric facilities in conjunction with PPL EU personnel.  A manager is active in the North American Transmission Forum (NATF) which facilitates communications with other utilities to share ideas and best practices in physical security of electric facilities.</w:t>
      </w:r>
    </w:p>
    <w:p w:rsidR="00286C71" w:rsidRDefault="00286C71" w:rsidP="00701DCF">
      <w:pPr>
        <w:rPr>
          <w:rFonts w:cs="Arial"/>
          <w:szCs w:val="24"/>
        </w:rPr>
      </w:pPr>
      <w:r>
        <w:rPr>
          <w:rFonts w:cs="Arial"/>
          <w:szCs w:val="24"/>
        </w:rPr>
        <w:t xml:space="preserve">Protective Services is planning to implement enhanced and more frequent background checks for personnel performing higher risk business functions in PPL Corporation.  </w:t>
      </w:r>
      <w:r w:rsidRPr="00912167">
        <w:t>The higher risk functions are identified as those with access to assets identified under NERC</w:t>
      </w:r>
      <w:r>
        <w:t xml:space="preserve"> </w:t>
      </w:r>
      <w:r w:rsidRPr="00912167">
        <w:t xml:space="preserve">CIP </w:t>
      </w:r>
      <w:r>
        <w:t xml:space="preserve">standards </w:t>
      </w:r>
      <w:r w:rsidRPr="00912167">
        <w:t xml:space="preserve">as requiring a Personal Risk Assessment, Network Domain Administrators, Network Operating System Administrators, Financial </w:t>
      </w:r>
      <w:r>
        <w:t>p</w:t>
      </w:r>
      <w:r w:rsidRPr="00912167">
        <w:t xml:space="preserve">ositions, </w:t>
      </w:r>
      <w:r>
        <w:t xml:space="preserve">and </w:t>
      </w:r>
      <w:r w:rsidRPr="00912167">
        <w:t xml:space="preserve">Directors and Executives in Critical Positions. </w:t>
      </w:r>
      <w:r>
        <w:t xml:space="preserve"> </w:t>
      </w:r>
      <w:r w:rsidRPr="00912167">
        <w:t xml:space="preserve">This </w:t>
      </w:r>
      <w:r>
        <w:t>effort is related to implementation of an insider t</w:t>
      </w:r>
      <w:r w:rsidRPr="00912167">
        <w:t xml:space="preserve">hreat </w:t>
      </w:r>
      <w:r>
        <w:t>m</w:t>
      </w:r>
      <w:r w:rsidRPr="00912167">
        <w:t xml:space="preserve">itigation program </w:t>
      </w:r>
      <w:r>
        <w:t>under development by</w:t>
      </w:r>
      <w:r w:rsidRPr="00912167">
        <w:t xml:space="preserve"> Corporate Security</w:t>
      </w:r>
      <w:r>
        <w:t xml:space="preserve"> and IT</w:t>
      </w:r>
      <w:r w:rsidRPr="00912167">
        <w:t>.</w:t>
      </w:r>
    </w:p>
    <w:p w:rsidR="00286C71" w:rsidRDefault="00286C71" w:rsidP="00701DCF">
      <w:pPr>
        <w:rPr>
          <w:rFonts w:cs="Arial"/>
          <w:szCs w:val="24"/>
        </w:rPr>
      </w:pPr>
      <w:r>
        <w:rPr>
          <w:rFonts w:cs="Arial"/>
          <w:szCs w:val="24"/>
        </w:rPr>
        <w:t>The group is also monitoring regulatory changes and technological advancements on an ongoing basis and adapting programs as necessary.</w:t>
      </w:r>
    </w:p>
    <w:p w:rsidR="00286C71" w:rsidRDefault="00286C71" w:rsidP="007B7458">
      <w:pPr>
        <w:pStyle w:val="Heading40"/>
      </w:pPr>
      <w:r>
        <w:t>Preparation</w:t>
      </w:r>
    </w:p>
    <w:p w:rsidR="00286C71" w:rsidRPr="00DB7652" w:rsidRDefault="00286C71" w:rsidP="00701DCF">
      <w:r w:rsidRPr="00DB7652">
        <w:rPr>
          <w:rFonts w:cs="Arial"/>
          <w:szCs w:val="24"/>
        </w:rPr>
        <w:t xml:space="preserve">The Protective Services staff has completed several training classes and programs </w:t>
      </w:r>
      <w:r w:rsidRPr="00904608">
        <w:rPr>
          <w:rFonts w:cs="Arial"/>
          <w:color w:val="000000"/>
          <w:szCs w:val="24"/>
        </w:rPr>
        <w:t xml:space="preserve">including the basic independent study courses offered by the </w:t>
      </w:r>
      <w:r w:rsidRPr="00904608">
        <w:rPr>
          <w:rFonts w:cs="Arial"/>
          <w:color w:val="000000"/>
          <w:szCs w:val="24"/>
          <w:shd w:val="clear" w:color="auto" w:fill="FFFFFF"/>
        </w:rPr>
        <w:t>Federal Emergency Management Agency</w:t>
      </w:r>
      <w:r w:rsidRPr="00904608">
        <w:rPr>
          <w:rFonts w:cs="Arial"/>
          <w:color w:val="000000"/>
          <w:szCs w:val="24"/>
        </w:rPr>
        <w:t xml:space="preserve"> (FEMA</w:t>
      </w:r>
      <w:r w:rsidRPr="00904608">
        <w:rPr>
          <w:color w:val="000000"/>
          <w:szCs w:val="24"/>
        </w:rPr>
        <w:t>), National Incident Management System (IS-700)</w:t>
      </w:r>
      <w:r>
        <w:rPr>
          <w:color w:val="000000"/>
          <w:szCs w:val="24"/>
        </w:rPr>
        <w:t>,</w:t>
      </w:r>
      <w:r w:rsidRPr="00904608">
        <w:rPr>
          <w:color w:val="000000"/>
          <w:szCs w:val="24"/>
        </w:rPr>
        <w:t xml:space="preserve"> and</w:t>
      </w:r>
      <w:r w:rsidRPr="00DB7652">
        <w:t xml:space="preserve"> Introduction to the Incident Command System (ICS-100).  Required training is established by role and tracked in the PPL </w:t>
      </w:r>
      <w:r>
        <w:t xml:space="preserve">SC </w:t>
      </w:r>
      <w:r w:rsidRPr="00DB7652">
        <w:t>learning management system.</w:t>
      </w:r>
    </w:p>
    <w:p w:rsidR="00286C71" w:rsidRDefault="00286C71" w:rsidP="00701DCF">
      <w:pPr>
        <w:rPr>
          <w:rFonts w:cs="Arial"/>
          <w:szCs w:val="24"/>
        </w:rPr>
      </w:pPr>
      <w:r>
        <w:rPr>
          <w:rFonts w:cs="Arial"/>
          <w:szCs w:val="24"/>
        </w:rPr>
        <w:t>All PPL Corporation employees annually receive emergency response training for the facility to which they are assigned, including security, evacuation, and respective roles in response to an event for each of the planned scenarios.</w:t>
      </w:r>
    </w:p>
    <w:p w:rsidR="00286C71" w:rsidRDefault="00286C71" w:rsidP="00701DCF">
      <w:pPr>
        <w:rPr>
          <w:rFonts w:cs="Arial"/>
          <w:szCs w:val="24"/>
        </w:rPr>
      </w:pPr>
      <w:r w:rsidRPr="00DB7652">
        <w:rPr>
          <w:rFonts w:cs="Arial"/>
          <w:szCs w:val="24"/>
        </w:rPr>
        <w:t xml:space="preserve">The corporate Emergency </w:t>
      </w:r>
      <w:r>
        <w:rPr>
          <w:rFonts w:cs="Arial"/>
          <w:szCs w:val="24"/>
        </w:rPr>
        <w:t>Operations</w:t>
      </w:r>
      <w:r w:rsidRPr="00DB7652">
        <w:rPr>
          <w:rFonts w:cs="Arial"/>
          <w:szCs w:val="24"/>
        </w:rPr>
        <w:t xml:space="preserve"> Center (E</w:t>
      </w:r>
      <w:r>
        <w:rPr>
          <w:rFonts w:cs="Arial"/>
          <w:szCs w:val="24"/>
        </w:rPr>
        <w:t>O</w:t>
      </w:r>
      <w:r w:rsidRPr="00DB7652">
        <w:rPr>
          <w:rFonts w:cs="Arial"/>
          <w:szCs w:val="24"/>
        </w:rPr>
        <w:t xml:space="preserve">C) is a 24x7 operation that monitors alarms, badged access, and surveillance cameras, including those located in </w:t>
      </w:r>
      <w:r>
        <w:rPr>
          <w:rFonts w:cs="Arial"/>
          <w:szCs w:val="24"/>
        </w:rPr>
        <w:t xml:space="preserve">PPL </w:t>
      </w:r>
      <w:r w:rsidRPr="00DB7652">
        <w:rPr>
          <w:rFonts w:cs="Arial"/>
          <w:szCs w:val="24"/>
        </w:rPr>
        <w:t>EU facilities.</w:t>
      </w:r>
      <w:r>
        <w:rPr>
          <w:rFonts w:cs="Arial"/>
          <w:szCs w:val="24"/>
        </w:rPr>
        <w:t xml:space="preserve"> </w:t>
      </w:r>
      <w:r w:rsidRPr="00EF6B78">
        <w:rPr>
          <w:rFonts w:cs="Arial"/>
          <w:szCs w:val="24"/>
        </w:rPr>
        <w:t xml:space="preserve"> </w:t>
      </w:r>
      <w:r w:rsidRPr="00DB7652">
        <w:rPr>
          <w:rFonts w:cs="Arial"/>
          <w:szCs w:val="24"/>
        </w:rPr>
        <w:t>The ECC has checklists for response to specific emergencies and incidents.</w:t>
      </w:r>
    </w:p>
    <w:p w:rsidR="00286C71" w:rsidRPr="00DB7652" w:rsidRDefault="00286C71" w:rsidP="00701DCF">
      <w:pPr>
        <w:rPr>
          <w:rFonts w:cs="Arial"/>
          <w:szCs w:val="24"/>
        </w:rPr>
      </w:pPr>
      <w:r w:rsidRPr="00DB7652">
        <w:rPr>
          <w:rFonts w:cs="Arial"/>
          <w:szCs w:val="24"/>
        </w:rPr>
        <w:t>Corporate Communications is responsible for monitoring social media for any potential threats to PPL</w:t>
      </w:r>
      <w:r>
        <w:rPr>
          <w:rFonts w:cs="Arial"/>
          <w:szCs w:val="24"/>
        </w:rPr>
        <w:t xml:space="preserve"> Corporation</w:t>
      </w:r>
      <w:r w:rsidRPr="00DB7652">
        <w:rPr>
          <w:rFonts w:cs="Arial"/>
          <w:szCs w:val="24"/>
        </w:rPr>
        <w:t xml:space="preserve"> assets and personnel.  A number of </w:t>
      </w:r>
      <w:r>
        <w:rPr>
          <w:rFonts w:cs="Arial"/>
          <w:szCs w:val="24"/>
        </w:rPr>
        <w:t xml:space="preserve">industry and government </w:t>
      </w:r>
      <w:r w:rsidRPr="00DB7652">
        <w:rPr>
          <w:rFonts w:cs="Arial"/>
          <w:szCs w:val="24"/>
        </w:rPr>
        <w:t xml:space="preserve">resources are used to monitor threat and hazard conditions.  </w:t>
      </w:r>
      <w:r>
        <w:rPr>
          <w:rFonts w:cs="Arial"/>
          <w:szCs w:val="24"/>
        </w:rPr>
        <w:t>Protective Services shares Homeland Security alerts, NERC alerts, and other information with both IT and PPL EU counterparts.</w:t>
      </w:r>
    </w:p>
    <w:p w:rsidR="00286C71" w:rsidRPr="00DB7652" w:rsidRDefault="00286C71" w:rsidP="00701DCF">
      <w:pPr>
        <w:rPr>
          <w:rFonts w:cs="Arial"/>
          <w:szCs w:val="24"/>
        </w:rPr>
      </w:pPr>
      <w:r>
        <w:rPr>
          <w:rFonts w:cs="Arial"/>
          <w:szCs w:val="24"/>
        </w:rPr>
        <w:lastRenderedPageBreak/>
        <w:t>Protective Services</w:t>
      </w:r>
      <w:r w:rsidRPr="00DB7652">
        <w:rPr>
          <w:rFonts w:cs="Arial"/>
          <w:szCs w:val="24"/>
        </w:rPr>
        <w:t xml:space="preserve"> has contracted for </w:t>
      </w:r>
      <w:r>
        <w:rPr>
          <w:rFonts w:cs="Arial"/>
          <w:szCs w:val="24"/>
        </w:rPr>
        <w:t xml:space="preserve">numerous </w:t>
      </w:r>
      <w:r w:rsidRPr="00DB7652">
        <w:rPr>
          <w:rFonts w:cs="Arial"/>
          <w:szCs w:val="24"/>
        </w:rPr>
        <w:t xml:space="preserve">seats in a workplace recovery facility to provide a backup location for business recovery in </w:t>
      </w:r>
      <w:r>
        <w:rPr>
          <w:rFonts w:cs="Arial"/>
          <w:szCs w:val="24"/>
        </w:rPr>
        <w:t>the event</w:t>
      </w:r>
      <w:r w:rsidRPr="00DB7652">
        <w:rPr>
          <w:rFonts w:cs="Arial"/>
          <w:szCs w:val="24"/>
        </w:rPr>
        <w:t xml:space="preserve"> the PPL</w:t>
      </w:r>
      <w:r>
        <w:rPr>
          <w:rFonts w:cs="Arial"/>
          <w:szCs w:val="24"/>
        </w:rPr>
        <w:t xml:space="preserve"> Corporation</w:t>
      </w:r>
      <w:r w:rsidRPr="00DB7652">
        <w:rPr>
          <w:rFonts w:cs="Arial"/>
          <w:szCs w:val="24"/>
        </w:rPr>
        <w:t xml:space="preserve"> primary off-site facility is not available</w:t>
      </w:r>
      <w:r>
        <w:rPr>
          <w:rFonts w:cs="Arial"/>
          <w:szCs w:val="24"/>
        </w:rPr>
        <w:t xml:space="preserve"> for use</w:t>
      </w:r>
      <w:r w:rsidRPr="00DB7652">
        <w:rPr>
          <w:rFonts w:cs="Arial"/>
          <w:szCs w:val="24"/>
        </w:rPr>
        <w:t xml:space="preserve">.  </w:t>
      </w:r>
      <w:r>
        <w:rPr>
          <w:rFonts w:cs="Arial"/>
          <w:szCs w:val="24"/>
        </w:rPr>
        <w:t>L</w:t>
      </w:r>
      <w:r w:rsidRPr="00DB7652">
        <w:rPr>
          <w:rFonts w:cs="Arial"/>
          <w:szCs w:val="24"/>
        </w:rPr>
        <w:t>aptops</w:t>
      </w:r>
      <w:r>
        <w:rPr>
          <w:rFonts w:cs="Arial"/>
          <w:szCs w:val="24"/>
        </w:rPr>
        <w:t xml:space="preserve"> are maintained and </w:t>
      </w:r>
      <w:r w:rsidRPr="00DB7652">
        <w:rPr>
          <w:rFonts w:cs="Arial"/>
          <w:szCs w:val="24"/>
        </w:rPr>
        <w:t xml:space="preserve">stored at </w:t>
      </w:r>
      <w:r>
        <w:rPr>
          <w:rFonts w:cs="Arial"/>
          <w:szCs w:val="24"/>
        </w:rPr>
        <w:t>a PPL EU s</w:t>
      </w:r>
      <w:r w:rsidRPr="00DB7652">
        <w:rPr>
          <w:rFonts w:cs="Arial"/>
          <w:szCs w:val="24"/>
        </w:rPr>
        <w:t xml:space="preserve">ervice </w:t>
      </w:r>
      <w:r>
        <w:rPr>
          <w:rFonts w:cs="Arial"/>
          <w:szCs w:val="24"/>
        </w:rPr>
        <w:t>c</w:t>
      </w:r>
      <w:r w:rsidRPr="00DB7652">
        <w:rPr>
          <w:rFonts w:cs="Arial"/>
          <w:szCs w:val="24"/>
        </w:rPr>
        <w:t>enter for emergency response.</w:t>
      </w:r>
    </w:p>
    <w:p w:rsidR="00286C71" w:rsidRDefault="00286C71" w:rsidP="00701DCF">
      <w:pPr>
        <w:rPr>
          <w:rFonts w:cs="Arial"/>
          <w:szCs w:val="24"/>
        </w:rPr>
      </w:pPr>
      <w:r>
        <w:rPr>
          <w:rFonts w:cs="Arial"/>
          <w:szCs w:val="24"/>
        </w:rPr>
        <w:t>Protective Services maintains the corporate emergency notification system for call-outs internally.  Personnel contact information is updated daily through a link to the human resources system.</w:t>
      </w:r>
    </w:p>
    <w:p w:rsidR="00286C71" w:rsidRPr="00C93EC9" w:rsidRDefault="00286C71" w:rsidP="00701DCF">
      <w:pPr>
        <w:rPr>
          <w:rFonts w:cs="Arial"/>
          <w:szCs w:val="24"/>
        </w:rPr>
      </w:pPr>
      <w:r w:rsidRPr="00C93EC9">
        <w:rPr>
          <w:rFonts w:cs="Arial"/>
          <w:szCs w:val="24"/>
        </w:rPr>
        <w:t>PPL</w:t>
      </w:r>
      <w:r>
        <w:rPr>
          <w:rFonts w:cs="Arial"/>
          <w:szCs w:val="24"/>
        </w:rPr>
        <w:t xml:space="preserve"> Corporation</w:t>
      </w:r>
      <w:r w:rsidRPr="00C93EC9">
        <w:rPr>
          <w:rFonts w:cs="Arial"/>
          <w:szCs w:val="24"/>
        </w:rPr>
        <w:t xml:space="preserve"> has obtained Government Emergency Telecommunications Service</w:t>
      </w:r>
      <w:r>
        <w:rPr>
          <w:rFonts w:cs="Arial"/>
          <w:szCs w:val="24"/>
        </w:rPr>
        <w:t xml:space="preserve"> (</w:t>
      </w:r>
      <w:r w:rsidRPr="00C93EC9">
        <w:rPr>
          <w:rFonts w:cs="Arial"/>
          <w:szCs w:val="24"/>
        </w:rPr>
        <w:t>GETS</w:t>
      </w:r>
      <w:r>
        <w:rPr>
          <w:rFonts w:cs="Arial"/>
          <w:szCs w:val="24"/>
        </w:rPr>
        <w:t>)</w:t>
      </w:r>
      <w:r w:rsidRPr="00C93EC9">
        <w:rPr>
          <w:rFonts w:cs="Arial"/>
          <w:szCs w:val="24"/>
        </w:rPr>
        <w:t xml:space="preserve"> cards for key employees that provide priority access to cellular networks, via the </w:t>
      </w:r>
      <w:r w:rsidRPr="00C93EC9">
        <w:rPr>
          <w:iCs/>
        </w:rPr>
        <w:t>Wireless Priority Service (WPS) program,</w:t>
      </w:r>
      <w:r w:rsidRPr="00C93EC9">
        <w:rPr>
          <w:rFonts w:cs="Arial"/>
          <w:iCs/>
          <w:szCs w:val="24"/>
        </w:rPr>
        <w:t xml:space="preserve"> </w:t>
      </w:r>
      <w:r w:rsidRPr="00C93EC9">
        <w:rPr>
          <w:rFonts w:cs="Arial"/>
          <w:szCs w:val="24"/>
        </w:rPr>
        <w:t>and wireline networks.  These can be used during major emergencies to establish critical communications when networks are congested with calls.</w:t>
      </w:r>
    </w:p>
    <w:p w:rsidR="00286C71" w:rsidRDefault="00286C71" w:rsidP="00701DCF">
      <w:pPr>
        <w:rPr>
          <w:rFonts w:cs="Arial"/>
          <w:szCs w:val="24"/>
        </w:rPr>
      </w:pPr>
      <w:r>
        <w:rPr>
          <w:rFonts w:cs="Arial"/>
          <w:szCs w:val="24"/>
        </w:rPr>
        <w:t xml:space="preserve">The Director of Protective Services meets at least weekly with PPL EU EP and meets at least monthly with the IAG.  The </w:t>
      </w:r>
      <w:r w:rsidRPr="00DA674B">
        <w:rPr>
          <w:rFonts w:cs="Arial"/>
          <w:szCs w:val="24"/>
        </w:rPr>
        <w:t xml:space="preserve">Director </w:t>
      </w:r>
      <w:r>
        <w:rPr>
          <w:rFonts w:cs="Arial"/>
          <w:szCs w:val="24"/>
        </w:rPr>
        <w:t>also meets at least twice a year with the CEO of PPL SC to provide updates and briefings on emergency response planning.</w:t>
      </w:r>
    </w:p>
    <w:p w:rsidR="00286C71" w:rsidRDefault="00286C71" w:rsidP="00701DCF">
      <w:pPr>
        <w:rPr>
          <w:rFonts w:cs="Arial"/>
          <w:szCs w:val="24"/>
        </w:rPr>
      </w:pPr>
      <w:r>
        <w:rPr>
          <w:rFonts w:cs="Arial"/>
          <w:szCs w:val="24"/>
        </w:rPr>
        <w:t>Most external interaction is with PEMA and local emergency agencies on physical security.  The Director is familiar with county emergency management agency heads and PEMA staff from his prior work experience.</w:t>
      </w:r>
    </w:p>
    <w:p w:rsidR="00286C71" w:rsidRDefault="00286C71" w:rsidP="007B7458">
      <w:pPr>
        <w:pStyle w:val="Heading40"/>
      </w:pPr>
      <w:r>
        <w:t>Practice</w:t>
      </w:r>
    </w:p>
    <w:p w:rsidR="00286C71" w:rsidRDefault="00286C71" w:rsidP="00701DCF">
      <w:pPr>
        <w:rPr>
          <w:rFonts w:cs="Arial"/>
          <w:szCs w:val="24"/>
        </w:rPr>
      </w:pPr>
      <w:r>
        <w:rPr>
          <w:rFonts w:cs="Arial"/>
          <w:szCs w:val="24"/>
        </w:rPr>
        <w:t>Protective Services is responsible for corporate related exercises.  Protective Services also assists in the PPL EU exercises and after drill reviews.</w:t>
      </w:r>
    </w:p>
    <w:p w:rsidR="00286C71" w:rsidRPr="00DB7652" w:rsidRDefault="00286C71" w:rsidP="00701DCF">
      <w:pPr>
        <w:rPr>
          <w:rFonts w:cs="Arial"/>
          <w:szCs w:val="24"/>
        </w:rPr>
      </w:pPr>
      <w:r w:rsidRPr="00DB7652">
        <w:rPr>
          <w:rFonts w:cs="Arial"/>
          <w:szCs w:val="24"/>
        </w:rPr>
        <w:t xml:space="preserve">The </w:t>
      </w:r>
      <w:r>
        <w:rPr>
          <w:rFonts w:cs="Arial"/>
          <w:szCs w:val="24"/>
        </w:rPr>
        <w:t xml:space="preserve">corporate </w:t>
      </w:r>
      <w:r w:rsidRPr="00DB7652">
        <w:rPr>
          <w:rFonts w:cs="Arial"/>
          <w:szCs w:val="24"/>
        </w:rPr>
        <w:t xml:space="preserve">BCP </w:t>
      </w:r>
      <w:r>
        <w:rPr>
          <w:rFonts w:cs="Arial"/>
          <w:szCs w:val="24"/>
        </w:rPr>
        <w:t>and EMP are</w:t>
      </w:r>
      <w:r w:rsidRPr="00DB7652">
        <w:rPr>
          <w:rFonts w:cs="Arial"/>
          <w:szCs w:val="24"/>
        </w:rPr>
        <w:t xml:space="preserve"> </w:t>
      </w:r>
      <w:r>
        <w:rPr>
          <w:rFonts w:cs="Arial"/>
          <w:szCs w:val="24"/>
        </w:rPr>
        <w:t xml:space="preserve">fully </w:t>
      </w:r>
      <w:r w:rsidRPr="00DB7652">
        <w:rPr>
          <w:rFonts w:cs="Arial"/>
          <w:szCs w:val="24"/>
        </w:rPr>
        <w:t xml:space="preserve">exercised at least once per year with partial tests and exercises occurring </w:t>
      </w:r>
      <w:r>
        <w:rPr>
          <w:rFonts w:cs="Arial"/>
          <w:szCs w:val="24"/>
        </w:rPr>
        <w:t>throughout</w:t>
      </w:r>
      <w:r w:rsidRPr="00DB7652">
        <w:rPr>
          <w:rFonts w:cs="Arial"/>
          <w:szCs w:val="24"/>
        </w:rPr>
        <w:t xml:space="preserve"> the year.  Both table top exercises </w:t>
      </w:r>
      <w:r>
        <w:rPr>
          <w:rFonts w:cs="Arial"/>
          <w:szCs w:val="24"/>
        </w:rPr>
        <w:t xml:space="preserve">and drills </w:t>
      </w:r>
      <w:r w:rsidRPr="00DB7652">
        <w:rPr>
          <w:rFonts w:cs="Arial"/>
          <w:szCs w:val="24"/>
        </w:rPr>
        <w:t>are used</w:t>
      </w:r>
      <w:r>
        <w:rPr>
          <w:rFonts w:cs="Arial"/>
          <w:szCs w:val="24"/>
        </w:rPr>
        <w:t xml:space="preserve"> with approximately ten occurring each year</w:t>
      </w:r>
      <w:r w:rsidRPr="00DB7652">
        <w:rPr>
          <w:rFonts w:cs="Arial"/>
          <w:szCs w:val="24"/>
        </w:rPr>
        <w:t xml:space="preserve">.  Some exercises </w:t>
      </w:r>
      <w:r>
        <w:rPr>
          <w:rFonts w:cs="Arial"/>
          <w:szCs w:val="24"/>
        </w:rPr>
        <w:t xml:space="preserve">and drills </w:t>
      </w:r>
      <w:r w:rsidRPr="00DB7652">
        <w:rPr>
          <w:rFonts w:cs="Arial"/>
          <w:szCs w:val="24"/>
        </w:rPr>
        <w:t>will include external personnel</w:t>
      </w:r>
      <w:r>
        <w:rPr>
          <w:rFonts w:cs="Arial"/>
          <w:szCs w:val="24"/>
        </w:rPr>
        <w:t xml:space="preserve"> from local police, fire, and emergency management agencies</w:t>
      </w:r>
      <w:r w:rsidRPr="00DB7652">
        <w:rPr>
          <w:rFonts w:cs="Arial"/>
          <w:szCs w:val="24"/>
        </w:rPr>
        <w:t>.</w:t>
      </w:r>
    </w:p>
    <w:p w:rsidR="00286C71" w:rsidRDefault="00286C71" w:rsidP="00701DCF">
      <w:pPr>
        <w:rPr>
          <w:rFonts w:cs="Arial"/>
          <w:szCs w:val="24"/>
        </w:rPr>
      </w:pPr>
      <w:r>
        <w:rPr>
          <w:rFonts w:cs="Arial"/>
          <w:szCs w:val="24"/>
        </w:rPr>
        <w:t>The Homeland Security exercise planning process is used as the model for developing annual business continuity plan exercises.  This testing focuses on the following scenarios:</w:t>
      </w:r>
    </w:p>
    <w:p w:rsidR="00286C71" w:rsidRPr="006D067F" w:rsidRDefault="00286C71" w:rsidP="00701DCF">
      <w:pPr>
        <w:pStyle w:val="Bullet"/>
      </w:pPr>
      <w:r w:rsidRPr="006D067F">
        <w:t>Workplace disruption</w:t>
      </w:r>
    </w:p>
    <w:p w:rsidR="00286C71" w:rsidRPr="006D067F" w:rsidRDefault="00286C71" w:rsidP="00701DCF">
      <w:pPr>
        <w:pStyle w:val="Bullet"/>
      </w:pPr>
      <w:r w:rsidRPr="006D067F">
        <w:t xml:space="preserve">Workforce </w:t>
      </w:r>
      <w:r>
        <w:t xml:space="preserve">disruption </w:t>
      </w:r>
      <w:r w:rsidRPr="006D067F">
        <w:t>– labor action/pandemic</w:t>
      </w:r>
    </w:p>
    <w:p w:rsidR="00286C71" w:rsidRPr="006D067F" w:rsidRDefault="00286C71" w:rsidP="00701DCF">
      <w:pPr>
        <w:pStyle w:val="Bullet"/>
      </w:pPr>
      <w:r w:rsidRPr="006D067F">
        <w:t>IT interruption</w:t>
      </w:r>
    </w:p>
    <w:p w:rsidR="00286C71" w:rsidRPr="006D067F" w:rsidRDefault="00286C71" w:rsidP="00701DCF">
      <w:pPr>
        <w:pStyle w:val="Bullet"/>
      </w:pPr>
      <w:r w:rsidRPr="006D067F">
        <w:t>Critical vendor issue</w:t>
      </w:r>
    </w:p>
    <w:p w:rsidR="00286C71" w:rsidRPr="00492242" w:rsidRDefault="00286C71" w:rsidP="00701DCF">
      <w:pPr>
        <w:pStyle w:val="Normal-aftertable"/>
      </w:pPr>
      <w:r>
        <w:t>There is a strong collaborative approach between Protective Services, PPL EU Emergency Response, and the IT IAG on emergency planning with active sharing of information and coordination of plans and exercises.</w:t>
      </w:r>
    </w:p>
    <w:p w:rsidR="00286C71" w:rsidRDefault="00286C71" w:rsidP="00701DCF">
      <w:pPr>
        <w:rPr>
          <w:rFonts w:cs="Arial"/>
          <w:szCs w:val="24"/>
        </w:rPr>
      </w:pPr>
      <w:r w:rsidRPr="002C2CA5">
        <w:rPr>
          <w:rFonts w:cs="Arial"/>
          <w:szCs w:val="24"/>
        </w:rPr>
        <w:t>After every testing exercise</w:t>
      </w:r>
      <w:r>
        <w:rPr>
          <w:rFonts w:cs="Arial"/>
          <w:szCs w:val="24"/>
        </w:rPr>
        <w:t>,</w:t>
      </w:r>
      <w:r w:rsidRPr="002C2CA5">
        <w:rPr>
          <w:rFonts w:cs="Arial"/>
          <w:szCs w:val="24"/>
        </w:rPr>
        <w:t xml:space="preserve"> </w:t>
      </w:r>
      <w:r>
        <w:rPr>
          <w:rFonts w:cs="Arial"/>
          <w:szCs w:val="24"/>
        </w:rPr>
        <w:t>the participants</w:t>
      </w:r>
      <w:r w:rsidRPr="002C2CA5">
        <w:rPr>
          <w:rFonts w:cs="Arial"/>
          <w:szCs w:val="24"/>
        </w:rPr>
        <w:t xml:space="preserve"> debrief and an action plan is generated as necessary.  Written after action reports are prepared for most major exercises and drills</w:t>
      </w:r>
      <w:r>
        <w:rPr>
          <w:rFonts w:cs="Arial"/>
          <w:szCs w:val="24"/>
        </w:rPr>
        <w:t xml:space="preserve"> to capture lessons learned</w:t>
      </w:r>
      <w:r w:rsidRPr="00277248">
        <w:rPr>
          <w:rFonts w:cs="Arial"/>
          <w:szCs w:val="24"/>
        </w:rPr>
        <w:t>.</w:t>
      </w:r>
      <w:r>
        <w:rPr>
          <w:rFonts w:cs="Arial"/>
          <w:szCs w:val="24"/>
        </w:rPr>
        <w:t xml:space="preserve">  Recent examples are </w:t>
      </w:r>
      <w:r w:rsidRPr="00DB7652">
        <w:rPr>
          <w:rFonts w:cs="Arial"/>
          <w:szCs w:val="24"/>
        </w:rPr>
        <w:t>the Active Shooter Full-Scale Exercise</w:t>
      </w:r>
      <w:r>
        <w:rPr>
          <w:rFonts w:cs="Arial"/>
          <w:szCs w:val="24"/>
        </w:rPr>
        <w:t>,</w:t>
      </w:r>
      <w:r w:rsidRPr="00DB7652">
        <w:rPr>
          <w:rFonts w:cs="Arial"/>
          <w:szCs w:val="24"/>
        </w:rPr>
        <w:t xml:space="preserve"> Labor Action Exercise</w:t>
      </w:r>
      <w:r>
        <w:rPr>
          <w:rFonts w:cs="Arial"/>
          <w:szCs w:val="24"/>
        </w:rPr>
        <w:t>, and GridEx III, a</w:t>
      </w:r>
      <w:r>
        <w:t xml:space="preserve"> national electric grid security and incident response exercise conducted by NERC in November 2015.</w:t>
      </w:r>
      <w:r>
        <w:rPr>
          <w:rFonts w:cs="Arial"/>
          <w:szCs w:val="24"/>
        </w:rPr>
        <w:t xml:space="preserve"> </w:t>
      </w:r>
      <w:r w:rsidRPr="00254BD4">
        <w:rPr>
          <w:rFonts w:cs="Arial"/>
          <w:szCs w:val="24"/>
        </w:rPr>
        <w:t xml:space="preserve"> </w:t>
      </w:r>
      <w:r w:rsidRPr="00DB7652">
        <w:rPr>
          <w:rFonts w:cs="Arial"/>
          <w:szCs w:val="24"/>
        </w:rPr>
        <w:t xml:space="preserve">The reports </w:t>
      </w:r>
      <w:r w:rsidRPr="00DB7652">
        <w:rPr>
          <w:rFonts w:cs="Arial"/>
          <w:szCs w:val="24"/>
        </w:rPr>
        <w:lastRenderedPageBreak/>
        <w:t>include summar</w:t>
      </w:r>
      <w:r>
        <w:rPr>
          <w:rFonts w:cs="Arial"/>
          <w:szCs w:val="24"/>
        </w:rPr>
        <w:t>ies</w:t>
      </w:r>
      <w:r w:rsidRPr="00DB7652">
        <w:rPr>
          <w:rFonts w:cs="Arial"/>
          <w:szCs w:val="24"/>
        </w:rPr>
        <w:t xml:space="preserve"> of the exercise, </w:t>
      </w:r>
      <w:r>
        <w:rPr>
          <w:rFonts w:cs="Arial"/>
          <w:szCs w:val="24"/>
        </w:rPr>
        <w:t>the goals for the exercise, participants, strength areas, areas for improvement, and an improvement plan</w:t>
      </w:r>
      <w:r w:rsidRPr="00DB7652">
        <w:rPr>
          <w:rFonts w:cs="Arial"/>
          <w:szCs w:val="24"/>
        </w:rPr>
        <w:t>.</w:t>
      </w:r>
    </w:p>
    <w:p w:rsidR="00286C71" w:rsidRDefault="00286C71" w:rsidP="00701DCF">
      <w:pPr>
        <w:rPr>
          <w:rFonts w:cs="Arial"/>
          <w:szCs w:val="24"/>
        </w:rPr>
      </w:pPr>
      <w:r>
        <w:rPr>
          <w:rFonts w:cs="Arial"/>
          <w:szCs w:val="24"/>
        </w:rPr>
        <w:t xml:space="preserve">Protective Services, along with PPL EU Emergency Response and the IT IAG, were active participants in GridEx III in addition to County EMS, Fire, Police, and the FBI for scenarios impacting PPL Corporation facilities.  </w:t>
      </w:r>
    </w:p>
    <w:p w:rsidR="00286C71" w:rsidRDefault="00286C71" w:rsidP="00701DCF">
      <w:pPr>
        <w:rPr>
          <w:rFonts w:cs="Arial"/>
          <w:szCs w:val="24"/>
        </w:rPr>
      </w:pPr>
      <w:r>
        <w:rPr>
          <w:rFonts w:cs="Arial"/>
          <w:szCs w:val="24"/>
        </w:rPr>
        <w:t>Protective Services has used t</w:t>
      </w:r>
      <w:r w:rsidRPr="00DB7652">
        <w:rPr>
          <w:rFonts w:cs="Arial"/>
          <w:szCs w:val="24"/>
        </w:rPr>
        <w:t xml:space="preserve">he results of lessons learned reviews </w:t>
      </w:r>
      <w:r>
        <w:rPr>
          <w:rFonts w:cs="Arial"/>
          <w:szCs w:val="24"/>
        </w:rPr>
        <w:t>have led to changes in incident management, policy or procedure content, communications, training, and response coordination.  Incident response strategies have been modified, training has been developed, additional table top exercises have been scheduled, and procedures have been modified to response to specific and improve coordination.</w:t>
      </w:r>
    </w:p>
    <w:p w:rsidR="00286C71" w:rsidRPr="00DB7652" w:rsidRDefault="00286C71" w:rsidP="00701DCF">
      <w:pPr>
        <w:rPr>
          <w:rFonts w:cs="Arial"/>
          <w:szCs w:val="24"/>
        </w:rPr>
      </w:pPr>
      <w:r w:rsidRPr="00DB7652">
        <w:rPr>
          <w:rFonts w:cs="Arial"/>
          <w:szCs w:val="24"/>
        </w:rPr>
        <w:t>A revision history is maintained when changes are made to the plan.  Reviews that result in no plan changes are not currently documented for corporate plans.  The internal contact information in the plans is maintained via real time updates from the human resources system.  External contacts are maintained as plan attachments and are updated periodically.</w:t>
      </w:r>
    </w:p>
    <w:p w:rsidR="00286C71" w:rsidRDefault="00286C71" w:rsidP="007B7458">
      <w:pPr>
        <w:pStyle w:val="Heading40"/>
      </w:pPr>
      <w:r>
        <w:t>Performance</w:t>
      </w:r>
    </w:p>
    <w:p w:rsidR="00286C71" w:rsidRPr="00DB7652" w:rsidRDefault="00286C71" w:rsidP="00701DCF">
      <w:pPr>
        <w:rPr>
          <w:rFonts w:cs="Arial"/>
          <w:szCs w:val="24"/>
        </w:rPr>
      </w:pPr>
      <w:r w:rsidRPr="0099260F">
        <w:t xml:space="preserve">The </w:t>
      </w:r>
      <w:r>
        <w:t>business continuity plans have</w:t>
      </w:r>
      <w:r w:rsidRPr="0099260F">
        <w:t xml:space="preserve"> not been activated for a real </w:t>
      </w:r>
      <w:r>
        <w:t xml:space="preserve">life major </w:t>
      </w:r>
      <w:r w:rsidRPr="0099260F">
        <w:t xml:space="preserve">event since </w:t>
      </w:r>
      <w:r>
        <w:t xml:space="preserve">the more comprehensive plans were completed in </w:t>
      </w:r>
      <w:r w:rsidRPr="0099260F">
        <w:t>2013</w:t>
      </w:r>
      <w:r>
        <w:t xml:space="preserve"> although</w:t>
      </w:r>
      <w:r w:rsidRPr="0099260F">
        <w:t xml:space="preserve"> </w:t>
      </w:r>
      <w:r>
        <w:t>some</w:t>
      </w:r>
      <w:r w:rsidRPr="0099260F">
        <w:t xml:space="preserve"> elements of </w:t>
      </w:r>
      <w:r>
        <w:t xml:space="preserve">the enterprise-wide </w:t>
      </w:r>
      <w:r w:rsidRPr="0099260F">
        <w:t>BCP have been utilized for conducting several mass notifications within PPL</w:t>
      </w:r>
      <w:r>
        <w:t xml:space="preserve"> Corporation.  </w:t>
      </w:r>
      <w:r w:rsidRPr="00DB7652">
        <w:rPr>
          <w:rFonts w:cs="Arial"/>
          <w:szCs w:val="24"/>
        </w:rPr>
        <w:t xml:space="preserve">The </w:t>
      </w:r>
      <w:r>
        <w:rPr>
          <w:rFonts w:cs="Arial"/>
          <w:szCs w:val="24"/>
        </w:rPr>
        <w:t xml:space="preserve">PPL SC emergency notification </w:t>
      </w:r>
      <w:r w:rsidRPr="00DB7652">
        <w:rPr>
          <w:rFonts w:cs="Arial"/>
          <w:szCs w:val="24"/>
        </w:rPr>
        <w:t xml:space="preserve">messaging system has preset templates for mass internal communications </w:t>
      </w:r>
      <w:r>
        <w:rPr>
          <w:rFonts w:cs="Arial"/>
          <w:szCs w:val="24"/>
        </w:rPr>
        <w:t xml:space="preserve">via phone or email to employees </w:t>
      </w:r>
      <w:r w:rsidRPr="00DB7652">
        <w:rPr>
          <w:rFonts w:cs="Arial"/>
          <w:szCs w:val="24"/>
        </w:rPr>
        <w:t>during a storm event</w:t>
      </w:r>
      <w:r>
        <w:rPr>
          <w:rFonts w:cs="Arial"/>
          <w:szCs w:val="24"/>
        </w:rPr>
        <w:t xml:space="preserve"> or other type of emergency situation requiring employee awareness</w:t>
      </w:r>
      <w:r w:rsidRPr="00DB7652">
        <w:rPr>
          <w:rFonts w:cs="Arial"/>
          <w:szCs w:val="24"/>
        </w:rPr>
        <w:t>.</w:t>
      </w:r>
      <w:r>
        <w:rPr>
          <w:rFonts w:cs="Arial"/>
          <w:szCs w:val="24"/>
        </w:rPr>
        <w:t xml:space="preserve">  The notification system was used to</w:t>
      </w:r>
      <w:r w:rsidRPr="0099260F">
        <w:t xml:space="preserve"> alert employees of a </w:t>
      </w:r>
      <w:r>
        <w:t>fugitive</w:t>
      </w:r>
      <w:r w:rsidRPr="0099260F">
        <w:t xml:space="preserve"> and manhunt in 2015</w:t>
      </w:r>
      <w:r>
        <w:rPr>
          <w:rFonts w:cs="Arial"/>
          <w:szCs w:val="24"/>
        </w:rPr>
        <w:t>.</w:t>
      </w:r>
    </w:p>
    <w:p w:rsidR="00286C71" w:rsidRDefault="00286C71" w:rsidP="00701DCF">
      <w:r>
        <w:t>The corporate EMP has only been activated at the Corporate Watch Level.</w:t>
      </w:r>
    </w:p>
    <w:p w:rsidR="00286C71" w:rsidRDefault="00286C71" w:rsidP="008F30B6">
      <w:pPr>
        <w:pStyle w:val="Heading-forToC"/>
      </w:pPr>
      <w:bookmarkStart w:id="177" w:name="_Toc464552038"/>
      <w:r w:rsidRPr="00053A01">
        <w:t>Findings</w:t>
      </w:r>
      <w:bookmarkEnd w:id="177"/>
    </w:p>
    <w:p w:rsidR="00286C71" w:rsidRDefault="00286C71" w:rsidP="00B86FA4">
      <w:pPr>
        <w:pStyle w:val="Findings"/>
        <w:numPr>
          <w:ilvl w:val="0"/>
          <w:numId w:val="25"/>
        </w:numPr>
      </w:pPr>
      <w:r>
        <w:t>The Corporate Business Continuity, Emergency Management, and Corporate Security policies and plans are comprehensive, well structured, and actively maintained.</w:t>
      </w:r>
    </w:p>
    <w:p w:rsidR="00286C71" w:rsidRPr="00492242" w:rsidRDefault="00286C71" w:rsidP="00701DCF">
      <w:r>
        <w:t>There has been active engagement in developing and strengthening the plans since 2012 and incorporating leading concepts and processes.  Use of the NFPA standards, Incident Command System, and implementing an all hazards approach are good practices.</w:t>
      </w:r>
    </w:p>
    <w:p w:rsidR="00286C71" w:rsidRDefault="00286C71" w:rsidP="00B86FA4">
      <w:pPr>
        <w:pStyle w:val="Findings"/>
        <w:numPr>
          <w:ilvl w:val="0"/>
          <w:numId w:val="25"/>
        </w:numPr>
      </w:pPr>
      <w:r>
        <w:t>The enterprise-wide plans are regularly exercised and include the involvement of external responders.</w:t>
      </w:r>
    </w:p>
    <w:p w:rsidR="00286C71" w:rsidRDefault="00286C71" w:rsidP="00701DCF">
      <w:r>
        <w:t>PPL SC Protective Services has developed and exercised more comprehensive business continuity planning since 2012.  The active shooter exercise included significant involvement of local law enforcement and emergency personnel.</w:t>
      </w:r>
      <w:r w:rsidRPr="00A8557B">
        <w:t xml:space="preserve"> </w:t>
      </w:r>
      <w:r>
        <w:t xml:space="preserve"> No actual events have challenged the effectiveness of the plan implementation; however, the plans are based upon leading security and business continuity standards and practices.</w:t>
      </w:r>
    </w:p>
    <w:p w:rsidR="00286C71" w:rsidRDefault="00286C71" w:rsidP="00B86FA4">
      <w:pPr>
        <w:pStyle w:val="Findings"/>
        <w:numPr>
          <w:ilvl w:val="0"/>
          <w:numId w:val="25"/>
        </w:numPr>
      </w:pPr>
      <w:r>
        <w:lastRenderedPageBreak/>
        <w:t>The Emergency Management Plan does not provide specific guidance for participating in a unified command structure under PEMA in major state-wide emergencies that also impact PPL Corporation facilities.</w:t>
      </w:r>
    </w:p>
    <w:p w:rsidR="00286C71" w:rsidRPr="001539C2" w:rsidRDefault="00286C71" w:rsidP="00701DCF">
      <w:r w:rsidRPr="00007136">
        <w:t xml:space="preserve">Protective Services does not currently have a specific role defined, or a procedure developed, on who would represent PPL Corporation in </w:t>
      </w:r>
      <w:proofErr w:type="gramStart"/>
      <w:r w:rsidRPr="00007136">
        <w:t>a state</w:t>
      </w:r>
      <w:proofErr w:type="gramEnd"/>
      <w:r>
        <w:t>-</w:t>
      </w:r>
      <w:r w:rsidRPr="00007136">
        <w:t>level incident command center activation by the PA Emergency Management Agency (PEMA) as part of its Emergency Management Plan.</w:t>
      </w:r>
    </w:p>
    <w:p w:rsidR="00286C71" w:rsidRDefault="00286C71" w:rsidP="00B86FA4">
      <w:pPr>
        <w:pStyle w:val="Findings"/>
        <w:numPr>
          <w:ilvl w:val="0"/>
          <w:numId w:val="25"/>
        </w:numPr>
      </w:pPr>
      <w:r w:rsidRPr="001F1F97">
        <w:t xml:space="preserve">The </w:t>
      </w:r>
      <w:r>
        <w:t xml:space="preserve">business and systems </w:t>
      </w:r>
      <w:r w:rsidRPr="001F1F97">
        <w:t xml:space="preserve">recovery priorities established in the </w:t>
      </w:r>
      <w:r>
        <w:t>Corporate Business Continuity Plan</w:t>
      </w:r>
      <w:r w:rsidRPr="001F1F97">
        <w:t xml:space="preserve"> </w:t>
      </w:r>
      <w:r>
        <w:t xml:space="preserve">are not </w:t>
      </w:r>
      <w:r w:rsidRPr="001F1F97">
        <w:t xml:space="preserve">coordinated with the </w:t>
      </w:r>
      <w:r>
        <w:t xml:space="preserve">IT </w:t>
      </w:r>
      <w:r w:rsidRPr="001F1F97">
        <w:t xml:space="preserve">cyber security recovery priorities and </w:t>
      </w:r>
      <w:r>
        <w:t xml:space="preserve">PPL </w:t>
      </w:r>
      <w:r w:rsidRPr="001F1F97">
        <w:t>EU emergency response priorities.</w:t>
      </w:r>
    </w:p>
    <w:p w:rsidR="00286C71" w:rsidRPr="001F1F97" w:rsidRDefault="00286C71" w:rsidP="00701DCF">
      <w:r>
        <w:t>This issue was discussed during the audit and Protective Services has initiated an effort to develop a common criticality matrix with all PPL Corporation business continuity plan owners, including IT and PPL EU.</w:t>
      </w:r>
    </w:p>
    <w:p w:rsidR="00286C71" w:rsidRDefault="00286C71" w:rsidP="008F30B6">
      <w:pPr>
        <w:pStyle w:val="Heading-forToC"/>
      </w:pPr>
      <w:bookmarkStart w:id="178" w:name="_Toc464552039"/>
      <w:r>
        <w:t>Recommendations</w:t>
      </w:r>
      <w:bookmarkEnd w:id="178"/>
    </w:p>
    <w:p w:rsidR="00286C71" w:rsidRDefault="00C301B4" w:rsidP="004F00E5">
      <w:pPr>
        <w:pStyle w:val="Findings"/>
        <w:numPr>
          <w:ilvl w:val="0"/>
          <w:numId w:val="87"/>
        </w:numPr>
      </w:pPr>
      <w:r>
        <w:t>D</w:t>
      </w:r>
      <w:r w:rsidRPr="00B63D34">
        <w:t>esignate</w:t>
      </w:r>
      <w:r>
        <w:t xml:space="preserve"> an</w:t>
      </w:r>
      <w:r w:rsidRPr="00B63D34">
        <w:t xml:space="preserve"> individual to fulfill </w:t>
      </w:r>
      <w:r>
        <w:t xml:space="preserve">the </w:t>
      </w:r>
      <w:r w:rsidRPr="00B63D34">
        <w:t xml:space="preserve">specific role and responsibilities </w:t>
      </w:r>
      <w:r>
        <w:t>of</w:t>
      </w:r>
      <w:r w:rsidRPr="00B63D34">
        <w:t xml:space="preserve"> interfac</w:t>
      </w:r>
      <w:r>
        <w:t>ing</w:t>
      </w:r>
      <w:r w:rsidRPr="00B63D34">
        <w:t xml:space="preserve"> with PEMA in a state-wide event.  (See Finding 3)</w:t>
      </w:r>
    </w:p>
    <w:p w:rsidR="00286C71" w:rsidRDefault="00286C71" w:rsidP="00701DCF">
      <w:r>
        <w:t>Review the value of defining a specific role and responsibilities</w:t>
      </w:r>
      <w:r w:rsidRPr="00B46E3D">
        <w:t xml:space="preserve"> </w:t>
      </w:r>
      <w:r>
        <w:t xml:space="preserve">for PPL Corporation representation in coordinating activities </w:t>
      </w:r>
      <w:r w:rsidRPr="00B46E3D">
        <w:t xml:space="preserve">with PEMA in a state-wide emergency affecting PPL </w:t>
      </w:r>
      <w:r>
        <w:t xml:space="preserve">Corporation </w:t>
      </w:r>
      <w:r w:rsidRPr="00B46E3D">
        <w:t xml:space="preserve">facilities. </w:t>
      </w:r>
      <w:r>
        <w:t xml:space="preserve"> Should agreement be reached to </w:t>
      </w:r>
      <w:r w:rsidRPr="00B46E3D">
        <w:t xml:space="preserve">more specifically address coordination </w:t>
      </w:r>
      <w:r>
        <w:t>between PPL Corporation and PEMA, the Emergency Management Plan should be updated to include the responsibilities for this role and criteria for its activation.</w:t>
      </w:r>
    </w:p>
    <w:p w:rsidR="00286C71" w:rsidRDefault="00286C71" w:rsidP="004F00E5">
      <w:pPr>
        <w:pStyle w:val="Findings"/>
        <w:numPr>
          <w:ilvl w:val="0"/>
          <w:numId w:val="87"/>
        </w:numPr>
      </w:pPr>
      <w:r>
        <w:t>Complete the efforts to coordinate critical system priorities among PPL SC, IT, and PPL EU and integrate the results into the respective emergency response plans.  (See Finding 4)</w:t>
      </w:r>
    </w:p>
    <w:p w:rsidR="00286C71" w:rsidRDefault="00286C71" w:rsidP="00701DCF">
      <w:r>
        <w:t xml:space="preserve">A number of groups within PPL Corporation are involved in developing and maintaining components of the critical system recovery plans.  A common understanding of the functionality, business impact, interim solutions, and recovery approach is important in developing and implementing a coordinated response to events impacting critical systems. </w:t>
      </w:r>
    </w:p>
    <w:p w:rsidR="00286C71" w:rsidRPr="00A9344B" w:rsidRDefault="00286C71" w:rsidP="004F00E5">
      <w:pPr>
        <w:pStyle w:val="Heading2"/>
        <w:numPr>
          <w:ilvl w:val="0"/>
          <w:numId w:val="99"/>
        </w:numPr>
      </w:pPr>
      <w:bookmarkStart w:id="179" w:name="_Toc464552040"/>
      <w:r w:rsidRPr="00A9344B">
        <w:t>PPL EU System Damage and Storm Response</w:t>
      </w:r>
      <w:bookmarkEnd w:id="179"/>
    </w:p>
    <w:p w:rsidR="00977CA4" w:rsidRDefault="00977CA4" w:rsidP="008F30B6">
      <w:pPr>
        <w:pStyle w:val="Heading-forToC"/>
      </w:pPr>
      <w:bookmarkStart w:id="180" w:name="_Toc464552041"/>
      <w:r>
        <w:t>background</w:t>
      </w:r>
      <w:bookmarkEnd w:id="180"/>
    </w:p>
    <w:p w:rsidR="00286C71" w:rsidRDefault="00977CA4" w:rsidP="00977CA4">
      <w:pPr>
        <w:pStyle w:val="Heading40"/>
      </w:pPr>
      <w:r>
        <w:t>O</w:t>
      </w:r>
      <w:r w:rsidR="00286C71">
        <w:t xml:space="preserve">rganization </w:t>
      </w:r>
      <w:r>
        <w:t>S</w:t>
      </w:r>
      <w:r w:rsidR="00286C71">
        <w:t>tructure</w:t>
      </w:r>
    </w:p>
    <w:p w:rsidR="00286C71" w:rsidRDefault="00286C71" w:rsidP="00701DCF">
      <w:r>
        <w:t>The PPL EU Emergency Preparedness organization is shown in the following exhibit.</w:t>
      </w:r>
    </w:p>
    <w:p w:rsidR="00286C71" w:rsidRDefault="00ED6D61" w:rsidP="00ED6D61">
      <w:pPr>
        <w:pStyle w:val="Caption"/>
      </w:pPr>
      <w:bookmarkStart w:id="181" w:name="_Toc464552997"/>
      <w:r>
        <w:lastRenderedPageBreak/>
        <w:t xml:space="preserve">Exhibit </w:t>
      </w:r>
      <w:r w:rsidR="00CB2B2A">
        <w:fldChar w:fldCharType="begin"/>
      </w:r>
      <w:r w:rsidR="00EC053E">
        <w:instrText xml:space="preserve"> STYLEREF 1 \s </w:instrText>
      </w:r>
      <w:r w:rsidR="00CB2B2A">
        <w:fldChar w:fldCharType="separate"/>
      </w:r>
      <w:r w:rsidR="00CA3BDB">
        <w:rPr>
          <w:noProof/>
        </w:rPr>
        <w:t>VII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5A1330">
        <w:br/>
      </w:r>
      <w:r w:rsidR="00286C71">
        <w:t>PPL EU Emergency Preparedness Organization Structure</w:t>
      </w:r>
      <w:bookmarkEnd w:id="181"/>
    </w:p>
    <w:p w:rsidR="00286C71" w:rsidRDefault="00264AB6" w:rsidP="00701DCF">
      <w:r>
        <w:rPr>
          <w:noProof/>
        </w:rPr>
        <w:drawing>
          <wp:inline distT="0" distB="0" distL="0" distR="0">
            <wp:extent cx="5943600" cy="21831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PL-EU_EmergReponse_page70_v3.jpg"/>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183130"/>
                    </a:xfrm>
                    <a:prstGeom prst="rect">
                      <a:avLst/>
                    </a:prstGeom>
                  </pic:spPr>
                </pic:pic>
              </a:graphicData>
            </a:graphic>
          </wp:inline>
        </w:drawing>
      </w:r>
    </w:p>
    <w:p w:rsidR="00286C71" w:rsidRDefault="00286C71" w:rsidP="00701DCF">
      <w:pPr>
        <w:pStyle w:val="Normal-aftertable"/>
      </w:pPr>
      <w:r>
        <w:t>Source: DN 01-071</w:t>
      </w:r>
    </w:p>
    <w:p w:rsidR="00286C71" w:rsidRDefault="00286C71" w:rsidP="00701DCF">
      <w:pPr>
        <w:pStyle w:val="Normal-aftertable"/>
      </w:pPr>
      <w:r>
        <w:t>PPL EU Emergency Preparedness consists of three Emergency Planners and a Technical Training and Development specialist, all reporting to the Manager Emergency Preparedness.  Emergency Preparedness is part of the PPL EU Technical Development and Improvement organization which reports to the PPL EU President.</w:t>
      </w:r>
    </w:p>
    <w:p w:rsidR="00286C71" w:rsidRDefault="00286C71" w:rsidP="007B7458">
      <w:pPr>
        <w:pStyle w:val="Heading40"/>
      </w:pPr>
      <w:r>
        <w:t>Planning</w:t>
      </w:r>
    </w:p>
    <w:p w:rsidR="00286C71" w:rsidRDefault="00286C71" w:rsidP="00701DCF">
      <w:r>
        <w:t xml:space="preserve">The PPL EU Emergency Preparedness group (EP) is responsible for developing the </w:t>
      </w:r>
      <w:r>
        <w:rPr>
          <w:rFonts w:cs="Arial"/>
          <w:szCs w:val="24"/>
        </w:rPr>
        <w:t xml:space="preserve">response plans to all weather events impacting the PPL EU electric system and PPL EU’s response to non-weather events identified by PPL EU and PPL SC Protective Services.  </w:t>
      </w:r>
      <w:r>
        <w:t xml:space="preserve">The group maintains the </w:t>
      </w:r>
      <w:r>
        <w:rPr>
          <w:rFonts w:cs="Arial"/>
          <w:szCs w:val="24"/>
        </w:rPr>
        <w:t>PPL EU Emergency Response Plan, twelve Playbooks which are action plans for specific events, and approximately 400 procedures, checklists, job aids, and lists that support PPL EU emergency response for identified events.</w:t>
      </w:r>
      <w:r w:rsidRPr="00126C15">
        <w:t xml:space="preserve"> </w:t>
      </w:r>
      <w:r>
        <w:t xml:space="preserve"> EP emergency response planning is coordinated with Protective Services and IAG.</w:t>
      </w:r>
    </w:p>
    <w:p w:rsidR="00286C71" w:rsidRDefault="007B7458" w:rsidP="00701DCF">
      <w:pPr>
        <w:rPr>
          <w:rFonts w:cs="Arial"/>
          <w:szCs w:val="24"/>
        </w:rPr>
      </w:pPr>
      <w:proofErr w:type="gramStart"/>
      <w:r w:rsidRPr="007B7458">
        <w:rPr>
          <w:b/>
        </w:rPr>
        <w:t>Emergency Response Plan.</w:t>
      </w:r>
      <w:proofErr w:type="gramEnd"/>
      <w:r>
        <w:t xml:space="preserve">  </w:t>
      </w:r>
      <w:r w:rsidR="00286C71" w:rsidRPr="00DB7652">
        <w:rPr>
          <w:rFonts w:cs="Arial"/>
          <w:szCs w:val="24"/>
        </w:rPr>
        <w:t xml:space="preserve">The </w:t>
      </w:r>
      <w:r w:rsidR="00286C71">
        <w:rPr>
          <w:rFonts w:cs="Arial"/>
          <w:szCs w:val="24"/>
        </w:rPr>
        <w:t xml:space="preserve">PPL </w:t>
      </w:r>
      <w:r w:rsidR="00286C71" w:rsidRPr="00DB7652">
        <w:rPr>
          <w:rFonts w:cs="Arial"/>
          <w:szCs w:val="24"/>
        </w:rPr>
        <w:t>EU Emergency Response Plan</w:t>
      </w:r>
      <w:r w:rsidR="00286C71">
        <w:rPr>
          <w:rFonts w:cs="Arial"/>
          <w:szCs w:val="24"/>
        </w:rPr>
        <w:t xml:space="preserve"> </w:t>
      </w:r>
      <w:r w:rsidR="00286C71" w:rsidRPr="00DB7652">
        <w:rPr>
          <w:rFonts w:cs="Arial"/>
          <w:szCs w:val="24"/>
        </w:rPr>
        <w:t xml:space="preserve">defines the overall </w:t>
      </w:r>
      <w:r w:rsidR="00286C71">
        <w:rPr>
          <w:rFonts w:cs="Arial"/>
          <w:szCs w:val="24"/>
        </w:rPr>
        <w:t xml:space="preserve">PPL </w:t>
      </w:r>
      <w:r w:rsidR="00286C71" w:rsidRPr="00DB7652">
        <w:rPr>
          <w:rFonts w:cs="Arial"/>
          <w:szCs w:val="24"/>
        </w:rPr>
        <w:t>EU response process</w:t>
      </w:r>
      <w:r w:rsidR="00286C71">
        <w:rPr>
          <w:rFonts w:cs="Arial"/>
          <w:szCs w:val="24"/>
        </w:rPr>
        <w:t xml:space="preserve"> for events impacting the operation of the electric system</w:t>
      </w:r>
      <w:r w:rsidR="00286C71" w:rsidRPr="00DB7652">
        <w:rPr>
          <w:rFonts w:cs="Arial"/>
          <w:szCs w:val="24"/>
        </w:rPr>
        <w:t xml:space="preserve">.  </w:t>
      </w:r>
      <w:r w:rsidR="00286C71">
        <w:rPr>
          <w:rFonts w:cs="Arial"/>
          <w:szCs w:val="24"/>
        </w:rPr>
        <w:t>The plan establishes the organizational structure, roles, responsibilities, and procedures necessary for restoration of the electric system.  Historically, weather events have been the principal cause of wide-spread damage to the electric system.  Consequently, the Plan is based on the magnitude of impact of storm events on the electric system; however, the plan response framework is also applicable to non-weather events that may cause extensive damage to the electric system.</w:t>
      </w:r>
    </w:p>
    <w:p w:rsidR="00286C71" w:rsidRDefault="00286C71" w:rsidP="00701DCF">
      <w:pPr>
        <w:rPr>
          <w:rFonts w:cs="Arial"/>
          <w:szCs w:val="24"/>
        </w:rPr>
      </w:pPr>
      <w:r>
        <w:rPr>
          <w:rFonts w:cs="Arial"/>
          <w:szCs w:val="24"/>
        </w:rPr>
        <w:t>Four emergency event levels are established in the plan based upon the severity of the interruptions to the electric system:</w:t>
      </w:r>
    </w:p>
    <w:p w:rsidR="00286C71" w:rsidRDefault="00286C71" w:rsidP="00701DCF">
      <w:pPr>
        <w:pStyle w:val="Bullet"/>
      </w:pPr>
      <w:r>
        <w:t>Level 1 – Area Storm, impacting less than 35,000 customers within one to two regions with expected restoration within 24 hours.</w:t>
      </w:r>
    </w:p>
    <w:p w:rsidR="00286C71" w:rsidRDefault="00286C71" w:rsidP="00701DCF">
      <w:pPr>
        <w:pStyle w:val="Bullet"/>
      </w:pPr>
      <w:r>
        <w:t>Level 2 – Area Storm, impacting from 35,000 to 70,000 customers within two to four regions with expected restoration within 48 hours.</w:t>
      </w:r>
    </w:p>
    <w:p w:rsidR="00286C71" w:rsidRDefault="00286C71" w:rsidP="00701DCF">
      <w:pPr>
        <w:pStyle w:val="Bullet"/>
      </w:pPr>
      <w:r>
        <w:lastRenderedPageBreak/>
        <w:t>Level 3 – Regional Storm, impacting from 70,000 to 210,000 customers in more than four regions with expected restoration within 48 to 96 hours.</w:t>
      </w:r>
    </w:p>
    <w:p w:rsidR="00286C71" w:rsidRDefault="00286C71" w:rsidP="00701DCF">
      <w:pPr>
        <w:pStyle w:val="Bullet"/>
      </w:pPr>
      <w:r>
        <w:t>Level 4 – System Storm, impacting more than 210,000 customers across the entire system with expected restoration to exceed 96 hours.</w:t>
      </w:r>
      <w:r w:rsidRPr="00440B39">
        <w:t xml:space="preserve"> </w:t>
      </w:r>
    </w:p>
    <w:p w:rsidR="00286C71" w:rsidRDefault="00286C71" w:rsidP="00701DCF">
      <w:pPr>
        <w:pStyle w:val="Normal-aftertable"/>
      </w:pPr>
      <w:r w:rsidRPr="00FA2005">
        <w:t>The Emergency Response</w:t>
      </w:r>
      <w:r w:rsidRPr="00DB7652">
        <w:t xml:space="preserve"> Plan</w:t>
      </w:r>
      <w:r>
        <w:t xml:space="preserve"> anticipates that PPL EU employees and PPL EU contractors will provide sufficient resources to respond to Level 1 and some Level 2 storms.  Larger storm events may require the assistance of additional contractor crews and crews from other utilities to achieve timely restoration of service.</w:t>
      </w:r>
    </w:p>
    <w:p w:rsidR="00286C71" w:rsidRDefault="00286C71" w:rsidP="00701DCF">
      <w:pPr>
        <w:rPr>
          <w:rFonts w:cs="Arial"/>
          <w:szCs w:val="24"/>
        </w:rPr>
      </w:pPr>
      <w:r>
        <w:rPr>
          <w:rFonts w:cs="Arial"/>
          <w:szCs w:val="24"/>
        </w:rPr>
        <w:t>The storm damage prediction model forecasts resource needs based upon the type of the storm, region of impact, and the type of electric facilities involved.  The resource estimate is used to assess the adequacy of available PPL EU crews and contractors to effectively perform the restoration efforts.  Based on the number of additional resource needs identified, PPL EU will initiate calls to LGE/KU or other utilities to request mutual assistance.  For major storms this outreach will also involve contacting mutual assistance groups and affiliated utilities in Kentucky.</w:t>
      </w:r>
    </w:p>
    <w:p w:rsidR="00286C71" w:rsidRDefault="00286C71" w:rsidP="00701DCF">
      <w:pPr>
        <w:rPr>
          <w:rFonts w:cs="Arial"/>
          <w:szCs w:val="24"/>
        </w:rPr>
      </w:pPr>
      <w:r>
        <w:rPr>
          <w:rFonts w:cs="Arial"/>
          <w:szCs w:val="24"/>
        </w:rPr>
        <w:t>The mutual assistance groups in the northeast were consolidated into the North Atlantic Mutual Assistance Group after Hurricane Sandy.  PPL EU is a member of this group and the Southeastern Electric Exchange.  In addition, PPL EU has mutual aid agreements with its affiliated electric utilities in Kentucky; Louisville Gas and Electric and Kentucky Utilities.</w:t>
      </w:r>
    </w:p>
    <w:p w:rsidR="00286C71" w:rsidRDefault="00286C71" w:rsidP="00701DCF">
      <w:pPr>
        <w:rPr>
          <w:rFonts w:cs="Arial"/>
          <w:szCs w:val="24"/>
        </w:rPr>
      </w:pPr>
      <w:r>
        <w:rPr>
          <w:rFonts w:cs="Arial"/>
          <w:szCs w:val="24"/>
        </w:rPr>
        <w:t>PPL EU is considering reducing the number of emergency event levels to two since the nature of the organization response to level 1 and 2 involves the same procedures and systems.  Similarly levels 3 and 4 may be combined since both involve the added components of restoration planning and resource and logistics support for foreign contractors and utility crews.</w:t>
      </w:r>
    </w:p>
    <w:p w:rsidR="00286C71" w:rsidRDefault="00286C71" w:rsidP="00701DCF">
      <w:pPr>
        <w:rPr>
          <w:rFonts w:cs="Arial"/>
          <w:szCs w:val="24"/>
        </w:rPr>
      </w:pPr>
      <w:r>
        <w:rPr>
          <w:rFonts w:cs="Arial"/>
          <w:szCs w:val="24"/>
        </w:rPr>
        <w:t xml:space="preserve">The </w:t>
      </w:r>
      <w:r w:rsidRPr="00DB7652">
        <w:rPr>
          <w:rFonts w:cs="Arial"/>
          <w:szCs w:val="24"/>
        </w:rPr>
        <w:t>Emergency Response Plan</w:t>
      </w:r>
      <w:r>
        <w:rPr>
          <w:rFonts w:cs="Arial"/>
          <w:szCs w:val="24"/>
        </w:rPr>
        <w:t xml:space="preserve"> is thorough and includes information on roles and responsibilities for the Human Resources, Safety, Supply Chain, Corporate Communications, Customer Services, Finance, Logistics, Government and Regulatory Affairs, and Information Technology functions.  The </w:t>
      </w:r>
      <w:r w:rsidRPr="00DB7652">
        <w:rPr>
          <w:rFonts w:cs="Arial"/>
          <w:szCs w:val="24"/>
        </w:rPr>
        <w:t>Emergency Response Plan</w:t>
      </w:r>
      <w:r>
        <w:rPr>
          <w:rFonts w:cs="Arial"/>
          <w:szCs w:val="24"/>
        </w:rPr>
        <w:t xml:space="preserve"> establishes processes for pre-event identification and planning, weather monitoring, damage assessment, restoration coordination and operations, mutual assistance, crew logistics, and reporting.</w:t>
      </w:r>
    </w:p>
    <w:p w:rsidR="00286C71" w:rsidRDefault="00286C71" w:rsidP="00701DCF">
      <w:pPr>
        <w:rPr>
          <w:rFonts w:cs="Arial"/>
          <w:szCs w:val="24"/>
        </w:rPr>
      </w:pPr>
      <w:r>
        <w:rPr>
          <w:rFonts w:cs="Arial"/>
          <w:szCs w:val="24"/>
        </w:rPr>
        <w:t xml:space="preserve">The emergency response organization structure is established in the </w:t>
      </w:r>
      <w:r w:rsidRPr="00DB7652">
        <w:rPr>
          <w:rFonts w:cs="Arial"/>
          <w:szCs w:val="24"/>
        </w:rPr>
        <w:t>Emergency Response Plan</w:t>
      </w:r>
      <w:r>
        <w:rPr>
          <w:rFonts w:cs="Arial"/>
          <w:szCs w:val="24"/>
        </w:rPr>
        <w:t>.  For the localized Level 1 and Level 2 events, typically one or two Regional Command Centers (RCCs) will be activated.  The RCC operations are led by a Regional Emergency Manager (REM).  The REM and support staff is located in the RCC, and are responsible for deployment of restoration resources in the assigned region.</w:t>
      </w:r>
    </w:p>
    <w:p w:rsidR="00286C71" w:rsidRPr="00DB7652" w:rsidRDefault="00286C71" w:rsidP="00701DCF">
      <w:pPr>
        <w:rPr>
          <w:rFonts w:cs="Arial"/>
          <w:szCs w:val="24"/>
        </w:rPr>
      </w:pPr>
      <w:r w:rsidRPr="00DB7652">
        <w:rPr>
          <w:rFonts w:cs="Arial"/>
          <w:szCs w:val="24"/>
        </w:rPr>
        <w:t xml:space="preserve">The </w:t>
      </w:r>
      <w:r>
        <w:rPr>
          <w:rFonts w:cs="Arial"/>
          <w:szCs w:val="24"/>
        </w:rPr>
        <w:t>Emergency Command Center (ECC) ma</w:t>
      </w:r>
      <w:r w:rsidRPr="00DB7652">
        <w:rPr>
          <w:rFonts w:cs="Arial"/>
          <w:szCs w:val="24"/>
        </w:rPr>
        <w:t xml:space="preserve">y be activated in advance of major storms </w:t>
      </w:r>
      <w:r>
        <w:rPr>
          <w:rFonts w:cs="Arial"/>
          <w:szCs w:val="24"/>
        </w:rPr>
        <w:t>in which</w:t>
      </w:r>
      <w:r w:rsidRPr="00DB7652">
        <w:rPr>
          <w:rFonts w:cs="Arial"/>
          <w:szCs w:val="24"/>
        </w:rPr>
        <w:t xml:space="preserve"> the damage prediction model predicts significant outage events. </w:t>
      </w:r>
      <w:r>
        <w:rPr>
          <w:rFonts w:cs="Arial"/>
          <w:szCs w:val="24"/>
        </w:rPr>
        <w:t xml:space="preserve"> </w:t>
      </w:r>
      <w:r w:rsidRPr="00DB7652">
        <w:rPr>
          <w:rFonts w:cs="Arial"/>
          <w:szCs w:val="24"/>
        </w:rPr>
        <w:t xml:space="preserve">The </w:t>
      </w:r>
      <w:r>
        <w:rPr>
          <w:rFonts w:cs="Arial"/>
          <w:szCs w:val="24"/>
        </w:rPr>
        <w:t>Distribution Control Center</w:t>
      </w:r>
      <w:r w:rsidRPr="00DB7652">
        <w:rPr>
          <w:rFonts w:cs="Arial"/>
          <w:szCs w:val="24"/>
        </w:rPr>
        <w:t xml:space="preserve"> </w:t>
      </w:r>
      <w:r>
        <w:rPr>
          <w:rFonts w:cs="Arial"/>
          <w:szCs w:val="24"/>
        </w:rPr>
        <w:t xml:space="preserve">shift </w:t>
      </w:r>
      <w:r w:rsidRPr="00DB7652">
        <w:rPr>
          <w:rFonts w:cs="Arial"/>
          <w:szCs w:val="24"/>
        </w:rPr>
        <w:t xml:space="preserve">supervisor will contact the </w:t>
      </w:r>
      <w:r>
        <w:rPr>
          <w:rFonts w:cs="Arial"/>
          <w:szCs w:val="24"/>
        </w:rPr>
        <w:t>System Support Director (</w:t>
      </w:r>
      <w:r w:rsidRPr="00DB7652">
        <w:rPr>
          <w:rFonts w:cs="Arial"/>
          <w:szCs w:val="24"/>
        </w:rPr>
        <w:t>SSD</w:t>
      </w:r>
      <w:r>
        <w:rPr>
          <w:rFonts w:cs="Arial"/>
          <w:szCs w:val="24"/>
        </w:rPr>
        <w:t>)</w:t>
      </w:r>
      <w:r w:rsidRPr="00DB7652">
        <w:rPr>
          <w:rFonts w:cs="Arial"/>
          <w:szCs w:val="24"/>
        </w:rPr>
        <w:t xml:space="preserve"> when unanticipated events lead to trouble spots approaching 25 or more </w:t>
      </w:r>
      <w:r w:rsidRPr="00DB7652">
        <w:rPr>
          <w:rFonts w:cs="Arial"/>
          <w:szCs w:val="24"/>
        </w:rPr>
        <w:lastRenderedPageBreak/>
        <w:t>locations and the storm has not abated.</w:t>
      </w:r>
      <w:r>
        <w:rPr>
          <w:rFonts w:cs="Arial"/>
          <w:szCs w:val="24"/>
        </w:rPr>
        <w:t xml:space="preserve">  A trouble spot is a location on the electric system that is out of service due to damage and is causing customers to be interrupted.</w:t>
      </w:r>
    </w:p>
    <w:p w:rsidR="00286C71" w:rsidRDefault="00286C71" w:rsidP="00701DCF">
      <w:pPr>
        <w:rPr>
          <w:rFonts w:cs="Arial"/>
          <w:szCs w:val="24"/>
        </w:rPr>
      </w:pPr>
      <w:r>
        <w:rPr>
          <w:rFonts w:cs="Arial"/>
          <w:szCs w:val="24"/>
        </w:rPr>
        <w:t>The SSD is responsible for monitoring weather events and updating the Director of System Emergencies (DSE) on developing storms that may impact the electric system.  The SSD is also responsible for managing the operation of the Emergency Command Center once it is activated.</w:t>
      </w:r>
    </w:p>
    <w:p w:rsidR="00286C71" w:rsidRDefault="00286C71" w:rsidP="00701DCF">
      <w:pPr>
        <w:rPr>
          <w:rFonts w:cs="Arial"/>
          <w:szCs w:val="24"/>
        </w:rPr>
      </w:pPr>
      <w:r>
        <w:rPr>
          <w:rFonts w:cs="Arial"/>
          <w:szCs w:val="24"/>
        </w:rPr>
        <w:t>The DSE will activate the ECC when an event is expected to require the coordination of resources between several regions or the use of external contractors and utility crews.</w:t>
      </w:r>
    </w:p>
    <w:p w:rsidR="00286C71" w:rsidRDefault="00286C71" w:rsidP="00701DCF">
      <w:pPr>
        <w:rPr>
          <w:rFonts w:cs="Arial"/>
          <w:szCs w:val="24"/>
        </w:rPr>
      </w:pPr>
      <w:r>
        <w:rPr>
          <w:rFonts w:cs="Arial"/>
          <w:szCs w:val="24"/>
        </w:rPr>
        <w:t xml:space="preserve">The DSE, located in the ECC, leads the overall PPL EU response efforts.  </w:t>
      </w:r>
      <w:r w:rsidRPr="00DB7652">
        <w:rPr>
          <w:rFonts w:cs="Arial"/>
          <w:szCs w:val="24"/>
        </w:rPr>
        <w:t>The DSE provides oversight and support to the R</w:t>
      </w:r>
      <w:r>
        <w:rPr>
          <w:rFonts w:cs="Arial"/>
          <w:szCs w:val="24"/>
        </w:rPr>
        <w:t>CCs</w:t>
      </w:r>
      <w:r w:rsidRPr="00DB7652">
        <w:rPr>
          <w:rFonts w:cs="Arial"/>
          <w:szCs w:val="24"/>
        </w:rPr>
        <w:t xml:space="preserve"> wh</w:t>
      </w:r>
      <w:r>
        <w:rPr>
          <w:rFonts w:cs="Arial"/>
          <w:szCs w:val="24"/>
        </w:rPr>
        <w:t>ich</w:t>
      </w:r>
      <w:r w:rsidRPr="00DB7652">
        <w:rPr>
          <w:rFonts w:cs="Arial"/>
          <w:szCs w:val="24"/>
        </w:rPr>
        <w:t xml:space="preserve"> are responsible for restoration activities</w:t>
      </w:r>
      <w:r>
        <w:rPr>
          <w:rFonts w:cs="Arial"/>
          <w:szCs w:val="24"/>
        </w:rPr>
        <w:t xml:space="preserve"> in the field</w:t>
      </w:r>
      <w:r w:rsidRPr="00DB7652">
        <w:rPr>
          <w:rFonts w:cs="Arial"/>
          <w:szCs w:val="24"/>
        </w:rPr>
        <w:t xml:space="preserve">.  The </w:t>
      </w:r>
      <w:r>
        <w:rPr>
          <w:rFonts w:cs="Arial"/>
          <w:szCs w:val="24"/>
        </w:rPr>
        <w:t>ECC coordinates movement of</w:t>
      </w:r>
      <w:r w:rsidRPr="00DB7652">
        <w:rPr>
          <w:rFonts w:cs="Arial"/>
          <w:szCs w:val="24"/>
        </w:rPr>
        <w:t xml:space="preserve"> resources from unaffected regions.</w:t>
      </w:r>
    </w:p>
    <w:p w:rsidR="00286C71" w:rsidRDefault="00286C71" w:rsidP="00701DCF">
      <w:pPr>
        <w:rPr>
          <w:rFonts w:cs="Arial"/>
          <w:szCs w:val="24"/>
        </w:rPr>
      </w:pPr>
      <w:r>
        <w:rPr>
          <w:rFonts w:cs="Arial"/>
          <w:szCs w:val="24"/>
        </w:rPr>
        <w:t>The Director of System Emergencies has the following direct reports in an emergency response event:</w:t>
      </w:r>
    </w:p>
    <w:p w:rsidR="00286C71" w:rsidRPr="0090478A" w:rsidRDefault="00286C71" w:rsidP="00701DCF">
      <w:pPr>
        <w:pStyle w:val="Bullet"/>
      </w:pPr>
      <w:r>
        <w:t>System Support Director – responsible for operation of the Emergency Command Center and support logistics for crews if necessary</w:t>
      </w:r>
    </w:p>
    <w:p w:rsidR="00286C71" w:rsidRPr="0090478A" w:rsidRDefault="00286C71" w:rsidP="00701DCF">
      <w:pPr>
        <w:pStyle w:val="Bullet"/>
      </w:pPr>
      <w:r w:rsidRPr="0090478A">
        <w:t>Information Officer</w:t>
      </w:r>
      <w:r>
        <w:t xml:space="preserve"> – responsible for external communications</w:t>
      </w:r>
    </w:p>
    <w:p w:rsidR="00286C71" w:rsidRPr="0090478A" w:rsidRDefault="00286C71" w:rsidP="00701DCF">
      <w:pPr>
        <w:pStyle w:val="Bullet"/>
      </w:pPr>
      <w:r>
        <w:t>Restoration Lead – when required for larger events to coordinate restoration resources and priorities</w:t>
      </w:r>
    </w:p>
    <w:p w:rsidR="00286C71" w:rsidRPr="0090478A" w:rsidRDefault="00286C71" w:rsidP="00701DCF">
      <w:pPr>
        <w:pStyle w:val="Bullet"/>
      </w:pPr>
      <w:r w:rsidRPr="0090478A">
        <w:t>Customer Service Lead</w:t>
      </w:r>
      <w:r>
        <w:t xml:space="preserve"> – responsible for coordinating with PPL EU Customer Services operations</w:t>
      </w:r>
    </w:p>
    <w:p w:rsidR="00286C71" w:rsidRPr="0090478A" w:rsidRDefault="00286C71" w:rsidP="00701DCF">
      <w:pPr>
        <w:pStyle w:val="Bullet"/>
      </w:pPr>
      <w:r>
        <w:t>Regional Command Centers – the Regional Emergency Managers located at activated RCCs</w:t>
      </w:r>
    </w:p>
    <w:p w:rsidR="00286C71" w:rsidRDefault="00286C71" w:rsidP="00701DCF">
      <w:pPr>
        <w:pStyle w:val="Normal-aftertable"/>
      </w:pPr>
      <w:r>
        <w:t>The emergency response SharePoint site home page is used in the Emergency Command Center to show overall status of the electric system and outage events and is used by the DSE, SSD, and the team leads to monitor the progress of the restoration efforts.</w:t>
      </w:r>
    </w:p>
    <w:p w:rsidR="00286C71" w:rsidRPr="00DB7652" w:rsidRDefault="00286C71" w:rsidP="00701DCF">
      <w:pPr>
        <w:rPr>
          <w:rFonts w:cs="Arial"/>
          <w:szCs w:val="24"/>
        </w:rPr>
      </w:pPr>
      <w:r w:rsidRPr="00DB7652">
        <w:rPr>
          <w:rFonts w:cs="Arial"/>
          <w:szCs w:val="24"/>
        </w:rPr>
        <w:t xml:space="preserve">Upon activation of the </w:t>
      </w:r>
      <w:r>
        <w:rPr>
          <w:rFonts w:cs="Arial"/>
          <w:szCs w:val="24"/>
        </w:rPr>
        <w:t>Emergency Command Center</w:t>
      </w:r>
      <w:r w:rsidRPr="00DB7652">
        <w:rPr>
          <w:rFonts w:cs="Arial"/>
          <w:szCs w:val="24"/>
        </w:rPr>
        <w:t>, the P</w:t>
      </w:r>
      <w:r>
        <w:rPr>
          <w:rFonts w:cs="Arial"/>
          <w:szCs w:val="24"/>
        </w:rPr>
        <w:t xml:space="preserve">ublic </w:t>
      </w:r>
      <w:r w:rsidRPr="00DB7652">
        <w:rPr>
          <w:rFonts w:cs="Arial"/>
          <w:szCs w:val="24"/>
        </w:rPr>
        <w:t>U</w:t>
      </w:r>
      <w:r>
        <w:rPr>
          <w:rFonts w:cs="Arial"/>
          <w:szCs w:val="24"/>
        </w:rPr>
        <w:t xml:space="preserve">tility </w:t>
      </w:r>
      <w:r w:rsidRPr="00DB7652">
        <w:rPr>
          <w:rFonts w:cs="Arial"/>
          <w:szCs w:val="24"/>
        </w:rPr>
        <w:t>C</w:t>
      </w:r>
      <w:r>
        <w:rPr>
          <w:rFonts w:cs="Arial"/>
          <w:szCs w:val="24"/>
        </w:rPr>
        <w:t xml:space="preserve">ommission </w:t>
      </w:r>
      <w:r w:rsidRPr="00DB7652">
        <w:rPr>
          <w:rFonts w:cs="Arial"/>
          <w:szCs w:val="24"/>
        </w:rPr>
        <w:t xml:space="preserve">is notified and the </w:t>
      </w:r>
      <w:r>
        <w:rPr>
          <w:rFonts w:cs="Arial"/>
          <w:szCs w:val="24"/>
        </w:rPr>
        <w:t>County EMA</w:t>
      </w:r>
      <w:r w:rsidRPr="00DB7652">
        <w:rPr>
          <w:rFonts w:cs="Arial"/>
          <w:szCs w:val="24"/>
        </w:rPr>
        <w:t xml:space="preserve"> liaisons may be briefed by the </w:t>
      </w:r>
      <w:r>
        <w:rPr>
          <w:rFonts w:cs="Arial"/>
          <w:szCs w:val="24"/>
        </w:rPr>
        <w:t>C</w:t>
      </w:r>
      <w:r w:rsidRPr="00DB7652">
        <w:rPr>
          <w:rFonts w:cs="Arial"/>
          <w:szCs w:val="24"/>
        </w:rPr>
        <w:t xml:space="preserve">orporate </w:t>
      </w:r>
      <w:r>
        <w:rPr>
          <w:rFonts w:cs="Arial"/>
          <w:szCs w:val="24"/>
        </w:rPr>
        <w:t>C</w:t>
      </w:r>
      <w:r w:rsidRPr="00DB7652">
        <w:rPr>
          <w:rFonts w:cs="Arial"/>
          <w:szCs w:val="24"/>
        </w:rPr>
        <w:t xml:space="preserve">ommunications Information </w:t>
      </w:r>
      <w:r>
        <w:rPr>
          <w:rFonts w:cs="Arial"/>
          <w:szCs w:val="24"/>
        </w:rPr>
        <w:t>O</w:t>
      </w:r>
      <w:r w:rsidRPr="00DB7652">
        <w:rPr>
          <w:rFonts w:cs="Arial"/>
          <w:szCs w:val="24"/>
        </w:rPr>
        <w:t xml:space="preserve">fficer in order to establish communications with representatives in affected communities.  </w:t>
      </w:r>
      <w:r>
        <w:rPr>
          <w:rFonts w:cs="Arial"/>
          <w:szCs w:val="24"/>
        </w:rPr>
        <w:t>County EMA</w:t>
      </w:r>
      <w:r w:rsidRPr="00DB7652">
        <w:rPr>
          <w:rFonts w:cs="Arial"/>
          <w:szCs w:val="24"/>
        </w:rPr>
        <w:t xml:space="preserve"> liaisons will be sent to a county emergency management agency (EMA)</w:t>
      </w:r>
      <w:r>
        <w:rPr>
          <w:rFonts w:cs="Arial"/>
          <w:szCs w:val="24"/>
        </w:rPr>
        <w:t xml:space="preserve"> location</w:t>
      </w:r>
      <w:r w:rsidRPr="00DB7652">
        <w:rPr>
          <w:rFonts w:cs="Arial"/>
          <w:szCs w:val="24"/>
        </w:rPr>
        <w:t xml:space="preserve"> </w:t>
      </w:r>
      <w:r>
        <w:rPr>
          <w:rFonts w:cs="Arial"/>
          <w:szCs w:val="24"/>
        </w:rPr>
        <w:t>for counties</w:t>
      </w:r>
      <w:r w:rsidRPr="00163F32">
        <w:rPr>
          <w:rFonts w:cs="Arial"/>
          <w:szCs w:val="24"/>
        </w:rPr>
        <w:t xml:space="preserve"> with a PPL Electric Utilities customer base of 10% or greater </w:t>
      </w:r>
      <w:r w:rsidRPr="00DB7652">
        <w:rPr>
          <w:rFonts w:cs="Arial"/>
          <w:szCs w:val="24"/>
        </w:rPr>
        <w:t xml:space="preserve">when the number of customer outages in that county exceeds approximately 10,000 </w:t>
      </w:r>
      <w:r>
        <w:rPr>
          <w:rFonts w:cs="Arial"/>
          <w:szCs w:val="24"/>
        </w:rPr>
        <w:t xml:space="preserve">or 20% of PPL </w:t>
      </w:r>
      <w:r w:rsidRPr="00DB7652">
        <w:rPr>
          <w:rFonts w:cs="Arial"/>
          <w:szCs w:val="24"/>
        </w:rPr>
        <w:t>customers or upon request from the EMA.</w:t>
      </w:r>
    </w:p>
    <w:p w:rsidR="00286C71" w:rsidRPr="00DB7652" w:rsidRDefault="00286C71" w:rsidP="00701DCF">
      <w:pPr>
        <w:rPr>
          <w:rFonts w:cs="Arial"/>
          <w:szCs w:val="24"/>
        </w:rPr>
      </w:pPr>
      <w:r w:rsidRPr="00DB7652">
        <w:rPr>
          <w:rFonts w:cs="Arial"/>
          <w:szCs w:val="24"/>
        </w:rPr>
        <w:t>Response priorities are established to respond</w:t>
      </w:r>
      <w:r>
        <w:rPr>
          <w:rFonts w:cs="Arial"/>
          <w:szCs w:val="24"/>
        </w:rPr>
        <w:t>, in order,</w:t>
      </w:r>
      <w:r w:rsidRPr="00DB7652">
        <w:rPr>
          <w:rFonts w:cs="Arial"/>
          <w:szCs w:val="24"/>
        </w:rPr>
        <w:t xml:space="preserve"> to 911 calls, wire down calls, and pole down calls.  Restoration priorities are focused on restoring main lines first and then the laterals.</w:t>
      </w:r>
    </w:p>
    <w:p w:rsidR="00286C71" w:rsidRPr="00DB7652" w:rsidRDefault="00286C71" w:rsidP="00701DCF">
      <w:pPr>
        <w:rPr>
          <w:rFonts w:cs="Arial"/>
          <w:szCs w:val="24"/>
        </w:rPr>
      </w:pPr>
      <w:r w:rsidRPr="00DB7652">
        <w:rPr>
          <w:rFonts w:cs="Arial"/>
          <w:szCs w:val="24"/>
        </w:rPr>
        <w:t xml:space="preserve">The </w:t>
      </w:r>
      <w:r>
        <w:rPr>
          <w:rFonts w:cs="Arial"/>
          <w:szCs w:val="24"/>
        </w:rPr>
        <w:t>ECC</w:t>
      </w:r>
      <w:r w:rsidRPr="00DB7652">
        <w:rPr>
          <w:rFonts w:cs="Arial"/>
          <w:szCs w:val="24"/>
        </w:rPr>
        <w:t xml:space="preserve"> is generally deactivated when the RCCs shut down o</w:t>
      </w:r>
      <w:r>
        <w:rPr>
          <w:rFonts w:cs="Arial"/>
          <w:szCs w:val="24"/>
        </w:rPr>
        <w:t>r</w:t>
      </w:r>
      <w:r w:rsidRPr="00DB7652">
        <w:rPr>
          <w:rFonts w:cs="Arial"/>
          <w:szCs w:val="24"/>
        </w:rPr>
        <w:t xml:space="preserve"> until only one is open and </w:t>
      </w:r>
      <w:r>
        <w:rPr>
          <w:rFonts w:cs="Arial"/>
          <w:szCs w:val="24"/>
        </w:rPr>
        <w:t xml:space="preserve">electric </w:t>
      </w:r>
      <w:r w:rsidRPr="00DB7652">
        <w:rPr>
          <w:rFonts w:cs="Arial"/>
          <w:szCs w:val="24"/>
        </w:rPr>
        <w:t>operations are largely back to normal.</w:t>
      </w:r>
    </w:p>
    <w:p w:rsidR="00286C71" w:rsidRDefault="00286C71" w:rsidP="00701DCF">
      <w:pPr>
        <w:rPr>
          <w:rFonts w:cs="Arial"/>
          <w:szCs w:val="24"/>
        </w:rPr>
      </w:pPr>
      <w:r>
        <w:rPr>
          <w:rFonts w:cs="Arial"/>
          <w:szCs w:val="24"/>
        </w:rPr>
        <w:t xml:space="preserve">The most recent comprehensive review and update of the PPL EU Emergency Response Plan was completed in September 2013.  Some portions of the contents and </w:t>
      </w:r>
      <w:r>
        <w:rPr>
          <w:rFonts w:cs="Arial"/>
          <w:szCs w:val="24"/>
        </w:rPr>
        <w:lastRenderedPageBreak/>
        <w:t>appendices have been updated since then, however there is no revision history maintained for this document.</w:t>
      </w:r>
    </w:p>
    <w:p w:rsidR="00286C71" w:rsidRPr="00755294" w:rsidRDefault="00286C71" w:rsidP="00701DCF">
      <w:r>
        <w:t xml:space="preserve">The </w:t>
      </w:r>
      <w:r>
        <w:rPr>
          <w:rFonts w:cs="Arial"/>
          <w:szCs w:val="24"/>
        </w:rPr>
        <w:t>Director, PPL EU Technical Development and Improvement, is co-chair of the Critical Infrastructure Interdependency Working Group (CIIWG), a committee working to improve coordination of restoration efforts.  The committee includes representatives from across industry and governmental agencies.</w:t>
      </w:r>
    </w:p>
    <w:p w:rsidR="00286C71" w:rsidRDefault="00286C71" w:rsidP="00701DCF">
      <w:pPr>
        <w:rPr>
          <w:rFonts w:cs="Arial"/>
          <w:szCs w:val="24"/>
        </w:rPr>
      </w:pPr>
      <w:proofErr w:type="gramStart"/>
      <w:r w:rsidRPr="007B7458">
        <w:rPr>
          <w:b/>
        </w:rPr>
        <w:t>Playbooks</w:t>
      </w:r>
      <w:r w:rsidR="007B7458" w:rsidRPr="007B7458">
        <w:rPr>
          <w:b/>
        </w:rPr>
        <w:t>.</w:t>
      </w:r>
      <w:proofErr w:type="gramEnd"/>
      <w:r w:rsidR="007B7458">
        <w:t xml:space="preserve">  </w:t>
      </w:r>
      <w:r>
        <w:rPr>
          <w:rFonts w:cs="Arial"/>
          <w:szCs w:val="24"/>
        </w:rPr>
        <w:t xml:space="preserve">The PPL EU EP group </w:t>
      </w:r>
      <w:r>
        <w:t xml:space="preserve">develops Playbooks covering actions for transmission and distribution response to defined events.  </w:t>
      </w:r>
      <w:r w:rsidRPr="00DB7652">
        <w:rPr>
          <w:rFonts w:cs="Arial"/>
          <w:szCs w:val="24"/>
        </w:rPr>
        <w:t xml:space="preserve">Typical </w:t>
      </w:r>
      <w:r>
        <w:rPr>
          <w:rFonts w:cs="Arial"/>
          <w:szCs w:val="24"/>
        </w:rPr>
        <w:t>P</w:t>
      </w:r>
      <w:r w:rsidRPr="00DB7652">
        <w:rPr>
          <w:rFonts w:cs="Arial"/>
          <w:szCs w:val="24"/>
        </w:rPr>
        <w:t xml:space="preserve">laybook </w:t>
      </w:r>
      <w:r>
        <w:rPr>
          <w:rFonts w:cs="Arial"/>
          <w:szCs w:val="24"/>
        </w:rPr>
        <w:t xml:space="preserve">event </w:t>
      </w:r>
      <w:r w:rsidRPr="00DB7652">
        <w:rPr>
          <w:rFonts w:cs="Arial"/>
          <w:szCs w:val="24"/>
        </w:rPr>
        <w:t>considerations include magnitude, time</w:t>
      </w:r>
      <w:r>
        <w:rPr>
          <w:rFonts w:cs="Arial"/>
          <w:szCs w:val="24"/>
        </w:rPr>
        <w:t>-</w:t>
      </w:r>
      <w:r w:rsidRPr="00DB7652">
        <w:rPr>
          <w:rFonts w:cs="Arial"/>
          <w:szCs w:val="24"/>
        </w:rPr>
        <w:t>of</w:t>
      </w:r>
      <w:r>
        <w:rPr>
          <w:rFonts w:cs="Arial"/>
          <w:szCs w:val="24"/>
        </w:rPr>
        <w:t>-</w:t>
      </w:r>
      <w:r w:rsidRPr="00DB7652">
        <w:rPr>
          <w:rFonts w:cs="Arial"/>
          <w:szCs w:val="24"/>
        </w:rPr>
        <w:t>day, time</w:t>
      </w:r>
      <w:r>
        <w:rPr>
          <w:rFonts w:cs="Arial"/>
          <w:szCs w:val="24"/>
        </w:rPr>
        <w:t>-</w:t>
      </w:r>
      <w:r w:rsidRPr="00DB7652">
        <w:rPr>
          <w:rFonts w:cs="Arial"/>
          <w:szCs w:val="24"/>
        </w:rPr>
        <w:t>of</w:t>
      </w:r>
      <w:r>
        <w:rPr>
          <w:rFonts w:cs="Arial"/>
          <w:szCs w:val="24"/>
        </w:rPr>
        <w:t>-year, and available resources</w:t>
      </w:r>
      <w:r w:rsidRPr="00DB7652">
        <w:rPr>
          <w:rFonts w:cs="Arial"/>
          <w:szCs w:val="24"/>
        </w:rPr>
        <w:t>.</w:t>
      </w:r>
      <w:r>
        <w:rPr>
          <w:rFonts w:cs="Arial"/>
          <w:szCs w:val="24"/>
        </w:rPr>
        <w:t xml:space="preserve">  The Playbooks cover:</w:t>
      </w:r>
    </w:p>
    <w:p w:rsidR="00286C71" w:rsidRPr="001E2869" w:rsidRDefault="00286C71" w:rsidP="00701DCF">
      <w:pPr>
        <w:pStyle w:val="Bullet"/>
      </w:pPr>
      <w:r w:rsidRPr="001E2869">
        <w:t>Extreme Cold</w:t>
      </w:r>
    </w:p>
    <w:p w:rsidR="00286C71" w:rsidRPr="001E2869" w:rsidRDefault="00286C71" w:rsidP="00701DCF">
      <w:pPr>
        <w:pStyle w:val="Bullet"/>
      </w:pPr>
      <w:r w:rsidRPr="001E2869">
        <w:t>Extreme Heat</w:t>
      </w:r>
    </w:p>
    <w:p w:rsidR="00286C71" w:rsidRPr="001E2869" w:rsidRDefault="00286C71" w:rsidP="00701DCF">
      <w:pPr>
        <w:pStyle w:val="Bullet"/>
      </w:pPr>
      <w:r w:rsidRPr="001E2869">
        <w:t>Flood</w:t>
      </w:r>
    </w:p>
    <w:p w:rsidR="00286C71" w:rsidRPr="001E2869" w:rsidRDefault="00286C71" w:rsidP="00701DCF">
      <w:pPr>
        <w:pStyle w:val="Bullet"/>
      </w:pPr>
      <w:r w:rsidRPr="001E2869">
        <w:t>Hurricane</w:t>
      </w:r>
    </w:p>
    <w:p w:rsidR="00286C71" w:rsidRPr="001E2869" w:rsidRDefault="00286C71" w:rsidP="00701DCF">
      <w:pPr>
        <w:pStyle w:val="Bullet"/>
      </w:pPr>
      <w:r w:rsidRPr="001E2869">
        <w:t>Load Shed</w:t>
      </w:r>
    </w:p>
    <w:p w:rsidR="00286C71" w:rsidRPr="001E2869" w:rsidRDefault="00286C71" w:rsidP="00701DCF">
      <w:pPr>
        <w:pStyle w:val="Bullet"/>
      </w:pPr>
      <w:r w:rsidRPr="001E2869">
        <w:t>Microburst</w:t>
      </w:r>
    </w:p>
    <w:p w:rsidR="00286C71" w:rsidRPr="001E2869" w:rsidRDefault="00286C71" w:rsidP="00701DCF">
      <w:pPr>
        <w:pStyle w:val="Bullet"/>
      </w:pPr>
      <w:r w:rsidRPr="001E2869">
        <w:t xml:space="preserve">Thunder </w:t>
      </w:r>
      <w:r>
        <w:t>and</w:t>
      </w:r>
      <w:r w:rsidRPr="001E2869">
        <w:t xml:space="preserve"> Lightning</w:t>
      </w:r>
    </w:p>
    <w:p w:rsidR="00286C71" w:rsidRPr="001E2869" w:rsidRDefault="00286C71" w:rsidP="00701DCF">
      <w:pPr>
        <w:pStyle w:val="Bullet"/>
      </w:pPr>
      <w:r w:rsidRPr="001E2869">
        <w:t>Winter Ice/Snow</w:t>
      </w:r>
    </w:p>
    <w:p w:rsidR="00286C71" w:rsidRPr="001E2869" w:rsidRDefault="00286C71" w:rsidP="00701DCF">
      <w:pPr>
        <w:pStyle w:val="Bullet"/>
      </w:pPr>
      <w:r w:rsidRPr="001E2869">
        <w:t>IT Events</w:t>
      </w:r>
    </w:p>
    <w:p w:rsidR="00286C71" w:rsidRPr="001E2869" w:rsidRDefault="00286C71" w:rsidP="00701DCF">
      <w:pPr>
        <w:pStyle w:val="Bullet"/>
      </w:pPr>
      <w:r w:rsidRPr="001E2869">
        <w:t>Cyber Attack</w:t>
      </w:r>
    </w:p>
    <w:p w:rsidR="00286C71" w:rsidRPr="001E2869" w:rsidRDefault="00286C71" w:rsidP="00701DCF">
      <w:pPr>
        <w:pStyle w:val="Bullet"/>
      </w:pPr>
      <w:r w:rsidRPr="001E2869">
        <w:t>Physical Attack</w:t>
      </w:r>
    </w:p>
    <w:p w:rsidR="00286C71" w:rsidRPr="001E2869" w:rsidRDefault="00286C71" w:rsidP="00701DCF">
      <w:pPr>
        <w:pStyle w:val="Bullet"/>
      </w:pPr>
      <w:r>
        <w:t>Pandemic</w:t>
      </w:r>
    </w:p>
    <w:p w:rsidR="00286C71" w:rsidRPr="00C54D9E" w:rsidRDefault="00286C71" w:rsidP="00701DCF">
      <w:pPr>
        <w:pStyle w:val="Normal-aftertable"/>
      </w:pPr>
      <w:r>
        <w:t>The Playbooks are developed by working with the involved departments to understand the impacts of an event on the organization, identify interfaces, and then to develop steps for a response.  The Playbooks are then exercised with table top drills, finalized, and rolled out to the organization.  Generally, Playbooks will be incorporated into exercises at least every two years.  Emergency Preparedness will consider factors like personnel changes, frequency of real events, and complexity of the nature of the event in scheduling the Playbook exercises. The group conducts an annual system drill and performs monthly table top drills in each region to review plans and identify any changes.</w:t>
      </w:r>
      <w:r w:rsidRPr="00E14C35">
        <w:t xml:space="preserve"> </w:t>
      </w:r>
      <w:r>
        <w:t>Playbooks will be reviewed and updated if needed every two years.</w:t>
      </w:r>
    </w:p>
    <w:p w:rsidR="00286C71" w:rsidRDefault="00286C71" w:rsidP="00701DCF">
      <w:r>
        <w:t>The typical Playbook content includes event identification and classification, roles lists, and pre, during, and post event actions.  There are additional documents and checklists that detail execution of the response steps.</w:t>
      </w:r>
    </w:p>
    <w:p w:rsidR="00286C71" w:rsidRDefault="00286C71" w:rsidP="00701DCF">
      <w:pPr>
        <w:rPr>
          <w:rFonts w:cs="Arial"/>
          <w:szCs w:val="24"/>
        </w:rPr>
      </w:pPr>
      <w:proofErr w:type="gramStart"/>
      <w:r w:rsidRPr="007B7458">
        <w:rPr>
          <w:b/>
        </w:rPr>
        <w:t>Supporting Documentation</w:t>
      </w:r>
      <w:r w:rsidR="007B7458" w:rsidRPr="007B7458">
        <w:rPr>
          <w:b/>
        </w:rPr>
        <w:t>.</w:t>
      </w:r>
      <w:proofErr w:type="gramEnd"/>
      <w:r w:rsidR="007B7458">
        <w:t xml:space="preserve">  </w:t>
      </w:r>
      <w:r>
        <w:rPr>
          <w:rFonts w:cs="Arial"/>
          <w:szCs w:val="24"/>
        </w:rPr>
        <w:t>The specific document types supporting the Emergency Response Plan and Playbooks are:</w:t>
      </w:r>
    </w:p>
    <w:p w:rsidR="00286C71" w:rsidRPr="001E2869" w:rsidRDefault="00286C71" w:rsidP="005A1330">
      <w:pPr>
        <w:pStyle w:val="Bullet"/>
        <w:keepNext/>
      </w:pPr>
      <w:r w:rsidRPr="001E2869">
        <w:t>Checklists – specific tasks</w:t>
      </w:r>
      <w:r>
        <w:t>,</w:t>
      </w:r>
      <w:r w:rsidRPr="001E2869">
        <w:t xml:space="preserve"> reminders</w:t>
      </w:r>
      <w:r>
        <w:t>, and reference documents</w:t>
      </w:r>
    </w:p>
    <w:p w:rsidR="00286C71" w:rsidRPr="001E2869" w:rsidRDefault="00286C71" w:rsidP="00701DCF">
      <w:pPr>
        <w:pStyle w:val="Bullet"/>
      </w:pPr>
      <w:r w:rsidRPr="001E2869">
        <w:t>Information Lists – materials and tools available</w:t>
      </w:r>
    </w:p>
    <w:p w:rsidR="00286C71" w:rsidRPr="001E2869" w:rsidRDefault="00286C71" w:rsidP="00701DCF">
      <w:pPr>
        <w:pStyle w:val="Bullet"/>
      </w:pPr>
      <w:r w:rsidRPr="001E2869">
        <w:t>Job Aids – how to use specific systems and applications/tools</w:t>
      </w:r>
    </w:p>
    <w:p w:rsidR="00286C71" w:rsidRPr="001E2869" w:rsidRDefault="00286C71" w:rsidP="00701DCF">
      <w:pPr>
        <w:pStyle w:val="Bullet"/>
      </w:pPr>
      <w:r w:rsidRPr="001E2869">
        <w:lastRenderedPageBreak/>
        <w:t>Procedures – role definitions and summaries of responsibilities for both individuals and teams</w:t>
      </w:r>
      <w:r>
        <w:t>.</w:t>
      </w:r>
      <w:r w:rsidRPr="00440B39">
        <w:t xml:space="preserve"> </w:t>
      </w:r>
    </w:p>
    <w:p w:rsidR="00286C71" w:rsidRDefault="00286C71" w:rsidP="00701DCF">
      <w:pPr>
        <w:pStyle w:val="Normal-aftertable"/>
      </w:pPr>
      <w:r>
        <w:t xml:space="preserve">The checklists are regularly updated </w:t>
      </w:r>
      <w:r w:rsidRPr="00DB7652">
        <w:rPr>
          <w:rFonts w:cs="Arial"/>
          <w:szCs w:val="24"/>
        </w:rPr>
        <w:t xml:space="preserve">as a result of </w:t>
      </w:r>
      <w:r>
        <w:rPr>
          <w:rFonts w:cs="Arial"/>
          <w:szCs w:val="24"/>
        </w:rPr>
        <w:t xml:space="preserve">their </w:t>
      </w:r>
      <w:r w:rsidRPr="00DB7652">
        <w:rPr>
          <w:rFonts w:cs="Arial"/>
          <w:szCs w:val="24"/>
        </w:rPr>
        <w:t xml:space="preserve">use </w:t>
      </w:r>
      <w:r>
        <w:rPr>
          <w:rFonts w:cs="Arial"/>
          <w:szCs w:val="24"/>
        </w:rPr>
        <w:t>in</w:t>
      </w:r>
      <w:r w:rsidRPr="00DB7652">
        <w:rPr>
          <w:rFonts w:cs="Arial"/>
          <w:szCs w:val="24"/>
        </w:rPr>
        <w:t xml:space="preserve"> exercises</w:t>
      </w:r>
      <w:r>
        <w:t xml:space="preserve"> and storm events and cover specific roles, responsibilities, tasks, and actions.</w:t>
      </w:r>
    </w:p>
    <w:p w:rsidR="00286C71" w:rsidRDefault="00286C71" w:rsidP="007B7458">
      <w:pPr>
        <w:pStyle w:val="Heading40"/>
      </w:pPr>
      <w:r>
        <w:t>Prevention</w:t>
      </w:r>
    </w:p>
    <w:p w:rsidR="00286C71" w:rsidRDefault="00286C71" w:rsidP="00701DCF">
      <w:r>
        <w:t>PPL EU has implemented a number of programs since 2012 to improve the resiliency of the electric system to equipment failure and storm events.  These efforts are discussed in the Transmission and Distribution Chapter and include enhanced vegetation management, structure hardening, and automated line switching programs.</w:t>
      </w:r>
    </w:p>
    <w:p w:rsidR="00286C71" w:rsidRDefault="00286C71" w:rsidP="007B7458">
      <w:pPr>
        <w:pStyle w:val="Heading40"/>
      </w:pPr>
      <w:r>
        <w:t>Preparation</w:t>
      </w:r>
    </w:p>
    <w:p w:rsidR="00286C71" w:rsidRDefault="00286C71" w:rsidP="00701DCF">
      <w:pPr>
        <w:rPr>
          <w:rFonts w:cs="Arial"/>
          <w:szCs w:val="24"/>
        </w:rPr>
      </w:pPr>
      <w:r w:rsidRPr="00DB7652">
        <w:rPr>
          <w:rFonts w:cs="Arial"/>
          <w:szCs w:val="24"/>
        </w:rPr>
        <w:t xml:space="preserve">The </w:t>
      </w:r>
      <w:r>
        <w:rPr>
          <w:rFonts w:cs="Arial"/>
          <w:szCs w:val="24"/>
        </w:rPr>
        <w:t>Emergency Response Plan and P</w:t>
      </w:r>
      <w:r w:rsidRPr="00DB7652">
        <w:rPr>
          <w:rFonts w:cs="Arial"/>
          <w:szCs w:val="24"/>
        </w:rPr>
        <w:t xml:space="preserve">laybooks are </w:t>
      </w:r>
      <w:r>
        <w:rPr>
          <w:rFonts w:cs="Arial"/>
          <w:szCs w:val="24"/>
        </w:rPr>
        <w:t xml:space="preserve">currently </w:t>
      </w:r>
      <w:r w:rsidRPr="00DB7652">
        <w:rPr>
          <w:rFonts w:cs="Arial"/>
          <w:szCs w:val="24"/>
        </w:rPr>
        <w:t>maintained in</w:t>
      </w:r>
      <w:r>
        <w:rPr>
          <w:rFonts w:cs="Arial"/>
          <w:szCs w:val="24"/>
        </w:rPr>
        <w:t xml:space="preserve"> the </w:t>
      </w:r>
      <w:r>
        <w:t>corporate</w:t>
      </w:r>
      <w:r w:rsidRPr="00DB7652">
        <w:t xml:space="preserve"> </w:t>
      </w:r>
      <w:r>
        <w:rPr>
          <w:rFonts w:cs="Arial"/>
          <w:szCs w:val="24"/>
        </w:rPr>
        <w:t>business continuity management system and on</w:t>
      </w:r>
      <w:r w:rsidRPr="00DB7652">
        <w:rPr>
          <w:rFonts w:cs="Arial"/>
          <w:szCs w:val="24"/>
        </w:rPr>
        <w:t xml:space="preserve"> a </w:t>
      </w:r>
      <w:r>
        <w:rPr>
          <w:rFonts w:cs="Arial"/>
          <w:szCs w:val="24"/>
        </w:rPr>
        <w:t xml:space="preserve">PPL </w:t>
      </w:r>
      <w:r w:rsidRPr="00DB7652">
        <w:rPr>
          <w:rFonts w:cs="Arial"/>
          <w:szCs w:val="24"/>
        </w:rPr>
        <w:t xml:space="preserve">EU Storm Center SharePoint site. </w:t>
      </w:r>
      <w:r w:rsidRPr="00E14C35">
        <w:t xml:space="preserve"> </w:t>
      </w:r>
      <w:r>
        <w:t>C</w:t>
      </w:r>
      <w:r w:rsidRPr="00E14C35">
        <w:t xml:space="preserve">hecklists, information lists, job aids, and procedures </w:t>
      </w:r>
      <w:r>
        <w:t>s</w:t>
      </w:r>
      <w:r w:rsidRPr="00E14C35">
        <w:rPr>
          <w:rFonts w:cs="Arial"/>
          <w:szCs w:val="24"/>
        </w:rPr>
        <w:t xml:space="preserve">upporting </w:t>
      </w:r>
      <w:r>
        <w:rPr>
          <w:rFonts w:cs="Arial"/>
          <w:szCs w:val="24"/>
        </w:rPr>
        <w:t>the EU plans are also maint</w:t>
      </w:r>
      <w:r w:rsidRPr="00E14C35">
        <w:rPr>
          <w:rFonts w:cs="Arial"/>
          <w:szCs w:val="24"/>
        </w:rPr>
        <w:t xml:space="preserve">ained </w:t>
      </w:r>
      <w:r>
        <w:rPr>
          <w:rFonts w:cs="Arial"/>
          <w:szCs w:val="24"/>
        </w:rPr>
        <w:t>o</w:t>
      </w:r>
      <w:r w:rsidRPr="00E14C35">
        <w:rPr>
          <w:rFonts w:cs="Arial"/>
          <w:szCs w:val="24"/>
        </w:rPr>
        <w:t xml:space="preserve">n the SharePoint site.  </w:t>
      </w:r>
      <w:r w:rsidRPr="00DB7652">
        <w:rPr>
          <w:rFonts w:cs="Arial"/>
          <w:szCs w:val="24"/>
        </w:rPr>
        <w:t xml:space="preserve">The documents are downloaded on a quarterly basis to encrypted thumb drives </w:t>
      </w:r>
      <w:r>
        <w:rPr>
          <w:rFonts w:cs="Arial"/>
          <w:szCs w:val="24"/>
        </w:rPr>
        <w:t xml:space="preserve">and are stored in multiple locations </w:t>
      </w:r>
      <w:r w:rsidRPr="00DB7652">
        <w:rPr>
          <w:rFonts w:cs="Arial"/>
          <w:szCs w:val="24"/>
        </w:rPr>
        <w:t>in case the network fails during an event.  The thumb drives can then be used to locally access and print the documents</w:t>
      </w:r>
      <w:r>
        <w:rPr>
          <w:rFonts w:cs="Arial"/>
          <w:szCs w:val="24"/>
        </w:rPr>
        <w:t xml:space="preserve"> if communications with the SharePoint site are lost.  </w:t>
      </w:r>
    </w:p>
    <w:p w:rsidR="00286C71" w:rsidRDefault="00286C71" w:rsidP="00701DCF">
      <w:r>
        <w:t xml:space="preserve">There are six Regional Command Centers (i.e. one in each PPL EU region) and a main electric Emergency Command Center which is located at the PPL EU Operations Center.  The Director of System Emergency (DSE) is rotated weekly among five positions: VP Distribution Operations; VP Transmission &amp; Substations; Director, Technical Development &amp; Improvement; Director, Transmission Asset Management and Director, Distribution Engineering.  The </w:t>
      </w:r>
      <w:r>
        <w:rPr>
          <w:rFonts w:cs="Arial"/>
          <w:szCs w:val="24"/>
        </w:rPr>
        <w:t>Manager, Emergency Preparedness, meets with the VP Distribution Operations every other month and after each storm event that triggers an emergency response.  He also meets with the five DSEs and President every other month.</w:t>
      </w:r>
    </w:p>
    <w:p w:rsidR="00286C71" w:rsidRPr="00DB7652" w:rsidRDefault="00286C71" w:rsidP="00701DCF">
      <w:pPr>
        <w:rPr>
          <w:rFonts w:cs="Arial"/>
          <w:szCs w:val="24"/>
        </w:rPr>
      </w:pPr>
      <w:r w:rsidRPr="00DB7652">
        <w:rPr>
          <w:rFonts w:cs="Arial"/>
          <w:szCs w:val="24"/>
        </w:rPr>
        <w:t>There are five response teams that rotate being on call for a week at a time, one for each of the designated DSE</w:t>
      </w:r>
      <w:r>
        <w:rPr>
          <w:rFonts w:cs="Arial"/>
          <w:szCs w:val="24"/>
        </w:rPr>
        <w:t>s</w:t>
      </w:r>
      <w:r w:rsidRPr="00DB7652">
        <w:rPr>
          <w:rFonts w:cs="Arial"/>
          <w:szCs w:val="24"/>
        </w:rPr>
        <w:t>.  The teams consist of the DSE,</w:t>
      </w:r>
      <w:r>
        <w:rPr>
          <w:rFonts w:cs="Arial"/>
          <w:szCs w:val="24"/>
        </w:rPr>
        <w:t xml:space="preserve"> </w:t>
      </w:r>
      <w:r w:rsidRPr="00DB7652">
        <w:rPr>
          <w:rFonts w:cs="Arial"/>
          <w:szCs w:val="24"/>
        </w:rPr>
        <w:t xml:space="preserve">SSD, REM, and coordinators/leads (such as logistics, IT, </w:t>
      </w:r>
      <w:r>
        <w:rPr>
          <w:rFonts w:cs="Arial"/>
          <w:szCs w:val="24"/>
        </w:rPr>
        <w:t>Human Resources</w:t>
      </w:r>
      <w:r w:rsidRPr="00DB7652">
        <w:rPr>
          <w:rFonts w:cs="Arial"/>
          <w:szCs w:val="24"/>
        </w:rPr>
        <w:t xml:space="preserve">, housing </w:t>
      </w:r>
      <w:r>
        <w:rPr>
          <w:rFonts w:cs="Arial"/>
          <w:szCs w:val="24"/>
        </w:rPr>
        <w:t>and</w:t>
      </w:r>
      <w:r w:rsidRPr="00DB7652">
        <w:rPr>
          <w:rFonts w:cs="Arial"/>
          <w:szCs w:val="24"/>
        </w:rPr>
        <w:t xml:space="preserve"> feeding, </w:t>
      </w:r>
      <w:r>
        <w:rPr>
          <w:rFonts w:cs="Arial"/>
          <w:szCs w:val="24"/>
        </w:rPr>
        <w:t xml:space="preserve">and </w:t>
      </w:r>
      <w:r w:rsidRPr="00DB7652">
        <w:rPr>
          <w:rFonts w:cs="Arial"/>
          <w:szCs w:val="24"/>
        </w:rPr>
        <w:t>facilities).  The teams typically will go through exercises together to build familiarity and teamwork unless the drill on</w:t>
      </w:r>
      <w:r>
        <w:rPr>
          <w:rFonts w:cs="Arial"/>
          <w:szCs w:val="24"/>
        </w:rPr>
        <w:t>ly</w:t>
      </w:r>
      <w:r w:rsidRPr="00DB7652">
        <w:rPr>
          <w:rFonts w:cs="Arial"/>
          <w:szCs w:val="24"/>
        </w:rPr>
        <w:t xml:space="preserve"> </w:t>
      </w:r>
      <w:r>
        <w:rPr>
          <w:rFonts w:cs="Arial"/>
          <w:szCs w:val="24"/>
        </w:rPr>
        <w:t xml:space="preserve">impacts </w:t>
      </w:r>
      <w:r w:rsidRPr="00DB7652">
        <w:rPr>
          <w:rFonts w:cs="Arial"/>
          <w:szCs w:val="24"/>
        </w:rPr>
        <w:t>a specific function</w:t>
      </w:r>
      <w:r>
        <w:rPr>
          <w:rFonts w:cs="Arial"/>
          <w:szCs w:val="24"/>
        </w:rPr>
        <w:t>al area</w:t>
      </w:r>
      <w:r w:rsidRPr="00DB7652">
        <w:rPr>
          <w:rFonts w:cs="Arial"/>
          <w:szCs w:val="24"/>
        </w:rPr>
        <w:t>.</w:t>
      </w:r>
    </w:p>
    <w:p w:rsidR="00286C71" w:rsidRDefault="00286C71" w:rsidP="00701DCF">
      <w:pPr>
        <w:rPr>
          <w:rFonts w:cs="Arial"/>
          <w:szCs w:val="24"/>
        </w:rPr>
      </w:pPr>
      <w:r w:rsidRPr="00267EEA">
        <w:t xml:space="preserve">PPL EU’s weather provider provides daily weather forecasts which </w:t>
      </w:r>
      <w:r>
        <w:t xml:space="preserve">are used </w:t>
      </w:r>
      <w:r w:rsidRPr="00267EEA">
        <w:t xml:space="preserve">as data inputs into </w:t>
      </w:r>
      <w:r>
        <w:t>the PPL</w:t>
      </w:r>
      <w:r w:rsidRPr="00267EEA">
        <w:t xml:space="preserve"> Storm Damage Prediction model.</w:t>
      </w:r>
      <w:r>
        <w:t xml:space="preserve">  The model is a spreadsheet based application developed by a 3</w:t>
      </w:r>
      <w:r w:rsidRPr="00C854BB">
        <w:rPr>
          <w:vertAlign w:val="superscript"/>
        </w:rPr>
        <w:t>rd</w:t>
      </w:r>
      <w:r>
        <w:t xml:space="preserve"> party for PPL EU.  </w:t>
      </w:r>
      <w:r w:rsidRPr="00267EEA">
        <w:t xml:space="preserve">Weather inputs </w:t>
      </w:r>
      <w:r>
        <w:t>include w</w:t>
      </w:r>
      <w:r w:rsidRPr="00267EEA">
        <w:t xml:space="preserve">ind </w:t>
      </w:r>
      <w:r>
        <w:t xml:space="preserve">speed </w:t>
      </w:r>
      <w:r w:rsidRPr="00267EEA">
        <w:t>(sustain</w:t>
      </w:r>
      <w:r>
        <w:t>ed</w:t>
      </w:r>
      <w:r w:rsidRPr="00267EEA">
        <w:t xml:space="preserve"> and gusts)</w:t>
      </w:r>
      <w:r>
        <w:t>, w</w:t>
      </w:r>
      <w:r w:rsidRPr="00267EEA">
        <w:t xml:space="preserve">ind </w:t>
      </w:r>
      <w:r>
        <w:t>d</w:t>
      </w:r>
      <w:r w:rsidRPr="00267EEA">
        <w:t>uration</w:t>
      </w:r>
      <w:r>
        <w:t>, s</w:t>
      </w:r>
      <w:r w:rsidRPr="00267EEA">
        <w:t>now</w:t>
      </w:r>
      <w:r>
        <w:t xml:space="preserve"> amount and type (</w:t>
      </w:r>
      <w:r w:rsidRPr="00267EEA">
        <w:t>dry, normal, wet)</w:t>
      </w:r>
      <w:r>
        <w:t xml:space="preserve">, ice accretion, </w:t>
      </w:r>
      <w:r w:rsidRPr="00290C97">
        <w:t>and lightning.  The model also uses tree coverage for impacted lines to predict damage</w:t>
      </w:r>
      <w:r w:rsidRPr="00290C97">
        <w:rPr>
          <w:rFonts w:cs="Arial"/>
          <w:szCs w:val="24"/>
        </w:rPr>
        <w:t xml:space="preserve"> on the PPL EU electric system.  The model has proven to be generally accurate on predicting the extent of damage; however, it does not accurately predict the affected regions.</w:t>
      </w:r>
    </w:p>
    <w:p w:rsidR="00286C71" w:rsidRPr="00DB7652" w:rsidRDefault="00286C71" w:rsidP="00701DCF">
      <w:pPr>
        <w:rPr>
          <w:rFonts w:cs="Arial"/>
          <w:szCs w:val="24"/>
        </w:rPr>
      </w:pPr>
      <w:r>
        <w:rPr>
          <w:rFonts w:cs="Arial"/>
          <w:szCs w:val="24"/>
        </w:rPr>
        <w:t>The EP group develops and delivers electric</w:t>
      </w:r>
      <w:r>
        <w:t xml:space="preserve"> transmission and distribution emergency response training. </w:t>
      </w:r>
      <w:r w:rsidRPr="00DB7652">
        <w:rPr>
          <w:rFonts w:cs="Arial"/>
          <w:szCs w:val="24"/>
        </w:rPr>
        <w:t xml:space="preserve"> </w:t>
      </w:r>
      <w:r>
        <w:rPr>
          <w:rFonts w:cs="Arial"/>
          <w:szCs w:val="24"/>
        </w:rPr>
        <w:t>The t</w:t>
      </w:r>
      <w:r w:rsidRPr="00DB7652">
        <w:rPr>
          <w:rFonts w:cs="Arial"/>
          <w:szCs w:val="24"/>
        </w:rPr>
        <w:t xml:space="preserve">raining on emergency response is provided through </w:t>
      </w:r>
      <w:r>
        <w:rPr>
          <w:rFonts w:cs="Arial"/>
          <w:szCs w:val="24"/>
        </w:rPr>
        <w:t>computer based training</w:t>
      </w:r>
      <w:r w:rsidRPr="00DB7652">
        <w:rPr>
          <w:rFonts w:cs="Arial"/>
          <w:szCs w:val="24"/>
        </w:rPr>
        <w:t xml:space="preserve">, </w:t>
      </w:r>
      <w:r>
        <w:rPr>
          <w:rFonts w:cs="Arial"/>
          <w:szCs w:val="24"/>
        </w:rPr>
        <w:t xml:space="preserve">and </w:t>
      </w:r>
      <w:r w:rsidRPr="00DB7652">
        <w:rPr>
          <w:rFonts w:cs="Arial"/>
          <w:szCs w:val="24"/>
        </w:rPr>
        <w:t xml:space="preserve">exercises and </w:t>
      </w:r>
      <w:proofErr w:type="gramStart"/>
      <w:r w:rsidRPr="00DB7652">
        <w:rPr>
          <w:rFonts w:cs="Arial"/>
          <w:szCs w:val="24"/>
        </w:rPr>
        <w:t>work</w:t>
      </w:r>
      <w:proofErr w:type="gramEnd"/>
      <w:r w:rsidRPr="00DB7652">
        <w:rPr>
          <w:rFonts w:cs="Arial"/>
          <w:szCs w:val="24"/>
        </w:rPr>
        <w:t xml:space="preserve"> shadowing to review response roles, tools, and processes.  Functional drills focus on using key processes in response to major events.</w:t>
      </w:r>
    </w:p>
    <w:p w:rsidR="00286C71" w:rsidRDefault="00286C71" w:rsidP="00701DCF">
      <w:r>
        <w:lastRenderedPageBreak/>
        <w:t xml:space="preserve">The EP Training and Development Specialist </w:t>
      </w:r>
      <w:proofErr w:type="gramStart"/>
      <w:r>
        <w:t>delivers</w:t>
      </w:r>
      <w:proofErr w:type="gramEnd"/>
      <w:r>
        <w:t xml:space="preserve"> the storm emergency response training to employees with defined storm roles.  The focus currently is on training in use of the outage management system in storm response.  </w:t>
      </w:r>
      <w:r w:rsidRPr="001012E2">
        <w:rPr>
          <w:rFonts w:cs="Arial"/>
          <w:szCs w:val="24"/>
        </w:rPr>
        <w:t xml:space="preserve">Training plans have been established for </w:t>
      </w:r>
      <w:r>
        <w:rPr>
          <w:rFonts w:cs="Arial"/>
          <w:szCs w:val="24"/>
        </w:rPr>
        <w:t>electric s</w:t>
      </w:r>
      <w:r w:rsidRPr="001012E2">
        <w:rPr>
          <w:rFonts w:cs="Arial"/>
          <w:szCs w:val="24"/>
        </w:rPr>
        <w:t>torm</w:t>
      </w:r>
      <w:r>
        <w:rPr>
          <w:rFonts w:cs="Arial"/>
          <w:szCs w:val="24"/>
        </w:rPr>
        <w:t xml:space="preserve"> e</w:t>
      </w:r>
      <w:r w:rsidRPr="001012E2">
        <w:rPr>
          <w:rFonts w:cs="Arial"/>
          <w:szCs w:val="24"/>
        </w:rPr>
        <w:t xml:space="preserve">mergency </w:t>
      </w:r>
      <w:r>
        <w:rPr>
          <w:rFonts w:cs="Arial"/>
          <w:szCs w:val="24"/>
        </w:rPr>
        <w:t>r</w:t>
      </w:r>
      <w:r w:rsidRPr="001012E2">
        <w:rPr>
          <w:rFonts w:cs="Arial"/>
          <w:szCs w:val="24"/>
        </w:rPr>
        <w:t xml:space="preserve">esponse roles and encompass policies, procedures, </w:t>
      </w:r>
      <w:r>
        <w:rPr>
          <w:rFonts w:cs="Arial"/>
          <w:szCs w:val="24"/>
        </w:rPr>
        <w:t xml:space="preserve">and </w:t>
      </w:r>
      <w:r w:rsidRPr="001012E2">
        <w:rPr>
          <w:rFonts w:cs="Arial"/>
          <w:szCs w:val="24"/>
        </w:rPr>
        <w:t>safety</w:t>
      </w:r>
      <w:r>
        <w:rPr>
          <w:rFonts w:cs="Arial"/>
          <w:szCs w:val="24"/>
        </w:rPr>
        <w:t xml:space="preserve">. </w:t>
      </w:r>
      <w:r>
        <w:t xml:space="preserve"> The training plans consist of document reviews and skills development in the tools used for response.</w:t>
      </w:r>
      <w:r w:rsidRPr="001012E2">
        <w:rPr>
          <w:rFonts w:cs="Arial"/>
          <w:szCs w:val="24"/>
        </w:rPr>
        <w:t xml:space="preserve"> </w:t>
      </w:r>
      <w:r>
        <w:rPr>
          <w:rFonts w:cs="Arial"/>
          <w:szCs w:val="24"/>
        </w:rPr>
        <w:t xml:space="preserve"> Training on emergency plans and response is primarily delivered via computer based training and the supporting tools and applications. </w:t>
      </w:r>
    </w:p>
    <w:p w:rsidR="00286C71" w:rsidRDefault="00286C71" w:rsidP="007B7458">
      <w:pPr>
        <w:pStyle w:val="Heading40"/>
      </w:pPr>
      <w:r>
        <w:t>Practice</w:t>
      </w:r>
    </w:p>
    <w:p w:rsidR="00286C71" w:rsidRDefault="00286C71" w:rsidP="00701DCF">
      <w:r>
        <w:t xml:space="preserve">EP schedules and coordinates an annual system drill that is as close to a real event as possible with simulated outages and responses.  This drill may include the involvement of up to approximately 20 local emergency management </w:t>
      </w:r>
      <w:proofErr w:type="spellStart"/>
      <w:r>
        <w:t>agencies</w:t>
      </w:r>
      <w:proofErr w:type="spellEnd"/>
      <w:r>
        <w:t xml:space="preserve"> located across the service area.  Regional drills are held monthly with a focus on specific plan elements that are on a five month rotation.  Bi-monthly tabletop exercises are conducted with the PPL EU leadership team and monthly small drills are held for processes related to specific emergency response roles.</w:t>
      </w:r>
    </w:p>
    <w:p w:rsidR="00286C71" w:rsidRPr="00DB7652" w:rsidRDefault="00286C71" w:rsidP="00701DCF">
      <w:pPr>
        <w:rPr>
          <w:rFonts w:cs="Arial"/>
          <w:szCs w:val="24"/>
        </w:rPr>
      </w:pPr>
      <w:r w:rsidRPr="001C62EE">
        <w:rPr>
          <w:rFonts w:cs="Arial"/>
          <w:szCs w:val="24"/>
        </w:rPr>
        <w:t>Formal after action reviews are not conducted after Level 1 or 2 storm events, but are performed following Level 3 or 4 events.  For all events, improvement opportunities are identified by participants throughout the event.  These insights may result in documentation updates and provide future training topics.</w:t>
      </w:r>
    </w:p>
    <w:p w:rsidR="00286C71" w:rsidRDefault="00286C71" w:rsidP="00701DCF">
      <w:r>
        <w:rPr>
          <w:rFonts w:cs="Arial"/>
          <w:szCs w:val="24"/>
        </w:rPr>
        <w:t>REMs and Outage Management System (OMS) Expeditors Best Practices Teams were formed in mid-2015 to meet monthly and identify storm event restoration best practices and drive consistent application across the six RCCs and their OMS expediting operations.  Both teams are sponsored by the Vice President (VP) Distribution Operations and consist of REM or OMS Expeditor representatives from each of the six regions, and the EP group.  A Distribution Operations Regional Director</w:t>
      </w:r>
      <w:r w:rsidRPr="00440B39">
        <w:t xml:space="preserve"> </w:t>
      </w:r>
      <w:r>
        <w:rPr>
          <w:rFonts w:cs="Arial"/>
          <w:szCs w:val="24"/>
        </w:rPr>
        <w:t>leads both groups to ensure consistency in managing changes to the processes.</w:t>
      </w:r>
    </w:p>
    <w:p w:rsidR="00286C71" w:rsidRDefault="00286C71" w:rsidP="00701DCF">
      <w:pPr>
        <w:rPr>
          <w:rFonts w:cs="Arial"/>
          <w:szCs w:val="24"/>
        </w:rPr>
      </w:pPr>
      <w:r>
        <w:rPr>
          <w:rFonts w:cs="Arial"/>
          <w:szCs w:val="24"/>
        </w:rPr>
        <w:t>The VP, Distribution Operations, is active in the Edison Electric Institute (EEI) National Response Executive Committee.  The EEI committee has sponsored exercises the past three years to practice resource allocation decisions for multi-utility events.  The most recent exercise occurred in early 2015 and involved response to a major earthquake event on the west coast.</w:t>
      </w:r>
    </w:p>
    <w:p w:rsidR="00286C71" w:rsidRDefault="00286C71" w:rsidP="007B7458">
      <w:pPr>
        <w:pStyle w:val="Heading40"/>
      </w:pPr>
      <w:r w:rsidRPr="00C552DA">
        <w:t>Performance</w:t>
      </w:r>
    </w:p>
    <w:p w:rsidR="00286C71" w:rsidRDefault="00286C71" w:rsidP="00701DCF">
      <w:pPr>
        <w:rPr>
          <w:rFonts w:cs="Arial"/>
          <w:szCs w:val="24"/>
        </w:rPr>
      </w:pPr>
      <w:r>
        <w:rPr>
          <w:rFonts w:cs="Arial"/>
          <w:szCs w:val="24"/>
        </w:rPr>
        <w:t>The following table summarizes the annual storm event history for PPL EU based on reports filed with the PUC from 2010 through 2015.</w:t>
      </w:r>
    </w:p>
    <w:p w:rsidR="005A1330" w:rsidRDefault="005A1330">
      <w:pPr>
        <w:spacing w:after="0"/>
        <w:jc w:val="left"/>
        <w:rPr>
          <w:b/>
          <w:bCs/>
          <w:szCs w:val="18"/>
        </w:rPr>
      </w:pPr>
      <w:r>
        <w:br w:type="page"/>
      </w:r>
    </w:p>
    <w:p w:rsidR="00286C71" w:rsidRPr="007D7B1B" w:rsidRDefault="00ED6D61" w:rsidP="00ED6D61">
      <w:pPr>
        <w:pStyle w:val="Caption"/>
      </w:pPr>
      <w:bookmarkStart w:id="182" w:name="_Toc464552998"/>
      <w:r>
        <w:lastRenderedPageBreak/>
        <w:t xml:space="preserve">Exhibit </w:t>
      </w:r>
      <w:r w:rsidR="00CB2B2A">
        <w:fldChar w:fldCharType="begin"/>
      </w:r>
      <w:r w:rsidR="00EC053E">
        <w:instrText xml:space="preserve"> STYLEREF 1 \s </w:instrText>
      </w:r>
      <w:r w:rsidR="00CB2B2A">
        <w:fldChar w:fldCharType="separate"/>
      </w:r>
      <w:r w:rsidR="00CA3BDB">
        <w:rPr>
          <w:noProof/>
        </w:rPr>
        <w:t>VII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5A1330">
        <w:br/>
      </w:r>
      <w:r w:rsidR="00286C71">
        <w:t>PPL EU Repo</w:t>
      </w:r>
      <w:r w:rsidR="006458AD">
        <w:t>rtable Storm Event Summary 2010–</w:t>
      </w:r>
      <w:r w:rsidR="00286C71">
        <w:t>2015</w:t>
      </w:r>
      <w:bookmarkEnd w:id="1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3"/>
        <w:gridCol w:w="939"/>
        <w:gridCol w:w="1106"/>
        <w:gridCol w:w="990"/>
        <w:gridCol w:w="990"/>
        <w:gridCol w:w="939"/>
        <w:gridCol w:w="910"/>
      </w:tblGrid>
      <w:tr w:rsidR="00286C71" w:rsidRPr="007370C9" w:rsidTr="00286C71">
        <w:trPr>
          <w:cantSplit/>
          <w:tblHeader/>
          <w:jc w:val="center"/>
        </w:trPr>
        <w:tc>
          <w:tcPr>
            <w:tcW w:w="3413" w:type="dxa"/>
            <w:shd w:val="clear" w:color="auto" w:fill="A5CD7E"/>
            <w:vAlign w:val="center"/>
          </w:tcPr>
          <w:p w:rsidR="00286C71" w:rsidRPr="00425F31" w:rsidRDefault="00286C71" w:rsidP="007370C9">
            <w:pPr>
              <w:spacing w:before="120"/>
              <w:jc w:val="center"/>
              <w:rPr>
                <w:b/>
              </w:rPr>
            </w:pPr>
            <w:r w:rsidRPr="00425F31">
              <w:rPr>
                <w:b/>
              </w:rPr>
              <w:t>Annual Totals</w:t>
            </w:r>
          </w:p>
        </w:tc>
        <w:tc>
          <w:tcPr>
            <w:tcW w:w="939" w:type="dxa"/>
            <w:shd w:val="clear" w:color="auto" w:fill="A5CD7E"/>
            <w:vAlign w:val="center"/>
          </w:tcPr>
          <w:p w:rsidR="00286C71" w:rsidRPr="00DA3088" w:rsidRDefault="00286C71" w:rsidP="007370C9">
            <w:pPr>
              <w:spacing w:before="120"/>
              <w:jc w:val="center"/>
              <w:rPr>
                <w:b/>
              </w:rPr>
            </w:pPr>
            <w:r w:rsidRPr="00DA3088">
              <w:rPr>
                <w:b/>
              </w:rPr>
              <w:t>2010</w:t>
            </w:r>
          </w:p>
        </w:tc>
        <w:tc>
          <w:tcPr>
            <w:tcW w:w="1106" w:type="dxa"/>
            <w:shd w:val="clear" w:color="auto" w:fill="A5CD7E"/>
            <w:vAlign w:val="center"/>
          </w:tcPr>
          <w:p w:rsidR="00286C71" w:rsidRPr="00DA3088" w:rsidRDefault="00286C71" w:rsidP="007370C9">
            <w:pPr>
              <w:spacing w:before="120"/>
              <w:jc w:val="center"/>
              <w:rPr>
                <w:b/>
              </w:rPr>
            </w:pPr>
            <w:r w:rsidRPr="00DA3088">
              <w:rPr>
                <w:b/>
              </w:rPr>
              <w:t>2011</w:t>
            </w:r>
          </w:p>
        </w:tc>
        <w:tc>
          <w:tcPr>
            <w:tcW w:w="990" w:type="dxa"/>
            <w:shd w:val="clear" w:color="auto" w:fill="A5CD7E"/>
            <w:vAlign w:val="center"/>
          </w:tcPr>
          <w:p w:rsidR="00286C71" w:rsidRPr="00DA3088" w:rsidRDefault="00286C71" w:rsidP="007370C9">
            <w:pPr>
              <w:spacing w:before="120"/>
              <w:jc w:val="center"/>
              <w:rPr>
                <w:b/>
              </w:rPr>
            </w:pPr>
            <w:r w:rsidRPr="00DA3088">
              <w:rPr>
                <w:b/>
              </w:rPr>
              <w:t>2012</w:t>
            </w:r>
          </w:p>
        </w:tc>
        <w:tc>
          <w:tcPr>
            <w:tcW w:w="990" w:type="dxa"/>
            <w:shd w:val="clear" w:color="auto" w:fill="A5CD7E"/>
            <w:vAlign w:val="center"/>
          </w:tcPr>
          <w:p w:rsidR="00286C71" w:rsidRPr="00DA3088" w:rsidRDefault="00286C71" w:rsidP="007370C9">
            <w:pPr>
              <w:spacing w:before="120"/>
              <w:jc w:val="center"/>
              <w:rPr>
                <w:b/>
              </w:rPr>
            </w:pPr>
            <w:r w:rsidRPr="00DA3088">
              <w:rPr>
                <w:b/>
              </w:rPr>
              <w:t>2013</w:t>
            </w:r>
          </w:p>
        </w:tc>
        <w:tc>
          <w:tcPr>
            <w:tcW w:w="939" w:type="dxa"/>
            <w:shd w:val="clear" w:color="auto" w:fill="A5CD7E"/>
            <w:vAlign w:val="center"/>
          </w:tcPr>
          <w:p w:rsidR="00286C71" w:rsidRPr="00DA3088" w:rsidRDefault="00286C71" w:rsidP="007370C9">
            <w:pPr>
              <w:spacing w:before="120"/>
              <w:jc w:val="center"/>
              <w:rPr>
                <w:b/>
              </w:rPr>
            </w:pPr>
            <w:r w:rsidRPr="00DA3088">
              <w:rPr>
                <w:b/>
              </w:rPr>
              <w:t>2014</w:t>
            </w:r>
          </w:p>
        </w:tc>
        <w:tc>
          <w:tcPr>
            <w:tcW w:w="910" w:type="dxa"/>
            <w:shd w:val="clear" w:color="auto" w:fill="A5CD7E"/>
          </w:tcPr>
          <w:p w:rsidR="00286C71" w:rsidRPr="00DA3088" w:rsidRDefault="00286C71" w:rsidP="007370C9">
            <w:pPr>
              <w:spacing w:before="120"/>
              <w:jc w:val="center"/>
              <w:rPr>
                <w:b/>
              </w:rPr>
            </w:pPr>
            <w:r>
              <w:rPr>
                <w:b/>
              </w:rPr>
              <w:t>2015</w:t>
            </w:r>
          </w:p>
        </w:tc>
      </w:tr>
      <w:tr w:rsidR="00286C71" w:rsidRPr="00094B43" w:rsidTr="00701DCF">
        <w:trPr>
          <w:trHeight w:val="305"/>
          <w:jc w:val="center"/>
        </w:trPr>
        <w:tc>
          <w:tcPr>
            <w:tcW w:w="3413" w:type="dxa"/>
            <w:shd w:val="clear" w:color="auto" w:fill="auto"/>
            <w:vAlign w:val="center"/>
          </w:tcPr>
          <w:p w:rsidR="00286C71" w:rsidRPr="000E48BA" w:rsidRDefault="00286C71" w:rsidP="00701DCF">
            <w:pPr>
              <w:spacing w:after="0"/>
              <w:jc w:val="center"/>
              <w:rPr>
                <w:rFonts w:cs="Arial"/>
                <w:sz w:val="20"/>
                <w:szCs w:val="20"/>
              </w:rPr>
            </w:pPr>
            <w:r w:rsidRPr="000E48BA">
              <w:rPr>
                <w:rFonts w:cs="Arial"/>
                <w:sz w:val="20"/>
                <w:szCs w:val="20"/>
              </w:rPr>
              <w:t>Number of Reportable Events</w:t>
            </w:r>
          </w:p>
        </w:tc>
        <w:tc>
          <w:tcPr>
            <w:tcW w:w="939" w:type="dxa"/>
            <w:vAlign w:val="center"/>
          </w:tcPr>
          <w:p w:rsidR="00286C71" w:rsidRPr="000E48BA" w:rsidRDefault="00286C71" w:rsidP="00701DCF">
            <w:pPr>
              <w:pStyle w:val="Tabletext"/>
              <w:rPr>
                <w:rFonts w:cs="Arial"/>
                <w:sz w:val="20"/>
                <w:szCs w:val="20"/>
              </w:rPr>
            </w:pPr>
            <w:r>
              <w:rPr>
                <w:rFonts w:cs="Arial"/>
                <w:sz w:val="20"/>
                <w:szCs w:val="20"/>
              </w:rPr>
              <w:t>11</w:t>
            </w:r>
          </w:p>
        </w:tc>
        <w:tc>
          <w:tcPr>
            <w:tcW w:w="1106" w:type="dxa"/>
            <w:vAlign w:val="center"/>
          </w:tcPr>
          <w:p w:rsidR="00286C71" w:rsidRPr="000E48BA" w:rsidRDefault="00286C71" w:rsidP="00701DCF">
            <w:pPr>
              <w:pStyle w:val="Tabletext"/>
              <w:rPr>
                <w:rFonts w:cs="Arial"/>
                <w:sz w:val="20"/>
                <w:szCs w:val="20"/>
              </w:rPr>
            </w:pPr>
            <w:r>
              <w:rPr>
                <w:rFonts w:cs="Arial"/>
                <w:sz w:val="20"/>
                <w:szCs w:val="20"/>
              </w:rPr>
              <w:t>9</w:t>
            </w:r>
          </w:p>
        </w:tc>
        <w:tc>
          <w:tcPr>
            <w:tcW w:w="990" w:type="dxa"/>
            <w:vAlign w:val="center"/>
          </w:tcPr>
          <w:p w:rsidR="00286C71" w:rsidRPr="000E48BA" w:rsidRDefault="00286C71" w:rsidP="00701DCF">
            <w:pPr>
              <w:pStyle w:val="Tabletext"/>
              <w:rPr>
                <w:rFonts w:cs="Arial"/>
                <w:sz w:val="20"/>
                <w:szCs w:val="20"/>
              </w:rPr>
            </w:pPr>
            <w:r>
              <w:rPr>
                <w:rFonts w:cs="Arial"/>
                <w:sz w:val="20"/>
                <w:szCs w:val="20"/>
              </w:rPr>
              <w:t>9</w:t>
            </w:r>
          </w:p>
        </w:tc>
        <w:tc>
          <w:tcPr>
            <w:tcW w:w="990" w:type="dxa"/>
            <w:vAlign w:val="center"/>
          </w:tcPr>
          <w:p w:rsidR="00286C71" w:rsidRPr="000E48BA" w:rsidRDefault="00286C71" w:rsidP="00701DCF">
            <w:pPr>
              <w:pStyle w:val="Tabletext"/>
              <w:rPr>
                <w:rFonts w:cs="Arial"/>
                <w:sz w:val="20"/>
                <w:szCs w:val="20"/>
              </w:rPr>
            </w:pPr>
            <w:r>
              <w:rPr>
                <w:rFonts w:cs="Arial"/>
                <w:sz w:val="20"/>
                <w:szCs w:val="20"/>
              </w:rPr>
              <w:t>2</w:t>
            </w:r>
          </w:p>
        </w:tc>
        <w:tc>
          <w:tcPr>
            <w:tcW w:w="939" w:type="dxa"/>
            <w:vAlign w:val="center"/>
          </w:tcPr>
          <w:p w:rsidR="00286C71" w:rsidRPr="000E48BA" w:rsidRDefault="00286C71" w:rsidP="00701DCF">
            <w:pPr>
              <w:pStyle w:val="Tabletext"/>
              <w:rPr>
                <w:rFonts w:cs="Arial"/>
                <w:sz w:val="20"/>
                <w:szCs w:val="20"/>
              </w:rPr>
            </w:pPr>
            <w:r>
              <w:rPr>
                <w:rFonts w:cs="Arial"/>
                <w:sz w:val="20"/>
                <w:szCs w:val="20"/>
              </w:rPr>
              <w:t>5</w:t>
            </w:r>
          </w:p>
        </w:tc>
        <w:tc>
          <w:tcPr>
            <w:tcW w:w="910" w:type="dxa"/>
            <w:vAlign w:val="center"/>
          </w:tcPr>
          <w:p w:rsidR="00286C71" w:rsidRPr="000E48BA" w:rsidRDefault="00286C71" w:rsidP="00701DCF">
            <w:pPr>
              <w:pStyle w:val="Tabletext"/>
              <w:rPr>
                <w:rFonts w:cs="Arial"/>
                <w:sz w:val="20"/>
                <w:szCs w:val="20"/>
              </w:rPr>
            </w:pPr>
            <w:r>
              <w:rPr>
                <w:rFonts w:cs="Arial"/>
                <w:sz w:val="20"/>
                <w:szCs w:val="20"/>
              </w:rPr>
              <w:t>1</w:t>
            </w:r>
          </w:p>
        </w:tc>
      </w:tr>
      <w:tr w:rsidR="00286C71" w:rsidRPr="00094B43" w:rsidTr="00701DCF">
        <w:trPr>
          <w:trHeight w:val="305"/>
          <w:jc w:val="center"/>
        </w:trPr>
        <w:tc>
          <w:tcPr>
            <w:tcW w:w="3413" w:type="dxa"/>
            <w:shd w:val="clear" w:color="auto" w:fill="auto"/>
            <w:vAlign w:val="center"/>
          </w:tcPr>
          <w:p w:rsidR="00286C71" w:rsidRPr="000E48BA" w:rsidRDefault="00286C71" w:rsidP="00701DCF">
            <w:pPr>
              <w:spacing w:after="0"/>
              <w:jc w:val="center"/>
              <w:rPr>
                <w:rFonts w:cs="Arial"/>
                <w:sz w:val="20"/>
                <w:szCs w:val="20"/>
              </w:rPr>
            </w:pPr>
            <w:r w:rsidRPr="000E48BA">
              <w:rPr>
                <w:rFonts w:cs="Arial"/>
                <w:sz w:val="20"/>
                <w:szCs w:val="20"/>
              </w:rPr>
              <w:t>Total Trouble Cases</w:t>
            </w:r>
          </w:p>
        </w:tc>
        <w:tc>
          <w:tcPr>
            <w:tcW w:w="939" w:type="dxa"/>
            <w:vAlign w:val="center"/>
          </w:tcPr>
          <w:p w:rsidR="00286C71" w:rsidRPr="000E48BA" w:rsidRDefault="00286C71" w:rsidP="00701DCF">
            <w:pPr>
              <w:pStyle w:val="Tabletext"/>
              <w:rPr>
                <w:rFonts w:cs="Arial"/>
                <w:sz w:val="20"/>
                <w:szCs w:val="20"/>
              </w:rPr>
            </w:pPr>
            <w:r w:rsidRPr="000E48BA">
              <w:rPr>
                <w:rFonts w:cs="Arial"/>
                <w:sz w:val="20"/>
                <w:szCs w:val="20"/>
              </w:rPr>
              <w:t>3</w:t>
            </w:r>
            <w:r>
              <w:rPr>
                <w:rFonts w:cs="Arial"/>
                <w:sz w:val="20"/>
                <w:szCs w:val="20"/>
              </w:rPr>
              <w:t>,</w:t>
            </w:r>
            <w:r w:rsidRPr="000E48BA">
              <w:rPr>
                <w:rFonts w:cs="Arial"/>
                <w:sz w:val="20"/>
                <w:szCs w:val="20"/>
              </w:rPr>
              <w:t>203</w:t>
            </w:r>
          </w:p>
        </w:tc>
        <w:tc>
          <w:tcPr>
            <w:tcW w:w="1106" w:type="dxa"/>
            <w:vAlign w:val="center"/>
          </w:tcPr>
          <w:p w:rsidR="00286C71" w:rsidRPr="000E48BA" w:rsidRDefault="00286C71" w:rsidP="00701DCF">
            <w:pPr>
              <w:pStyle w:val="Tabletext"/>
              <w:rPr>
                <w:rFonts w:cs="Arial"/>
                <w:sz w:val="20"/>
                <w:szCs w:val="20"/>
              </w:rPr>
            </w:pPr>
            <w:r>
              <w:rPr>
                <w:rFonts w:cs="Arial"/>
                <w:sz w:val="20"/>
                <w:szCs w:val="20"/>
              </w:rPr>
              <w:t>9,432</w:t>
            </w:r>
          </w:p>
        </w:tc>
        <w:tc>
          <w:tcPr>
            <w:tcW w:w="990" w:type="dxa"/>
            <w:vAlign w:val="center"/>
          </w:tcPr>
          <w:p w:rsidR="00286C71" w:rsidRPr="000E48BA" w:rsidRDefault="00286C71" w:rsidP="00701DCF">
            <w:pPr>
              <w:pStyle w:val="Tabletext"/>
              <w:rPr>
                <w:rFonts w:cs="Arial"/>
                <w:sz w:val="20"/>
                <w:szCs w:val="20"/>
              </w:rPr>
            </w:pPr>
            <w:r w:rsidRPr="000E48BA">
              <w:rPr>
                <w:rFonts w:cs="Arial"/>
                <w:sz w:val="20"/>
                <w:szCs w:val="20"/>
              </w:rPr>
              <w:t>5</w:t>
            </w:r>
            <w:r>
              <w:rPr>
                <w:rFonts w:cs="Arial"/>
                <w:sz w:val="20"/>
                <w:szCs w:val="20"/>
              </w:rPr>
              <w:t>,</w:t>
            </w:r>
            <w:r w:rsidRPr="000E48BA">
              <w:rPr>
                <w:rFonts w:cs="Arial"/>
                <w:sz w:val="20"/>
                <w:szCs w:val="20"/>
              </w:rPr>
              <w:t>725</w:t>
            </w:r>
          </w:p>
        </w:tc>
        <w:tc>
          <w:tcPr>
            <w:tcW w:w="990" w:type="dxa"/>
            <w:vAlign w:val="center"/>
          </w:tcPr>
          <w:p w:rsidR="00286C71" w:rsidRPr="000E48BA" w:rsidRDefault="00286C71" w:rsidP="00701DCF">
            <w:pPr>
              <w:pStyle w:val="Tabletext"/>
              <w:rPr>
                <w:rFonts w:cs="Arial"/>
                <w:sz w:val="20"/>
                <w:szCs w:val="20"/>
              </w:rPr>
            </w:pPr>
            <w:r w:rsidRPr="000E48BA">
              <w:rPr>
                <w:rFonts w:cs="Arial"/>
                <w:sz w:val="20"/>
                <w:szCs w:val="20"/>
              </w:rPr>
              <w:t>261</w:t>
            </w:r>
          </w:p>
        </w:tc>
        <w:tc>
          <w:tcPr>
            <w:tcW w:w="939" w:type="dxa"/>
            <w:vAlign w:val="center"/>
          </w:tcPr>
          <w:p w:rsidR="00286C71" w:rsidRPr="000E48BA" w:rsidRDefault="00286C71" w:rsidP="00701DCF">
            <w:pPr>
              <w:pStyle w:val="Tabletext"/>
              <w:rPr>
                <w:rFonts w:cs="Arial"/>
                <w:sz w:val="20"/>
                <w:szCs w:val="20"/>
              </w:rPr>
            </w:pPr>
            <w:r w:rsidRPr="000E48BA">
              <w:rPr>
                <w:rFonts w:cs="Arial"/>
                <w:sz w:val="20"/>
                <w:szCs w:val="20"/>
              </w:rPr>
              <w:t>2504</w:t>
            </w:r>
          </w:p>
        </w:tc>
        <w:tc>
          <w:tcPr>
            <w:tcW w:w="910" w:type="dxa"/>
            <w:vAlign w:val="center"/>
          </w:tcPr>
          <w:p w:rsidR="00286C71" w:rsidRPr="000E48BA" w:rsidRDefault="00286C71" w:rsidP="00701DCF">
            <w:pPr>
              <w:pStyle w:val="Tabletext"/>
              <w:rPr>
                <w:rFonts w:cs="Arial"/>
                <w:sz w:val="20"/>
                <w:szCs w:val="20"/>
              </w:rPr>
            </w:pPr>
            <w:r w:rsidRPr="000E48BA">
              <w:rPr>
                <w:rFonts w:cs="Arial"/>
                <w:sz w:val="20"/>
                <w:szCs w:val="20"/>
              </w:rPr>
              <w:t>153</w:t>
            </w:r>
          </w:p>
        </w:tc>
      </w:tr>
      <w:tr w:rsidR="00286C71" w:rsidRPr="00094B43" w:rsidTr="00701DCF">
        <w:trPr>
          <w:trHeight w:val="305"/>
          <w:jc w:val="center"/>
        </w:trPr>
        <w:tc>
          <w:tcPr>
            <w:tcW w:w="3413" w:type="dxa"/>
            <w:shd w:val="clear" w:color="auto" w:fill="auto"/>
            <w:vAlign w:val="center"/>
          </w:tcPr>
          <w:p w:rsidR="00286C71" w:rsidRPr="000E48BA" w:rsidRDefault="00286C71" w:rsidP="00701DCF">
            <w:pPr>
              <w:spacing w:after="0"/>
              <w:jc w:val="center"/>
              <w:rPr>
                <w:rFonts w:cs="Arial"/>
                <w:sz w:val="20"/>
                <w:szCs w:val="20"/>
              </w:rPr>
            </w:pPr>
            <w:r w:rsidRPr="000E48BA">
              <w:rPr>
                <w:rFonts w:cs="Arial"/>
                <w:sz w:val="20"/>
                <w:szCs w:val="20"/>
              </w:rPr>
              <w:t>Total Customers Interrupted</w:t>
            </w:r>
          </w:p>
        </w:tc>
        <w:tc>
          <w:tcPr>
            <w:tcW w:w="939" w:type="dxa"/>
            <w:vAlign w:val="center"/>
          </w:tcPr>
          <w:p w:rsidR="00286C71" w:rsidRPr="000E48BA" w:rsidRDefault="00286C71" w:rsidP="00701DCF">
            <w:pPr>
              <w:pStyle w:val="Tabletext"/>
              <w:rPr>
                <w:rFonts w:cs="Arial"/>
                <w:sz w:val="20"/>
                <w:szCs w:val="20"/>
              </w:rPr>
            </w:pPr>
            <w:r w:rsidRPr="000E48BA">
              <w:rPr>
                <w:rFonts w:cs="Arial"/>
                <w:sz w:val="20"/>
                <w:szCs w:val="20"/>
              </w:rPr>
              <w:t>350</w:t>
            </w:r>
            <w:r>
              <w:rPr>
                <w:rFonts w:cs="Arial"/>
                <w:sz w:val="20"/>
                <w:szCs w:val="20"/>
              </w:rPr>
              <w:t>,</w:t>
            </w:r>
            <w:r w:rsidRPr="000E48BA">
              <w:rPr>
                <w:rFonts w:cs="Arial"/>
                <w:sz w:val="20"/>
                <w:szCs w:val="20"/>
              </w:rPr>
              <w:t>800</w:t>
            </w:r>
          </w:p>
        </w:tc>
        <w:tc>
          <w:tcPr>
            <w:tcW w:w="1106" w:type="dxa"/>
            <w:vAlign w:val="center"/>
          </w:tcPr>
          <w:p w:rsidR="00286C71" w:rsidRPr="000E48BA" w:rsidRDefault="00286C71" w:rsidP="00701DCF">
            <w:pPr>
              <w:pStyle w:val="Tabletext"/>
              <w:rPr>
                <w:rFonts w:cs="Arial"/>
                <w:sz w:val="20"/>
                <w:szCs w:val="20"/>
              </w:rPr>
            </w:pPr>
            <w:r w:rsidRPr="007666A4">
              <w:rPr>
                <w:rFonts w:cs="Arial"/>
                <w:sz w:val="20"/>
                <w:szCs w:val="20"/>
              </w:rPr>
              <w:t>1</w:t>
            </w:r>
            <w:r>
              <w:rPr>
                <w:rFonts w:cs="Arial"/>
                <w:sz w:val="20"/>
                <w:szCs w:val="20"/>
              </w:rPr>
              <w:t>,238,571</w:t>
            </w:r>
          </w:p>
        </w:tc>
        <w:tc>
          <w:tcPr>
            <w:tcW w:w="990" w:type="dxa"/>
            <w:vAlign w:val="center"/>
          </w:tcPr>
          <w:p w:rsidR="00286C71" w:rsidRPr="000E48BA" w:rsidRDefault="00286C71" w:rsidP="00701DCF">
            <w:pPr>
              <w:pStyle w:val="Tabletext"/>
              <w:rPr>
                <w:rFonts w:cs="Arial"/>
                <w:sz w:val="20"/>
                <w:szCs w:val="20"/>
              </w:rPr>
            </w:pPr>
            <w:r w:rsidRPr="007666A4">
              <w:rPr>
                <w:rFonts w:cs="Arial"/>
                <w:sz w:val="20"/>
                <w:szCs w:val="20"/>
              </w:rPr>
              <w:t>797</w:t>
            </w:r>
            <w:r>
              <w:rPr>
                <w:rFonts w:cs="Arial"/>
                <w:sz w:val="20"/>
                <w:szCs w:val="20"/>
              </w:rPr>
              <w:t>,</w:t>
            </w:r>
            <w:r w:rsidRPr="007666A4">
              <w:rPr>
                <w:rFonts w:cs="Arial"/>
                <w:sz w:val="20"/>
                <w:szCs w:val="20"/>
              </w:rPr>
              <w:t>215</w:t>
            </w:r>
          </w:p>
        </w:tc>
        <w:tc>
          <w:tcPr>
            <w:tcW w:w="990" w:type="dxa"/>
            <w:vAlign w:val="center"/>
          </w:tcPr>
          <w:p w:rsidR="00286C71" w:rsidRPr="000E48BA" w:rsidRDefault="00286C71" w:rsidP="00701DCF">
            <w:pPr>
              <w:pStyle w:val="Tabletext"/>
              <w:rPr>
                <w:rFonts w:cs="Arial"/>
                <w:sz w:val="20"/>
                <w:szCs w:val="20"/>
              </w:rPr>
            </w:pPr>
            <w:r w:rsidRPr="007666A4">
              <w:rPr>
                <w:rFonts w:cs="Arial"/>
                <w:sz w:val="20"/>
                <w:szCs w:val="20"/>
              </w:rPr>
              <w:t>42</w:t>
            </w:r>
            <w:r>
              <w:rPr>
                <w:rFonts w:cs="Arial"/>
                <w:sz w:val="20"/>
                <w:szCs w:val="20"/>
              </w:rPr>
              <w:t>,</w:t>
            </w:r>
            <w:r w:rsidRPr="007666A4">
              <w:rPr>
                <w:rFonts w:cs="Arial"/>
                <w:sz w:val="20"/>
                <w:szCs w:val="20"/>
              </w:rPr>
              <w:t>490</w:t>
            </w:r>
          </w:p>
        </w:tc>
        <w:tc>
          <w:tcPr>
            <w:tcW w:w="939" w:type="dxa"/>
            <w:vAlign w:val="center"/>
          </w:tcPr>
          <w:p w:rsidR="00286C71" w:rsidRPr="000E48BA" w:rsidRDefault="00286C71" w:rsidP="00701DCF">
            <w:pPr>
              <w:pStyle w:val="Tabletext"/>
              <w:rPr>
                <w:rFonts w:cs="Arial"/>
                <w:sz w:val="20"/>
                <w:szCs w:val="20"/>
              </w:rPr>
            </w:pPr>
            <w:r w:rsidRPr="007666A4">
              <w:rPr>
                <w:rFonts w:cs="Arial"/>
                <w:sz w:val="20"/>
                <w:szCs w:val="20"/>
              </w:rPr>
              <w:t>245</w:t>
            </w:r>
            <w:r>
              <w:rPr>
                <w:rFonts w:cs="Arial"/>
                <w:sz w:val="20"/>
                <w:szCs w:val="20"/>
              </w:rPr>
              <w:t>,</w:t>
            </w:r>
            <w:r w:rsidRPr="007666A4">
              <w:rPr>
                <w:rFonts w:cs="Arial"/>
                <w:sz w:val="20"/>
                <w:szCs w:val="20"/>
              </w:rPr>
              <w:t>983</w:t>
            </w:r>
          </w:p>
        </w:tc>
        <w:tc>
          <w:tcPr>
            <w:tcW w:w="910" w:type="dxa"/>
            <w:vAlign w:val="center"/>
          </w:tcPr>
          <w:p w:rsidR="00286C71" w:rsidRPr="000E48BA" w:rsidRDefault="00286C71" w:rsidP="00701DCF">
            <w:pPr>
              <w:pStyle w:val="Tabletext"/>
              <w:rPr>
                <w:rFonts w:cs="Arial"/>
                <w:sz w:val="20"/>
                <w:szCs w:val="20"/>
              </w:rPr>
            </w:pPr>
            <w:r w:rsidRPr="007666A4">
              <w:rPr>
                <w:rFonts w:cs="Arial"/>
                <w:sz w:val="20"/>
                <w:szCs w:val="20"/>
              </w:rPr>
              <w:t>19</w:t>
            </w:r>
            <w:r>
              <w:rPr>
                <w:rFonts w:cs="Arial"/>
                <w:sz w:val="20"/>
                <w:szCs w:val="20"/>
              </w:rPr>
              <w:t>,</w:t>
            </w:r>
            <w:r w:rsidRPr="007666A4">
              <w:rPr>
                <w:rFonts w:cs="Arial"/>
                <w:sz w:val="20"/>
                <w:szCs w:val="20"/>
              </w:rPr>
              <w:t>677</w:t>
            </w:r>
          </w:p>
        </w:tc>
      </w:tr>
      <w:tr w:rsidR="00286C71" w:rsidRPr="00094B43" w:rsidTr="00701DCF">
        <w:trPr>
          <w:trHeight w:val="305"/>
          <w:jc w:val="center"/>
        </w:trPr>
        <w:tc>
          <w:tcPr>
            <w:tcW w:w="3413" w:type="dxa"/>
            <w:shd w:val="clear" w:color="auto" w:fill="auto"/>
            <w:vAlign w:val="center"/>
          </w:tcPr>
          <w:p w:rsidR="00286C71" w:rsidRPr="000E48BA" w:rsidRDefault="00286C71" w:rsidP="00701DCF">
            <w:pPr>
              <w:spacing w:after="0"/>
              <w:jc w:val="center"/>
              <w:rPr>
                <w:rFonts w:cs="Arial"/>
                <w:sz w:val="20"/>
                <w:szCs w:val="20"/>
              </w:rPr>
            </w:pPr>
            <w:r w:rsidRPr="000E48BA">
              <w:rPr>
                <w:rFonts w:cs="Arial"/>
                <w:sz w:val="20"/>
                <w:szCs w:val="20"/>
              </w:rPr>
              <w:t>Maximum Outage Duration (</w:t>
            </w:r>
            <w:proofErr w:type="spellStart"/>
            <w:r w:rsidRPr="000E48BA">
              <w:rPr>
                <w:rFonts w:cs="Arial"/>
                <w:sz w:val="20"/>
                <w:szCs w:val="20"/>
              </w:rPr>
              <w:t>hh:mm</w:t>
            </w:r>
            <w:proofErr w:type="spellEnd"/>
            <w:r w:rsidRPr="000E48BA">
              <w:rPr>
                <w:rFonts w:cs="Arial"/>
                <w:sz w:val="20"/>
                <w:szCs w:val="20"/>
              </w:rPr>
              <w:t>)</w:t>
            </w:r>
          </w:p>
        </w:tc>
        <w:tc>
          <w:tcPr>
            <w:tcW w:w="939" w:type="dxa"/>
            <w:vAlign w:val="center"/>
          </w:tcPr>
          <w:p w:rsidR="00286C71" w:rsidRPr="000E48BA" w:rsidRDefault="00286C71" w:rsidP="00701DCF">
            <w:pPr>
              <w:pStyle w:val="Tabletext"/>
              <w:rPr>
                <w:rFonts w:cs="Arial"/>
                <w:sz w:val="20"/>
                <w:szCs w:val="20"/>
              </w:rPr>
            </w:pPr>
            <w:r>
              <w:rPr>
                <w:rFonts w:cs="Arial"/>
                <w:sz w:val="20"/>
                <w:szCs w:val="20"/>
              </w:rPr>
              <w:t>59:07</w:t>
            </w:r>
          </w:p>
        </w:tc>
        <w:tc>
          <w:tcPr>
            <w:tcW w:w="1106" w:type="dxa"/>
            <w:vAlign w:val="center"/>
          </w:tcPr>
          <w:p w:rsidR="00286C71" w:rsidRPr="000E48BA" w:rsidRDefault="00286C71" w:rsidP="00701DCF">
            <w:pPr>
              <w:pStyle w:val="Tabletext"/>
              <w:rPr>
                <w:rFonts w:cs="Arial"/>
                <w:sz w:val="20"/>
                <w:szCs w:val="20"/>
              </w:rPr>
            </w:pPr>
            <w:r>
              <w:rPr>
                <w:rFonts w:cs="Arial"/>
                <w:sz w:val="20"/>
                <w:szCs w:val="20"/>
              </w:rPr>
              <w:t>151:42</w:t>
            </w:r>
          </w:p>
        </w:tc>
        <w:tc>
          <w:tcPr>
            <w:tcW w:w="990" w:type="dxa"/>
            <w:vAlign w:val="center"/>
          </w:tcPr>
          <w:p w:rsidR="00286C71" w:rsidRPr="000E48BA" w:rsidRDefault="00286C71" w:rsidP="00701DCF">
            <w:pPr>
              <w:pStyle w:val="Tabletext"/>
              <w:rPr>
                <w:rFonts w:cs="Arial"/>
                <w:sz w:val="20"/>
                <w:szCs w:val="20"/>
              </w:rPr>
            </w:pPr>
            <w:r>
              <w:rPr>
                <w:rFonts w:cs="Arial"/>
                <w:sz w:val="20"/>
                <w:szCs w:val="20"/>
              </w:rPr>
              <w:t>199:50</w:t>
            </w:r>
          </w:p>
        </w:tc>
        <w:tc>
          <w:tcPr>
            <w:tcW w:w="990" w:type="dxa"/>
            <w:vAlign w:val="center"/>
          </w:tcPr>
          <w:p w:rsidR="00286C71" w:rsidRPr="000E48BA" w:rsidRDefault="00286C71" w:rsidP="00701DCF">
            <w:pPr>
              <w:pStyle w:val="Tabletext"/>
              <w:rPr>
                <w:rFonts w:cs="Arial"/>
                <w:sz w:val="20"/>
                <w:szCs w:val="20"/>
              </w:rPr>
            </w:pPr>
            <w:r>
              <w:rPr>
                <w:rFonts w:cs="Arial"/>
                <w:sz w:val="20"/>
                <w:szCs w:val="20"/>
              </w:rPr>
              <w:t>33:06</w:t>
            </w:r>
          </w:p>
        </w:tc>
        <w:tc>
          <w:tcPr>
            <w:tcW w:w="939" w:type="dxa"/>
            <w:vAlign w:val="center"/>
          </w:tcPr>
          <w:p w:rsidR="00286C71" w:rsidRPr="000E48BA" w:rsidRDefault="00286C71" w:rsidP="00701DCF">
            <w:pPr>
              <w:pStyle w:val="Tabletext"/>
              <w:rPr>
                <w:rFonts w:cs="Arial"/>
                <w:sz w:val="20"/>
                <w:szCs w:val="20"/>
              </w:rPr>
            </w:pPr>
            <w:r>
              <w:rPr>
                <w:rFonts w:cs="Arial"/>
                <w:sz w:val="20"/>
                <w:szCs w:val="20"/>
              </w:rPr>
              <w:t>87:50</w:t>
            </w:r>
          </w:p>
        </w:tc>
        <w:tc>
          <w:tcPr>
            <w:tcW w:w="910" w:type="dxa"/>
            <w:vAlign w:val="center"/>
          </w:tcPr>
          <w:p w:rsidR="00286C71" w:rsidRPr="000E48BA" w:rsidRDefault="00286C71" w:rsidP="00701DCF">
            <w:pPr>
              <w:pStyle w:val="Tabletext"/>
              <w:rPr>
                <w:rFonts w:cs="Arial"/>
                <w:sz w:val="20"/>
                <w:szCs w:val="20"/>
              </w:rPr>
            </w:pPr>
            <w:r>
              <w:rPr>
                <w:rFonts w:cs="Arial"/>
                <w:sz w:val="20"/>
                <w:szCs w:val="20"/>
              </w:rPr>
              <w:t>25:45</w:t>
            </w:r>
          </w:p>
        </w:tc>
      </w:tr>
      <w:tr w:rsidR="00286C71" w:rsidRPr="00094B43" w:rsidTr="00701DCF">
        <w:trPr>
          <w:trHeight w:val="305"/>
          <w:jc w:val="center"/>
        </w:trPr>
        <w:tc>
          <w:tcPr>
            <w:tcW w:w="3413" w:type="dxa"/>
            <w:shd w:val="clear" w:color="auto" w:fill="auto"/>
            <w:vAlign w:val="center"/>
          </w:tcPr>
          <w:p w:rsidR="00286C71" w:rsidRPr="000E48BA" w:rsidRDefault="00286C71" w:rsidP="00701DCF">
            <w:pPr>
              <w:spacing w:after="0"/>
              <w:jc w:val="center"/>
              <w:rPr>
                <w:rFonts w:cs="Arial"/>
                <w:sz w:val="20"/>
                <w:szCs w:val="20"/>
              </w:rPr>
            </w:pPr>
            <w:r w:rsidRPr="000E48BA">
              <w:rPr>
                <w:rFonts w:cs="Arial"/>
                <w:sz w:val="20"/>
                <w:szCs w:val="20"/>
              </w:rPr>
              <w:t xml:space="preserve">Number of Events </w:t>
            </w:r>
            <w:r>
              <w:rPr>
                <w:rFonts w:cs="Arial"/>
                <w:sz w:val="20"/>
                <w:szCs w:val="20"/>
              </w:rPr>
              <w:t>Where Mutual Aid</w:t>
            </w:r>
            <w:r w:rsidRPr="000E48BA">
              <w:rPr>
                <w:rFonts w:cs="Arial"/>
                <w:sz w:val="20"/>
                <w:szCs w:val="20"/>
              </w:rPr>
              <w:t xml:space="preserve"> Utility Personnel </w:t>
            </w:r>
            <w:r>
              <w:rPr>
                <w:rFonts w:cs="Arial"/>
                <w:sz w:val="20"/>
                <w:szCs w:val="20"/>
              </w:rPr>
              <w:t xml:space="preserve">Were </w:t>
            </w:r>
            <w:r w:rsidRPr="000E48BA">
              <w:rPr>
                <w:rFonts w:cs="Arial"/>
                <w:sz w:val="20"/>
                <w:szCs w:val="20"/>
              </w:rPr>
              <w:t>Used</w:t>
            </w:r>
          </w:p>
        </w:tc>
        <w:tc>
          <w:tcPr>
            <w:tcW w:w="939" w:type="dxa"/>
            <w:vAlign w:val="center"/>
          </w:tcPr>
          <w:p w:rsidR="00286C71" w:rsidRPr="000E48BA" w:rsidRDefault="00286C71" w:rsidP="00701DCF">
            <w:pPr>
              <w:pStyle w:val="Tabletext"/>
              <w:rPr>
                <w:rFonts w:cs="Arial"/>
                <w:sz w:val="20"/>
                <w:szCs w:val="20"/>
              </w:rPr>
            </w:pPr>
            <w:r>
              <w:rPr>
                <w:rFonts w:cs="Arial"/>
                <w:sz w:val="20"/>
                <w:szCs w:val="20"/>
              </w:rPr>
              <w:t>1</w:t>
            </w:r>
          </w:p>
        </w:tc>
        <w:tc>
          <w:tcPr>
            <w:tcW w:w="1106" w:type="dxa"/>
            <w:vAlign w:val="center"/>
          </w:tcPr>
          <w:p w:rsidR="00286C71" w:rsidRPr="000E48BA" w:rsidRDefault="00286C71" w:rsidP="00701DCF">
            <w:pPr>
              <w:pStyle w:val="Tabletext"/>
              <w:rPr>
                <w:rFonts w:cs="Arial"/>
                <w:sz w:val="20"/>
                <w:szCs w:val="20"/>
              </w:rPr>
            </w:pPr>
            <w:r>
              <w:rPr>
                <w:rFonts w:cs="Arial"/>
                <w:sz w:val="20"/>
                <w:szCs w:val="20"/>
              </w:rPr>
              <w:t>3</w:t>
            </w:r>
          </w:p>
        </w:tc>
        <w:tc>
          <w:tcPr>
            <w:tcW w:w="990" w:type="dxa"/>
            <w:vAlign w:val="center"/>
          </w:tcPr>
          <w:p w:rsidR="00286C71" w:rsidRPr="000E48BA" w:rsidRDefault="00286C71" w:rsidP="00701DCF">
            <w:pPr>
              <w:pStyle w:val="Tabletext"/>
              <w:rPr>
                <w:rFonts w:cs="Arial"/>
                <w:sz w:val="20"/>
                <w:szCs w:val="20"/>
              </w:rPr>
            </w:pPr>
            <w:r>
              <w:rPr>
                <w:rFonts w:cs="Arial"/>
                <w:sz w:val="20"/>
                <w:szCs w:val="20"/>
              </w:rPr>
              <w:t>1</w:t>
            </w:r>
          </w:p>
        </w:tc>
        <w:tc>
          <w:tcPr>
            <w:tcW w:w="990" w:type="dxa"/>
            <w:vAlign w:val="center"/>
          </w:tcPr>
          <w:p w:rsidR="00286C71" w:rsidRPr="000E48BA" w:rsidRDefault="00286C71" w:rsidP="00701DCF">
            <w:pPr>
              <w:pStyle w:val="Tabletext"/>
              <w:rPr>
                <w:rFonts w:cs="Arial"/>
                <w:sz w:val="20"/>
                <w:szCs w:val="20"/>
              </w:rPr>
            </w:pPr>
            <w:r>
              <w:rPr>
                <w:rFonts w:cs="Arial"/>
                <w:sz w:val="20"/>
                <w:szCs w:val="20"/>
              </w:rPr>
              <w:t>0</w:t>
            </w:r>
          </w:p>
        </w:tc>
        <w:tc>
          <w:tcPr>
            <w:tcW w:w="939" w:type="dxa"/>
            <w:vAlign w:val="center"/>
          </w:tcPr>
          <w:p w:rsidR="00286C71" w:rsidRPr="000E48BA" w:rsidRDefault="00286C71" w:rsidP="00701DCF">
            <w:pPr>
              <w:pStyle w:val="Tabletext"/>
              <w:rPr>
                <w:rFonts w:cs="Arial"/>
                <w:sz w:val="20"/>
                <w:szCs w:val="20"/>
              </w:rPr>
            </w:pPr>
            <w:r>
              <w:rPr>
                <w:rFonts w:cs="Arial"/>
                <w:sz w:val="20"/>
                <w:szCs w:val="20"/>
              </w:rPr>
              <w:t>3</w:t>
            </w:r>
          </w:p>
        </w:tc>
        <w:tc>
          <w:tcPr>
            <w:tcW w:w="910" w:type="dxa"/>
            <w:vAlign w:val="center"/>
          </w:tcPr>
          <w:p w:rsidR="00286C71" w:rsidRPr="000E48BA" w:rsidRDefault="00286C71" w:rsidP="00701DCF">
            <w:pPr>
              <w:pStyle w:val="Tabletext"/>
              <w:rPr>
                <w:rFonts w:cs="Arial"/>
                <w:sz w:val="20"/>
                <w:szCs w:val="20"/>
              </w:rPr>
            </w:pPr>
            <w:r>
              <w:rPr>
                <w:rFonts w:cs="Arial"/>
                <w:sz w:val="20"/>
                <w:szCs w:val="20"/>
              </w:rPr>
              <w:t>0</w:t>
            </w:r>
          </w:p>
        </w:tc>
      </w:tr>
      <w:tr w:rsidR="00286C71" w:rsidRPr="00094B43" w:rsidTr="00701DCF">
        <w:trPr>
          <w:jc w:val="center"/>
        </w:trPr>
        <w:tc>
          <w:tcPr>
            <w:tcW w:w="9287" w:type="dxa"/>
            <w:gridSpan w:val="7"/>
            <w:vAlign w:val="center"/>
          </w:tcPr>
          <w:p w:rsidR="00286C71" w:rsidRPr="00094B43" w:rsidRDefault="00286C71" w:rsidP="00701DCF">
            <w:pPr>
              <w:spacing w:after="0"/>
              <w:jc w:val="left"/>
              <w:rPr>
                <w:rFonts w:cs="Arial"/>
              </w:rPr>
            </w:pPr>
            <w:r w:rsidRPr="000E48BA">
              <w:rPr>
                <w:rFonts w:cs="Arial"/>
                <w:sz w:val="20"/>
              </w:rPr>
              <w:t xml:space="preserve">Source: </w:t>
            </w:r>
            <w:hyperlink r:id="rId53" w:history="1">
              <w:r w:rsidRPr="005B7C58">
                <w:rPr>
                  <w:rStyle w:val="Hyperlink"/>
                  <w:rFonts w:cs="Arial"/>
                  <w:sz w:val="20"/>
                </w:rPr>
                <w:t>http://www.puc.pa.gov/about_puc/consolidated_case_view.aspx?Docket=L-PRMD7509</w:t>
              </w:r>
            </w:hyperlink>
            <w:r>
              <w:rPr>
                <w:rFonts w:cs="Arial"/>
                <w:sz w:val="20"/>
              </w:rPr>
              <w:t>, data compiled from individual storm reports</w:t>
            </w:r>
          </w:p>
        </w:tc>
      </w:tr>
    </w:tbl>
    <w:p w:rsidR="00286C71" w:rsidRDefault="00286C71" w:rsidP="00701DCF">
      <w:pPr>
        <w:pStyle w:val="Normal-aftertable"/>
      </w:pPr>
      <w:r>
        <w:t>From 2010 through 2015, PPL EU responded to 37 PUC reportable storm events affecting more than 2,500 customers for six or more consecutive</w:t>
      </w:r>
      <w:r w:rsidRPr="00923A03">
        <w:t xml:space="preserve"> </w:t>
      </w:r>
      <w:r>
        <w:t>hours, the PUC reporting threshold.  The Number of Reportable Events is the number of these events that occurred during the year meeting the reporting threshold.  The Total Trouble Cases are the sum of the individual damage locations recorded for the reportable events.  As noted in the table there were seven events where mutual aid utilities provided restoration crews to PPL EU.  Restoration efforts for the remaining events were handled by PPL EU personnel and contractors.</w:t>
      </w:r>
    </w:p>
    <w:p w:rsidR="00286C71" w:rsidRDefault="00286C71" w:rsidP="00701DCF">
      <w:pPr>
        <w:rPr>
          <w:rFonts w:cs="Arial"/>
          <w:szCs w:val="24"/>
        </w:rPr>
      </w:pPr>
      <w:r w:rsidRPr="00A30605">
        <w:rPr>
          <w:rFonts w:cs="Arial"/>
          <w:szCs w:val="24"/>
        </w:rPr>
        <w:t>Four of the reportable storms that occurred during the above period qualified as major events which are excludable from reliability metrics.  A major event is defined as either:</w:t>
      </w:r>
    </w:p>
    <w:p w:rsidR="00286C71" w:rsidRDefault="00286C71" w:rsidP="00701DCF">
      <w:pPr>
        <w:pStyle w:val="Bullet"/>
      </w:pPr>
      <w:r>
        <w:t>An interruption of electric service resulting from conditions beyond the control of the EDC which affects at least ten percent of the customers in the EDC’s service territory during the course of the event for a duration of five minutes or greater, or</w:t>
      </w:r>
    </w:p>
    <w:p w:rsidR="00286C71" w:rsidRPr="00A30605" w:rsidRDefault="00286C71" w:rsidP="00701DCF">
      <w:pPr>
        <w:pStyle w:val="Bullet"/>
        <w:rPr>
          <w:rFonts w:cs="Arial"/>
        </w:rPr>
      </w:pPr>
      <w:r>
        <w:t>An unscheduled interruption of electric service resulting from an action taken by an EDC to maintain the adequacy and security of the electrical system.</w:t>
      </w:r>
    </w:p>
    <w:p w:rsidR="00286C71" w:rsidRDefault="00286C71" w:rsidP="00701DCF">
      <w:pPr>
        <w:pStyle w:val="Normal-aftertable"/>
      </w:pPr>
      <w:r>
        <w:t>The following exhibit summarizes the major events that were excluded from annual reliability performance results reported to the PUC.</w:t>
      </w:r>
    </w:p>
    <w:p w:rsidR="00286C71" w:rsidRPr="007D7B1B" w:rsidRDefault="00ED6D61" w:rsidP="00ED6D61">
      <w:pPr>
        <w:pStyle w:val="Caption"/>
      </w:pPr>
      <w:bookmarkStart w:id="183" w:name="_Toc464552999"/>
      <w:r>
        <w:t xml:space="preserve">Exhibit </w:t>
      </w:r>
      <w:r w:rsidR="00CB2B2A">
        <w:fldChar w:fldCharType="begin"/>
      </w:r>
      <w:r w:rsidR="00EC053E">
        <w:instrText xml:space="preserve"> STYLEREF 1 \s </w:instrText>
      </w:r>
      <w:r w:rsidR="00CB2B2A">
        <w:fldChar w:fldCharType="separate"/>
      </w:r>
      <w:r w:rsidR="00CA3BDB">
        <w:rPr>
          <w:noProof/>
        </w:rPr>
        <w:t>VII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5A1330">
        <w:br/>
      </w:r>
      <w:r w:rsidR="00286C71">
        <w:t>P</w:t>
      </w:r>
      <w:r w:rsidR="006458AD">
        <w:t>PL EU Major Storm Events 2010–</w:t>
      </w:r>
      <w:r w:rsidR="00286C71">
        <w:t>2015</w:t>
      </w:r>
      <w:bookmarkEnd w:id="1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3"/>
        <w:gridCol w:w="2106"/>
        <w:gridCol w:w="2790"/>
      </w:tblGrid>
      <w:tr w:rsidR="00286C71" w:rsidRPr="007370C9" w:rsidTr="00286C71">
        <w:trPr>
          <w:cantSplit/>
          <w:tblHeader/>
          <w:jc w:val="center"/>
        </w:trPr>
        <w:tc>
          <w:tcPr>
            <w:tcW w:w="2633" w:type="dxa"/>
            <w:shd w:val="clear" w:color="auto" w:fill="A5CD7E"/>
            <w:vAlign w:val="center"/>
          </w:tcPr>
          <w:p w:rsidR="00286C71" w:rsidRPr="00425F31" w:rsidRDefault="00286C71" w:rsidP="007370C9">
            <w:pPr>
              <w:spacing w:before="120"/>
              <w:jc w:val="center"/>
              <w:rPr>
                <w:b/>
              </w:rPr>
            </w:pPr>
            <w:r>
              <w:rPr>
                <w:b/>
              </w:rPr>
              <w:t>Date</w:t>
            </w:r>
          </w:p>
        </w:tc>
        <w:tc>
          <w:tcPr>
            <w:tcW w:w="2106" w:type="dxa"/>
            <w:shd w:val="clear" w:color="auto" w:fill="A5CD7E"/>
            <w:vAlign w:val="center"/>
          </w:tcPr>
          <w:p w:rsidR="00286C71" w:rsidRPr="00DA3088" w:rsidRDefault="00286C71" w:rsidP="007370C9">
            <w:pPr>
              <w:spacing w:before="120"/>
              <w:jc w:val="center"/>
              <w:rPr>
                <w:b/>
              </w:rPr>
            </w:pPr>
            <w:r>
              <w:rPr>
                <w:b/>
              </w:rPr>
              <w:t>Event</w:t>
            </w:r>
          </w:p>
        </w:tc>
        <w:tc>
          <w:tcPr>
            <w:tcW w:w="2790" w:type="dxa"/>
            <w:shd w:val="clear" w:color="auto" w:fill="A5CD7E"/>
            <w:vAlign w:val="center"/>
          </w:tcPr>
          <w:p w:rsidR="00286C71" w:rsidRPr="00DA3088" w:rsidRDefault="00286C71" w:rsidP="007370C9">
            <w:pPr>
              <w:spacing w:before="120"/>
              <w:jc w:val="center"/>
              <w:rPr>
                <w:b/>
              </w:rPr>
            </w:pPr>
            <w:r>
              <w:rPr>
                <w:b/>
              </w:rPr>
              <w:t>Number of Customers Interrupted</w:t>
            </w:r>
          </w:p>
        </w:tc>
      </w:tr>
      <w:tr w:rsidR="00286C71" w:rsidRPr="00094B43" w:rsidTr="00701DCF">
        <w:trPr>
          <w:trHeight w:val="305"/>
          <w:jc w:val="center"/>
        </w:trPr>
        <w:tc>
          <w:tcPr>
            <w:tcW w:w="2633" w:type="dxa"/>
            <w:shd w:val="clear" w:color="auto" w:fill="auto"/>
            <w:vAlign w:val="center"/>
          </w:tcPr>
          <w:p w:rsidR="00286C71" w:rsidRPr="000E48BA" w:rsidRDefault="00286C71" w:rsidP="00701DCF">
            <w:pPr>
              <w:spacing w:after="0"/>
              <w:jc w:val="center"/>
              <w:rPr>
                <w:rFonts w:cs="Arial"/>
                <w:sz w:val="20"/>
                <w:szCs w:val="20"/>
              </w:rPr>
            </w:pPr>
            <w:r>
              <w:rPr>
                <w:rFonts w:cs="Arial"/>
                <w:sz w:val="20"/>
                <w:szCs w:val="20"/>
              </w:rPr>
              <w:t>Aug. 26 – Sept. 3, 2011</w:t>
            </w:r>
          </w:p>
        </w:tc>
        <w:tc>
          <w:tcPr>
            <w:tcW w:w="2106" w:type="dxa"/>
            <w:vAlign w:val="center"/>
          </w:tcPr>
          <w:p w:rsidR="00286C71" w:rsidRPr="000E48BA" w:rsidRDefault="00286C71" w:rsidP="00701DCF">
            <w:pPr>
              <w:pStyle w:val="Tabletext"/>
              <w:rPr>
                <w:rFonts w:cs="Arial"/>
                <w:sz w:val="20"/>
                <w:szCs w:val="20"/>
              </w:rPr>
            </w:pPr>
            <w:r>
              <w:rPr>
                <w:rFonts w:cs="Arial"/>
                <w:sz w:val="20"/>
                <w:szCs w:val="20"/>
              </w:rPr>
              <w:t>Hurricane Irene</w:t>
            </w:r>
          </w:p>
        </w:tc>
        <w:tc>
          <w:tcPr>
            <w:tcW w:w="2790" w:type="dxa"/>
            <w:vAlign w:val="center"/>
          </w:tcPr>
          <w:p w:rsidR="00286C71" w:rsidRPr="000E48BA" w:rsidRDefault="00286C71" w:rsidP="00701DCF">
            <w:pPr>
              <w:pStyle w:val="Tabletext"/>
              <w:rPr>
                <w:rFonts w:cs="Arial"/>
                <w:sz w:val="20"/>
                <w:szCs w:val="20"/>
              </w:rPr>
            </w:pPr>
            <w:r>
              <w:rPr>
                <w:rFonts w:cs="Arial"/>
                <w:sz w:val="20"/>
                <w:szCs w:val="20"/>
              </w:rPr>
              <w:t>428,503</w:t>
            </w:r>
          </w:p>
        </w:tc>
      </w:tr>
      <w:tr w:rsidR="00286C71" w:rsidRPr="00094B43" w:rsidTr="00701DCF">
        <w:trPr>
          <w:trHeight w:val="305"/>
          <w:jc w:val="center"/>
        </w:trPr>
        <w:tc>
          <w:tcPr>
            <w:tcW w:w="2633" w:type="dxa"/>
            <w:shd w:val="clear" w:color="auto" w:fill="auto"/>
            <w:vAlign w:val="center"/>
          </w:tcPr>
          <w:p w:rsidR="00286C71" w:rsidRPr="000E48BA" w:rsidRDefault="00286C71" w:rsidP="00701DCF">
            <w:pPr>
              <w:spacing w:after="0"/>
              <w:jc w:val="center"/>
              <w:rPr>
                <w:rFonts w:cs="Arial"/>
                <w:sz w:val="20"/>
                <w:szCs w:val="20"/>
              </w:rPr>
            </w:pPr>
            <w:r>
              <w:rPr>
                <w:rFonts w:cs="Arial"/>
                <w:sz w:val="20"/>
                <w:szCs w:val="20"/>
              </w:rPr>
              <w:t>Oct. 29 – Nov. 5, 2011</w:t>
            </w:r>
          </w:p>
        </w:tc>
        <w:tc>
          <w:tcPr>
            <w:tcW w:w="2106" w:type="dxa"/>
            <w:vAlign w:val="center"/>
          </w:tcPr>
          <w:p w:rsidR="00286C71" w:rsidRPr="000E48BA" w:rsidRDefault="00286C71" w:rsidP="00701DCF">
            <w:pPr>
              <w:pStyle w:val="Tabletext"/>
              <w:rPr>
                <w:rFonts w:cs="Arial"/>
                <w:sz w:val="20"/>
                <w:szCs w:val="20"/>
              </w:rPr>
            </w:pPr>
            <w:r>
              <w:rPr>
                <w:rFonts w:cs="Arial"/>
                <w:sz w:val="20"/>
                <w:szCs w:val="20"/>
              </w:rPr>
              <w:t>Snow</w:t>
            </w:r>
          </w:p>
        </w:tc>
        <w:tc>
          <w:tcPr>
            <w:tcW w:w="2790" w:type="dxa"/>
            <w:vAlign w:val="center"/>
          </w:tcPr>
          <w:p w:rsidR="00286C71" w:rsidRPr="000E48BA" w:rsidRDefault="00286C71" w:rsidP="00701DCF">
            <w:pPr>
              <w:pStyle w:val="Tabletext"/>
              <w:rPr>
                <w:rFonts w:cs="Arial"/>
                <w:sz w:val="20"/>
                <w:szCs w:val="20"/>
              </w:rPr>
            </w:pPr>
            <w:r>
              <w:rPr>
                <w:rFonts w:cs="Arial"/>
                <w:sz w:val="20"/>
                <w:szCs w:val="20"/>
              </w:rPr>
              <w:t>388,318</w:t>
            </w:r>
          </w:p>
        </w:tc>
      </w:tr>
      <w:tr w:rsidR="00286C71" w:rsidRPr="00094B43" w:rsidTr="00701DCF">
        <w:trPr>
          <w:trHeight w:val="305"/>
          <w:jc w:val="center"/>
        </w:trPr>
        <w:tc>
          <w:tcPr>
            <w:tcW w:w="2633" w:type="dxa"/>
            <w:shd w:val="clear" w:color="auto" w:fill="auto"/>
            <w:vAlign w:val="center"/>
          </w:tcPr>
          <w:p w:rsidR="00286C71" w:rsidRPr="000E48BA" w:rsidRDefault="00286C71" w:rsidP="00701DCF">
            <w:pPr>
              <w:spacing w:after="0"/>
              <w:jc w:val="center"/>
              <w:rPr>
                <w:rFonts w:cs="Arial"/>
                <w:sz w:val="20"/>
                <w:szCs w:val="20"/>
              </w:rPr>
            </w:pPr>
            <w:r>
              <w:rPr>
                <w:rFonts w:cs="Arial"/>
                <w:sz w:val="20"/>
                <w:szCs w:val="20"/>
              </w:rPr>
              <w:t>May 26 – 30, 2011</w:t>
            </w:r>
          </w:p>
        </w:tc>
        <w:tc>
          <w:tcPr>
            <w:tcW w:w="2106" w:type="dxa"/>
            <w:vAlign w:val="center"/>
          </w:tcPr>
          <w:p w:rsidR="00286C71" w:rsidRPr="000E48BA" w:rsidRDefault="00286C71" w:rsidP="00701DCF">
            <w:pPr>
              <w:pStyle w:val="Tabletext"/>
              <w:rPr>
                <w:rFonts w:cs="Arial"/>
                <w:sz w:val="20"/>
                <w:szCs w:val="20"/>
              </w:rPr>
            </w:pPr>
            <w:r>
              <w:rPr>
                <w:rFonts w:cs="Arial"/>
                <w:sz w:val="20"/>
                <w:szCs w:val="20"/>
              </w:rPr>
              <w:t>Thunderstorms and Tornados</w:t>
            </w:r>
          </w:p>
        </w:tc>
        <w:tc>
          <w:tcPr>
            <w:tcW w:w="2790" w:type="dxa"/>
            <w:vAlign w:val="center"/>
          </w:tcPr>
          <w:p w:rsidR="00286C71" w:rsidRPr="000E48BA" w:rsidRDefault="00286C71" w:rsidP="00701DCF">
            <w:pPr>
              <w:pStyle w:val="Tabletext"/>
              <w:rPr>
                <w:rFonts w:cs="Arial"/>
                <w:sz w:val="20"/>
                <w:szCs w:val="20"/>
              </w:rPr>
            </w:pPr>
            <w:r>
              <w:rPr>
                <w:rFonts w:cs="Arial"/>
                <w:sz w:val="20"/>
                <w:szCs w:val="20"/>
              </w:rPr>
              <w:t>182,478</w:t>
            </w:r>
          </w:p>
        </w:tc>
      </w:tr>
      <w:tr w:rsidR="00286C71" w:rsidRPr="00094B43" w:rsidTr="00701DCF">
        <w:trPr>
          <w:trHeight w:val="305"/>
          <w:jc w:val="center"/>
        </w:trPr>
        <w:tc>
          <w:tcPr>
            <w:tcW w:w="2633" w:type="dxa"/>
            <w:shd w:val="clear" w:color="auto" w:fill="auto"/>
            <w:vAlign w:val="center"/>
          </w:tcPr>
          <w:p w:rsidR="00286C71" w:rsidRPr="000E48BA" w:rsidRDefault="00286C71" w:rsidP="00701DCF">
            <w:pPr>
              <w:spacing w:after="0"/>
              <w:jc w:val="center"/>
              <w:rPr>
                <w:rFonts w:cs="Arial"/>
                <w:sz w:val="20"/>
                <w:szCs w:val="20"/>
              </w:rPr>
            </w:pPr>
            <w:r>
              <w:rPr>
                <w:rFonts w:cs="Arial"/>
                <w:sz w:val="20"/>
                <w:szCs w:val="20"/>
              </w:rPr>
              <w:t>Oct. 29 – Nov. 7, 2012</w:t>
            </w:r>
          </w:p>
        </w:tc>
        <w:tc>
          <w:tcPr>
            <w:tcW w:w="2106" w:type="dxa"/>
            <w:vAlign w:val="center"/>
          </w:tcPr>
          <w:p w:rsidR="00286C71" w:rsidRPr="000E48BA" w:rsidRDefault="00286C71" w:rsidP="00701DCF">
            <w:pPr>
              <w:pStyle w:val="Tabletext"/>
              <w:rPr>
                <w:rFonts w:cs="Arial"/>
                <w:sz w:val="20"/>
                <w:szCs w:val="20"/>
              </w:rPr>
            </w:pPr>
            <w:r>
              <w:rPr>
                <w:rFonts w:cs="Arial"/>
                <w:sz w:val="20"/>
                <w:szCs w:val="20"/>
              </w:rPr>
              <w:t>Hurricane Sandy</w:t>
            </w:r>
          </w:p>
        </w:tc>
        <w:tc>
          <w:tcPr>
            <w:tcW w:w="2790" w:type="dxa"/>
            <w:vAlign w:val="center"/>
          </w:tcPr>
          <w:p w:rsidR="00286C71" w:rsidRPr="000E48BA" w:rsidRDefault="00286C71" w:rsidP="00701DCF">
            <w:pPr>
              <w:pStyle w:val="Tabletext"/>
              <w:rPr>
                <w:rFonts w:cs="Arial"/>
                <w:sz w:val="20"/>
                <w:szCs w:val="20"/>
              </w:rPr>
            </w:pPr>
            <w:r>
              <w:rPr>
                <w:rFonts w:cs="Arial"/>
                <w:sz w:val="20"/>
                <w:szCs w:val="20"/>
              </w:rPr>
              <w:t>523,926</w:t>
            </w:r>
          </w:p>
        </w:tc>
      </w:tr>
      <w:tr w:rsidR="00286C71" w:rsidRPr="00094B43" w:rsidTr="00701DCF">
        <w:trPr>
          <w:trHeight w:val="305"/>
          <w:jc w:val="center"/>
        </w:trPr>
        <w:tc>
          <w:tcPr>
            <w:tcW w:w="7529" w:type="dxa"/>
            <w:gridSpan w:val="3"/>
            <w:shd w:val="clear" w:color="auto" w:fill="auto"/>
            <w:vAlign w:val="center"/>
          </w:tcPr>
          <w:p w:rsidR="00286C71" w:rsidRPr="000E48BA" w:rsidRDefault="00286C71" w:rsidP="00701DCF">
            <w:pPr>
              <w:pStyle w:val="Tabletext"/>
              <w:jc w:val="left"/>
              <w:rPr>
                <w:rFonts w:cs="Arial"/>
                <w:sz w:val="20"/>
                <w:szCs w:val="20"/>
              </w:rPr>
            </w:pPr>
            <w:r>
              <w:rPr>
                <w:rFonts w:cs="Arial"/>
                <w:sz w:val="20"/>
                <w:szCs w:val="20"/>
              </w:rPr>
              <w:t xml:space="preserve">Source: </w:t>
            </w:r>
            <w:hyperlink r:id="rId54" w:history="1">
              <w:r w:rsidRPr="00260B59">
                <w:rPr>
                  <w:rStyle w:val="Hyperlink"/>
                  <w:rFonts w:cs="Arial"/>
                  <w:sz w:val="20"/>
                </w:rPr>
                <w:t>http://www.puc.pa.gov/about_puc/consolidated_case_view.aspx?Docket =L-PRMD7509</w:t>
              </w:r>
            </w:hyperlink>
            <w:r>
              <w:rPr>
                <w:rFonts w:cs="Arial"/>
                <w:sz w:val="20"/>
              </w:rPr>
              <w:t>, data compiled from individual storm reports</w:t>
            </w:r>
          </w:p>
        </w:tc>
      </w:tr>
    </w:tbl>
    <w:p w:rsidR="00286C71" w:rsidRDefault="00286C71" w:rsidP="00701DCF">
      <w:pPr>
        <w:pStyle w:val="Normal-aftertable"/>
      </w:pPr>
      <w:r>
        <w:lastRenderedPageBreak/>
        <w:t>Hurricane Sandy was the most recent extreme weather event affecting PPL EU customers.  From October 29 to November 7, 2012, 523,926 customers were out of service for up to 200 hours due to 3,819 trouble cases.</w:t>
      </w:r>
    </w:p>
    <w:p w:rsidR="00286C71" w:rsidRDefault="00286C71" w:rsidP="00701DCF">
      <w:r>
        <w:rPr>
          <w:rFonts w:cs="Arial"/>
          <w:szCs w:val="24"/>
        </w:rPr>
        <w:t>Post Sandy there have been two events impacting approximately 93,000 customers each, less than eight percent of the total customer base.  The remaining events since 2013 affected less than 25,000 customers each.</w:t>
      </w:r>
    </w:p>
    <w:p w:rsidR="00286C71" w:rsidRDefault="00286C71" w:rsidP="00701DCF">
      <w:pPr>
        <w:rPr>
          <w:rFonts w:cs="Arial"/>
          <w:szCs w:val="24"/>
        </w:rPr>
      </w:pPr>
      <w:r>
        <w:rPr>
          <w:rFonts w:cs="Arial"/>
          <w:szCs w:val="24"/>
        </w:rPr>
        <w:t xml:space="preserve">The PPL EU storm response plans have evolved significantly since hurricane Sandy in late </w:t>
      </w:r>
      <w:r w:rsidRPr="00666AC0">
        <w:rPr>
          <w:rFonts w:cs="Arial"/>
          <w:szCs w:val="24"/>
        </w:rPr>
        <w:t>2012.  Storm response has been at Level 1 or 2 in the past several years</w:t>
      </w:r>
      <w:r>
        <w:rPr>
          <w:rFonts w:cs="Arial"/>
          <w:szCs w:val="24"/>
        </w:rPr>
        <w:t>;</w:t>
      </w:r>
      <w:r w:rsidRPr="00666AC0">
        <w:rPr>
          <w:rFonts w:cs="Arial"/>
          <w:szCs w:val="24"/>
        </w:rPr>
        <w:t xml:space="preserve"> however</w:t>
      </w:r>
      <w:r>
        <w:rPr>
          <w:rFonts w:cs="Arial"/>
          <w:szCs w:val="24"/>
        </w:rPr>
        <w:t>,</w:t>
      </w:r>
      <w:r w:rsidRPr="00666AC0">
        <w:rPr>
          <w:rFonts w:cs="Arial"/>
          <w:szCs w:val="24"/>
        </w:rPr>
        <w:t xml:space="preserve"> the</w:t>
      </w:r>
      <w:r>
        <w:rPr>
          <w:rFonts w:cs="Arial"/>
          <w:szCs w:val="24"/>
        </w:rPr>
        <w:t xml:space="preserve"> preparations for potential damage from Hurricane Joaquin in September 2015 provided an opportunity to exercise the response planning, </w:t>
      </w:r>
      <w:proofErr w:type="spellStart"/>
      <w:r>
        <w:rPr>
          <w:rFonts w:cs="Arial"/>
          <w:szCs w:val="24"/>
        </w:rPr>
        <w:t>prestaging</w:t>
      </w:r>
      <w:proofErr w:type="spellEnd"/>
      <w:r>
        <w:rPr>
          <w:rFonts w:cs="Arial"/>
          <w:szCs w:val="24"/>
        </w:rPr>
        <w:t xml:space="preserve">, and mutual assistance portions of the emergency response </w:t>
      </w:r>
      <w:r w:rsidRPr="00666AC0">
        <w:rPr>
          <w:rFonts w:cs="Arial"/>
          <w:szCs w:val="24"/>
        </w:rPr>
        <w:t>procedures for a</w:t>
      </w:r>
      <w:r>
        <w:rPr>
          <w:rFonts w:cs="Arial"/>
          <w:szCs w:val="24"/>
        </w:rPr>
        <w:t xml:space="preserve"> potential</w:t>
      </w:r>
      <w:r w:rsidRPr="00666AC0">
        <w:rPr>
          <w:rFonts w:cs="Arial"/>
          <w:szCs w:val="24"/>
        </w:rPr>
        <w:t xml:space="preserve"> Level 3 to 4 </w:t>
      </w:r>
      <w:proofErr w:type="gramStart"/>
      <w:r w:rsidRPr="00666AC0">
        <w:rPr>
          <w:rFonts w:cs="Arial"/>
          <w:szCs w:val="24"/>
        </w:rPr>
        <w:t>event</w:t>
      </w:r>
      <w:proofErr w:type="gramEnd"/>
      <w:r w:rsidRPr="00666AC0">
        <w:rPr>
          <w:rFonts w:cs="Arial"/>
          <w:szCs w:val="24"/>
        </w:rPr>
        <w:t>.</w:t>
      </w:r>
    </w:p>
    <w:p w:rsidR="00286C71" w:rsidRDefault="00286C71" w:rsidP="00701DCF">
      <w:pPr>
        <w:rPr>
          <w:rFonts w:cs="Arial"/>
          <w:szCs w:val="24"/>
        </w:rPr>
      </w:pPr>
      <w:r>
        <w:rPr>
          <w:rFonts w:cs="Arial"/>
          <w:szCs w:val="24"/>
        </w:rPr>
        <w:t>PPL EU frequently utilizes the procedures and checklists in the storm events that occur during the year with corrections and updates regularly performed.</w:t>
      </w:r>
    </w:p>
    <w:p w:rsidR="00286C71" w:rsidRDefault="00286C71" w:rsidP="008F30B6">
      <w:pPr>
        <w:pStyle w:val="Heading-forToC"/>
      </w:pPr>
      <w:bookmarkStart w:id="184" w:name="_Toc464552042"/>
      <w:r w:rsidRPr="00A80BDE">
        <w:t>Findings</w:t>
      </w:r>
      <w:bookmarkEnd w:id="184"/>
    </w:p>
    <w:p w:rsidR="00286C71" w:rsidRPr="004069E3" w:rsidRDefault="00286C71" w:rsidP="00B86FA4">
      <w:pPr>
        <w:pStyle w:val="Findings"/>
        <w:numPr>
          <w:ilvl w:val="0"/>
          <w:numId w:val="26"/>
        </w:numPr>
      </w:pPr>
      <w:r w:rsidRPr="004069E3">
        <w:rPr>
          <w:color w:val="000000"/>
        </w:rPr>
        <w:t>Emergency</w:t>
      </w:r>
      <w:r w:rsidRPr="004069E3">
        <w:t xml:space="preserve"> response roles are well defined and supported by procedures and checklists.</w:t>
      </w:r>
    </w:p>
    <w:p w:rsidR="00286C71" w:rsidRDefault="00286C71" w:rsidP="00701DCF">
      <w:r>
        <w:t>The PPL EU Emergency Response Plan defines roles and responsibilities which are supported by checklists and procedures.</w:t>
      </w:r>
    </w:p>
    <w:p w:rsidR="00286C71" w:rsidRDefault="00286C71" w:rsidP="00B86FA4">
      <w:pPr>
        <w:pStyle w:val="Findings"/>
        <w:numPr>
          <w:ilvl w:val="0"/>
          <w:numId w:val="26"/>
        </w:numPr>
      </w:pPr>
      <w:r>
        <w:t>Plans are regularly exercised and a training program is established for storm roles.</w:t>
      </w:r>
    </w:p>
    <w:p w:rsidR="00286C71" w:rsidRDefault="00286C71" w:rsidP="00701DCF">
      <w:r>
        <w:t>PPL EU has established a regular program of limited and full scale exercises in addition to the periodic use of the PPL EU Emergency Response Plan and the weather-related Playbooks for actual events.  Training is established for the storm roles and refreshers are conducted for specific tools and processes utilized.</w:t>
      </w:r>
    </w:p>
    <w:p w:rsidR="00286C71" w:rsidRPr="00E64E9A" w:rsidRDefault="00286C71" w:rsidP="00B86FA4">
      <w:pPr>
        <w:pStyle w:val="Findings"/>
        <w:numPr>
          <w:ilvl w:val="0"/>
          <w:numId w:val="26"/>
        </w:numPr>
      </w:pPr>
      <w:r w:rsidRPr="00111FDA">
        <w:t xml:space="preserve">Initial training on the National Incident Management System (NIMS) </w:t>
      </w:r>
      <w:r w:rsidRPr="00E64E9A">
        <w:t>structure has been provided to the individuals who perform the Director of System Emergency (DSE) role, and the System Support Director (SSD) role.</w:t>
      </w:r>
    </w:p>
    <w:p w:rsidR="00286C71" w:rsidRDefault="00286C71" w:rsidP="00701DCF">
      <w:r w:rsidRPr="00E64E9A">
        <w:t>The five VPs and Directors who rotate through the DSE Director of System Emergency (DSE) role, and staff that fulfill the System Support Director (SSD) role, have each completed an in-house training course covering the National Incident Management System (NIMS) structure.  Follow-up or refresher training has not been provided.</w:t>
      </w:r>
    </w:p>
    <w:p w:rsidR="00286C71" w:rsidRDefault="00286C71" w:rsidP="00B86FA4">
      <w:pPr>
        <w:pStyle w:val="Findings"/>
        <w:numPr>
          <w:ilvl w:val="0"/>
          <w:numId w:val="26"/>
        </w:numPr>
      </w:pPr>
      <w:r>
        <w:t>Three performance scorecards are under development to measure storm response effectiveness.</w:t>
      </w:r>
    </w:p>
    <w:p w:rsidR="00286C71" w:rsidRDefault="00286C71" w:rsidP="00701DCF">
      <w:r>
        <w:t>EP is developing three draft scorecards for potential use beginning in 2016.</w:t>
      </w:r>
    </w:p>
    <w:p w:rsidR="00286C71" w:rsidRDefault="00286C71" w:rsidP="00701DCF">
      <w:r>
        <w:t>A comprehensive Pre-Event Scorecard is planned to grade key responsibilities and functions related to storm preparations.  Specific areas of measurement under consideration include:</w:t>
      </w:r>
    </w:p>
    <w:p w:rsidR="00286C71" w:rsidRDefault="00286C71" w:rsidP="00701DCF">
      <w:pPr>
        <w:pStyle w:val="Bullet"/>
      </w:pPr>
      <w:r>
        <w:t>Weather and storm model accuracy</w:t>
      </w:r>
    </w:p>
    <w:p w:rsidR="00286C71" w:rsidRDefault="00286C71" w:rsidP="00701DCF">
      <w:pPr>
        <w:pStyle w:val="Bullet"/>
      </w:pPr>
      <w:r>
        <w:t>Resource planning</w:t>
      </w:r>
    </w:p>
    <w:p w:rsidR="00286C71" w:rsidRDefault="00286C71" w:rsidP="00701DCF">
      <w:pPr>
        <w:pStyle w:val="Bullet"/>
      </w:pPr>
      <w:r>
        <w:lastRenderedPageBreak/>
        <w:t>External and internal communications</w:t>
      </w:r>
    </w:p>
    <w:p w:rsidR="00286C71" w:rsidRDefault="00286C71" w:rsidP="00701DCF">
      <w:pPr>
        <w:pStyle w:val="Bullet"/>
      </w:pPr>
      <w:r>
        <w:t>Material and equipment planning</w:t>
      </w:r>
    </w:p>
    <w:p w:rsidR="00286C71" w:rsidRDefault="00286C71" w:rsidP="00701DCF">
      <w:pPr>
        <w:pStyle w:val="Bullet"/>
      </w:pPr>
      <w:r>
        <w:t>Command center activation</w:t>
      </w:r>
    </w:p>
    <w:p w:rsidR="00286C71" w:rsidRDefault="00286C71" w:rsidP="00701DCF">
      <w:pPr>
        <w:pStyle w:val="Bullet"/>
      </w:pPr>
      <w:r>
        <w:t>Plan effectiveness</w:t>
      </w:r>
    </w:p>
    <w:p w:rsidR="00286C71" w:rsidRDefault="00286C71" w:rsidP="00701DCF">
      <w:pPr>
        <w:pStyle w:val="Bullet"/>
      </w:pPr>
      <w:r>
        <w:t>Housing and feeding planning</w:t>
      </w:r>
    </w:p>
    <w:p w:rsidR="00286C71" w:rsidRDefault="00286C71" w:rsidP="00701DCF">
      <w:pPr>
        <w:pStyle w:val="Normal-aftertable"/>
      </w:pPr>
      <w:r>
        <w:t>An Event Scorecard is planned to address key components of the actual event response:</w:t>
      </w:r>
    </w:p>
    <w:p w:rsidR="00286C71" w:rsidRDefault="00286C71" w:rsidP="00701DCF">
      <w:pPr>
        <w:pStyle w:val="Bullet"/>
      </w:pPr>
      <w:r>
        <w:t>Restoration response</w:t>
      </w:r>
    </w:p>
    <w:p w:rsidR="00286C71" w:rsidRDefault="00286C71" w:rsidP="00701DCF">
      <w:pPr>
        <w:pStyle w:val="Bullet"/>
      </w:pPr>
      <w:r>
        <w:t>Estimated Restoration Times</w:t>
      </w:r>
    </w:p>
    <w:p w:rsidR="00286C71" w:rsidRDefault="00286C71" w:rsidP="00701DCF">
      <w:pPr>
        <w:pStyle w:val="Bullet"/>
      </w:pPr>
      <w:r>
        <w:t>Resource tracking</w:t>
      </w:r>
    </w:p>
    <w:p w:rsidR="00286C71" w:rsidRDefault="00286C71" w:rsidP="00701DCF">
      <w:pPr>
        <w:pStyle w:val="Bullet"/>
      </w:pPr>
      <w:r>
        <w:t>Safety</w:t>
      </w:r>
    </w:p>
    <w:p w:rsidR="00286C71" w:rsidRDefault="00286C71" w:rsidP="00701DCF">
      <w:pPr>
        <w:pStyle w:val="Bullet"/>
      </w:pPr>
      <w:r>
        <w:t>Mutual assistance crew on-boarding</w:t>
      </w:r>
    </w:p>
    <w:p w:rsidR="00286C71" w:rsidRDefault="00286C71" w:rsidP="00701DCF">
      <w:pPr>
        <w:pStyle w:val="Bullet"/>
      </w:pPr>
      <w:r>
        <w:t>Internal communications</w:t>
      </w:r>
    </w:p>
    <w:p w:rsidR="00286C71" w:rsidRDefault="00286C71" w:rsidP="00701DCF">
      <w:pPr>
        <w:pStyle w:val="Bullet"/>
      </w:pPr>
      <w:r>
        <w:t>Material and equipment adequacy</w:t>
      </w:r>
    </w:p>
    <w:p w:rsidR="00286C71" w:rsidRDefault="00286C71" w:rsidP="00701DCF">
      <w:pPr>
        <w:pStyle w:val="Bullet"/>
      </w:pPr>
      <w:r>
        <w:t>Housing and feeding effectiveness</w:t>
      </w:r>
    </w:p>
    <w:p w:rsidR="00286C71" w:rsidRDefault="00286C71" w:rsidP="00701DCF">
      <w:pPr>
        <w:pStyle w:val="Bullet"/>
      </w:pPr>
      <w:r>
        <w:t>Customer call response</w:t>
      </w:r>
    </w:p>
    <w:p w:rsidR="00286C71" w:rsidRDefault="00286C71" w:rsidP="00701DCF">
      <w:pPr>
        <w:pStyle w:val="Bullet"/>
      </w:pPr>
      <w:r>
        <w:t>External communications and coordination</w:t>
      </w:r>
    </w:p>
    <w:p w:rsidR="00286C71" w:rsidRDefault="00286C71" w:rsidP="00701DCF">
      <w:pPr>
        <w:pStyle w:val="Bullet"/>
      </w:pPr>
      <w:r>
        <w:t>PUC reporting</w:t>
      </w:r>
    </w:p>
    <w:p w:rsidR="00286C71" w:rsidRDefault="00286C71" w:rsidP="00701DCF">
      <w:pPr>
        <w:pStyle w:val="Bullet"/>
      </w:pPr>
      <w:r>
        <w:t>IT support system availability</w:t>
      </w:r>
    </w:p>
    <w:p w:rsidR="00286C71" w:rsidRDefault="00286C71" w:rsidP="00701DCF">
      <w:pPr>
        <w:pStyle w:val="Normal-aftertable"/>
      </w:pPr>
      <w:r>
        <w:t>A Post Storm Scorecard is proposed that will track and grade by region the:</w:t>
      </w:r>
    </w:p>
    <w:p w:rsidR="00286C71" w:rsidRDefault="00286C71" w:rsidP="00701DCF">
      <w:pPr>
        <w:pStyle w:val="Bullet"/>
      </w:pPr>
      <w:r>
        <w:t>Number of trouble cases</w:t>
      </w:r>
    </w:p>
    <w:p w:rsidR="00286C71" w:rsidRDefault="00286C71" w:rsidP="00701DCF">
      <w:pPr>
        <w:pStyle w:val="Bullet"/>
      </w:pPr>
      <w:r>
        <w:t>Storm Customer Average Interruption Duration Index (CAIDI)</w:t>
      </w:r>
    </w:p>
    <w:p w:rsidR="00286C71" w:rsidRDefault="00286C71" w:rsidP="00701DCF">
      <w:pPr>
        <w:pStyle w:val="Bullet"/>
      </w:pPr>
      <w:r>
        <w:t>Number of customers affected</w:t>
      </w:r>
    </w:p>
    <w:p w:rsidR="00286C71" w:rsidRDefault="00286C71" w:rsidP="00701DCF">
      <w:pPr>
        <w:pStyle w:val="Bullet"/>
      </w:pPr>
      <w:r>
        <w:t>Percentage of customers restored within six hours</w:t>
      </w:r>
    </w:p>
    <w:p w:rsidR="00286C71" w:rsidRDefault="00286C71" w:rsidP="00701DCF">
      <w:pPr>
        <w:pStyle w:val="Bullet"/>
      </w:pPr>
      <w:r>
        <w:t>Accuracy of Estimated Restoration Times</w:t>
      </w:r>
    </w:p>
    <w:p w:rsidR="00286C71" w:rsidRDefault="00286C71" w:rsidP="00701DCF">
      <w:pPr>
        <w:pStyle w:val="Bullet"/>
      </w:pPr>
      <w:r>
        <w:t>Storm model accuracy</w:t>
      </w:r>
    </w:p>
    <w:p w:rsidR="00286C71" w:rsidRDefault="00286C71" w:rsidP="00701DCF">
      <w:pPr>
        <w:pStyle w:val="Bullet"/>
      </w:pPr>
      <w:r>
        <w:t>Work safety</w:t>
      </w:r>
    </w:p>
    <w:p w:rsidR="00286C71" w:rsidRDefault="00286C71" w:rsidP="00701DCF">
      <w:pPr>
        <w:pStyle w:val="Normal-aftertable"/>
      </w:pPr>
      <w:r>
        <w:t>These proposed scorecards are comprehensive and cover the key components and effectiveness of the organization’s response to a major storm event.</w:t>
      </w:r>
    </w:p>
    <w:p w:rsidR="00286C71" w:rsidRPr="00FA510C" w:rsidRDefault="00286C71" w:rsidP="00B86FA4">
      <w:pPr>
        <w:pStyle w:val="Findings"/>
        <w:numPr>
          <w:ilvl w:val="0"/>
          <w:numId w:val="26"/>
        </w:numPr>
      </w:pPr>
      <w:r w:rsidRPr="00FA510C">
        <w:t>Emergency Response Plan event levels need to be revised.</w:t>
      </w:r>
    </w:p>
    <w:p w:rsidR="00286C71" w:rsidRDefault="00286C71" w:rsidP="00701DCF">
      <w:r>
        <w:t>PPL EU is considering reducing the number of event levels to two, consolidating Levels 1 and 2, and Levels 3 and 4 since the systems and processes employed are similar for these groupings.</w:t>
      </w:r>
    </w:p>
    <w:p w:rsidR="00286C71" w:rsidRPr="00FA510C" w:rsidRDefault="00286C71" w:rsidP="00B86FA4">
      <w:pPr>
        <w:pStyle w:val="Findings"/>
        <w:numPr>
          <w:ilvl w:val="0"/>
          <w:numId w:val="26"/>
        </w:numPr>
      </w:pPr>
      <w:r w:rsidRPr="00FA510C">
        <w:t>PPL EU currently does not conduct formal after action reviews for Level 1 or 2 events.</w:t>
      </w:r>
    </w:p>
    <w:p w:rsidR="00286C71" w:rsidRDefault="00286C71" w:rsidP="00701DCF">
      <w:r>
        <w:t xml:space="preserve">PPL EU conducts formal after action reviews for Level 3 and 4 </w:t>
      </w:r>
      <w:proofErr w:type="gramStart"/>
      <w:r>
        <w:t>events,</w:t>
      </w:r>
      <w:proofErr w:type="gramEnd"/>
      <w:r>
        <w:t xml:space="preserve"> however this magnitude of event does not occur frequently.  An informal process is in place for event participants to identify improvement opportunities.</w:t>
      </w:r>
    </w:p>
    <w:p w:rsidR="00286C71" w:rsidRDefault="00286C71" w:rsidP="008F30B6">
      <w:pPr>
        <w:pStyle w:val="Heading-forToC"/>
      </w:pPr>
      <w:bookmarkStart w:id="185" w:name="_Toc464552043"/>
      <w:r>
        <w:lastRenderedPageBreak/>
        <w:t>Recommendations</w:t>
      </w:r>
      <w:bookmarkEnd w:id="185"/>
    </w:p>
    <w:p w:rsidR="00286C71" w:rsidRDefault="00286C71" w:rsidP="00B86FA4">
      <w:pPr>
        <w:pStyle w:val="Findings"/>
        <w:numPr>
          <w:ilvl w:val="0"/>
          <w:numId w:val="27"/>
        </w:numPr>
      </w:pPr>
      <w:r>
        <w:t>Provide initial training and periodic refresher training on the NIMS structure to the key Emergency Response Plan roles.  (See Finding 3)</w:t>
      </w:r>
    </w:p>
    <w:p w:rsidR="00286C71" w:rsidRDefault="00286C71" w:rsidP="00701DCF">
      <w:r>
        <w:t>PPL EU is considering expanding the NIMS structure training to additional storm roles.  This training should be extended down to the team leader roles.  In addition, consideration should be given to periodic refresher training on the structure.  Alternatively, formal after action reviews could be used as a forum to review the NIMS structure, respective roles, and any conflicts in roles or authority that occurred during the event response.</w:t>
      </w:r>
    </w:p>
    <w:p w:rsidR="00286C71" w:rsidRDefault="00286C71" w:rsidP="00B86FA4">
      <w:pPr>
        <w:pStyle w:val="Findings"/>
        <w:numPr>
          <w:ilvl w:val="0"/>
          <w:numId w:val="27"/>
        </w:numPr>
      </w:pPr>
      <w:r>
        <w:t>Modify the number of event levels used in the Emergency Response Plan. (See Finding 5)</w:t>
      </w:r>
    </w:p>
    <w:p w:rsidR="00286C71" w:rsidRDefault="00286C71" w:rsidP="00701DCF">
      <w:r>
        <w:t>PPL EU is considering going from four to two levels.  PPL EU should also consider the merits of utilizing a three level plan based on alignment with need for activation of the ECC and logistics support for crews.  A Level 1 event would be one that requires activation of one or two RCCs without the need for ECC activation.  A Level 2 event would be extensive enough to activate the ECC but external crews are not needed.  A Level 3 event would require activation of the Restoration Lead process, housing and feeding and logistics processes for crews, and possibly the acquisition of mutual aid resources.</w:t>
      </w:r>
    </w:p>
    <w:p w:rsidR="00286C71" w:rsidRDefault="00286C71" w:rsidP="00B86FA4">
      <w:pPr>
        <w:pStyle w:val="Findings"/>
        <w:numPr>
          <w:ilvl w:val="0"/>
          <w:numId w:val="27"/>
        </w:numPr>
      </w:pPr>
      <w:r>
        <w:t>Conduct formal after action reviews after all activations of the ECC.  (See Finding 6)</w:t>
      </w:r>
    </w:p>
    <w:p w:rsidR="00286C71" w:rsidRDefault="00286C71" w:rsidP="00701DCF">
      <w:r>
        <w:t>Activation of the Emergency Command Center (ECC) for potential and actual storm events involves use of a number of processes and resources.  Each activation serves as an opportunity to learn about the effectiveness of the existing processes, gaps, and potential improvements.  Group discussion of the response effort can generate common understanding of any challenges faced and opportunities for more effective response.  Timely review of the ECC activations and subsequent storm response efforts with a formal process can capture these opportunities for evaluation and incorporation in the emergency response plans, procedures, and processes.</w:t>
      </w:r>
    </w:p>
    <w:p w:rsidR="00286C71" w:rsidRDefault="00286C71" w:rsidP="004F00E5">
      <w:pPr>
        <w:pStyle w:val="Heading2"/>
        <w:numPr>
          <w:ilvl w:val="0"/>
          <w:numId w:val="99"/>
        </w:numPr>
      </w:pPr>
      <w:bookmarkStart w:id="186" w:name="_Toc464552044"/>
      <w:r>
        <w:t>Cyber security</w:t>
      </w:r>
      <w:bookmarkEnd w:id="186"/>
    </w:p>
    <w:p w:rsidR="00977CA4" w:rsidRDefault="00977CA4" w:rsidP="008F30B6">
      <w:pPr>
        <w:pStyle w:val="Heading-forToC"/>
      </w:pPr>
      <w:bookmarkStart w:id="187" w:name="_Toc464552045"/>
      <w:r>
        <w:t>background</w:t>
      </w:r>
      <w:bookmarkEnd w:id="187"/>
    </w:p>
    <w:p w:rsidR="00286C71" w:rsidRDefault="00977CA4" w:rsidP="00977CA4">
      <w:pPr>
        <w:pStyle w:val="Heading40"/>
      </w:pPr>
      <w:r>
        <w:t>O</w:t>
      </w:r>
      <w:r w:rsidR="00286C71">
        <w:t xml:space="preserve">rganization </w:t>
      </w:r>
      <w:r>
        <w:t>S</w:t>
      </w:r>
      <w:r w:rsidR="00286C71">
        <w:t>tructure</w:t>
      </w:r>
    </w:p>
    <w:p w:rsidR="00286C71" w:rsidRDefault="00286C71" w:rsidP="00701DCF">
      <w:r>
        <w:t>The PPL SC Information Assurance Group organization is shown in the following exhibit.</w:t>
      </w:r>
    </w:p>
    <w:p w:rsidR="00286C71" w:rsidRDefault="00ED6D61" w:rsidP="00ED6D61">
      <w:pPr>
        <w:pStyle w:val="Caption"/>
      </w:pPr>
      <w:bookmarkStart w:id="188" w:name="_Toc464553000"/>
      <w:r>
        <w:lastRenderedPageBreak/>
        <w:t xml:space="preserve">Exhibit </w:t>
      </w:r>
      <w:r w:rsidR="00CB2B2A">
        <w:fldChar w:fldCharType="begin"/>
      </w:r>
      <w:r w:rsidR="00EC053E">
        <w:instrText xml:space="preserve"> STYLEREF 1 \s </w:instrText>
      </w:r>
      <w:r w:rsidR="00CB2B2A">
        <w:fldChar w:fldCharType="separate"/>
      </w:r>
      <w:r w:rsidR="00CA3BDB">
        <w:rPr>
          <w:noProof/>
        </w:rPr>
        <w:t>VII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5A1330">
        <w:br/>
      </w:r>
      <w:r w:rsidR="00286C71">
        <w:t>PPL SC Information Assurance Group Organization Structure</w:t>
      </w:r>
      <w:bookmarkEnd w:id="188"/>
    </w:p>
    <w:p w:rsidR="00286C71" w:rsidRDefault="00286C71" w:rsidP="00701DCF">
      <w:pPr>
        <w:jc w:val="center"/>
      </w:pPr>
      <w:r>
        <w:rPr>
          <w:noProof/>
        </w:rPr>
        <w:drawing>
          <wp:inline distT="0" distB="0" distL="0" distR="0">
            <wp:extent cx="3784600" cy="2456815"/>
            <wp:effectExtent l="0" t="0" r="6350" b="635"/>
            <wp:docPr id="51" name="Picture 51" descr="PPL-SC_InfoAssure_page127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L-SC_InfoAssure_page127_v1"/>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4600" cy="2456815"/>
                    </a:xfrm>
                    <a:prstGeom prst="rect">
                      <a:avLst/>
                    </a:prstGeom>
                    <a:noFill/>
                    <a:ln>
                      <a:noFill/>
                    </a:ln>
                  </pic:spPr>
                </pic:pic>
              </a:graphicData>
            </a:graphic>
          </wp:inline>
        </w:drawing>
      </w:r>
    </w:p>
    <w:p w:rsidR="00286C71" w:rsidRDefault="00286C71" w:rsidP="00701DCF">
      <w:r>
        <w:t>Source: DN 01-009</w:t>
      </w:r>
    </w:p>
    <w:p w:rsidR="00286C71" w:rsidRDefault="00286C71" w:rsidP="00701DCF">
      <w:pPr>
        <w:rPr>
          <w:rFonts w:cs="Arial"/>
          <w:szCs w:val="24"/>
        </w:rPr>
      </w:pPr>
      <w:r w:rsidRPr="00BA5365">
        <w:t>The Information Assurance Group (IAG) consists of an IT Security Compliance and an IT Security Operations group.  IAG is part of the PPL Services Corporation Information Technology organization</w:t>
      </w:r>
      <w:r>
        <w:t xml:space="preserve">.  </w:t>
      </w:r>
      <w:r>
        <w:rPr>
          <w:rFonts w:cs="Arial"/>
          <w:szCs w:val="24"/>
        </w:rPr>
        <w:t xml:space="preserve">There is a single Chief Information Officer (CIO) for PPL Corporation in the United States.  </w:t>
      </w:r>
      <w:proofErr w:type="gramStart"/>
      <w:r>
        <w:rPr>
          <w:rFonts w:cs="Arial"/>
          <w:szCs w:val="24"/>
        </w:rPr>
        <w:t xml:space="preserve">This position reports to the Chief Financial Officer of </w:t>
      </w:r>
      <w:r w:rsidRPr="00DD5858">
        <w:rPr>
          <w:rFonts w:cs="Arial"/>
          <w:szCs w:val="24"/>
        </w:rPr>
        <w:t>Lou</w:t>
      </w:r>
      <w:r>
        <w:rPr>
          <w:rFonts w:cs="Arial"/>
          <w:szCs w:val="24"/>
        </w:rPr>
        <w:t>isville Gas and Electric</w:t>
      </w:r>
      <w:r w:rsidRPr="00DD5858">
        <w:rPr>
          <w:rFonts w:cs="Arial"/>
          <w:szCs w:val="24"/>
        </w:rPr>
        <w:t xml:space="preserve"> </w:t>
      </w:r>
      <w:r>
        <w:rPr>
          <w:rFonts w:cs="Arial"/>
          <w:szCs w:val="24"/>
        </w:rPr>
        <w:t xml:space="preserve">(LG and E) and </w:t>
      </w:r>
      <w:r w:rsidRPr="00DD5858">
        <w:rPr>
          <w:rFonts w:cs="Arial"/>
          <w:szCs w:val="24"/>
        </w:rPr>
        <w:t xml:space="preserve">Kentucky Utilities </w:t>
      </w:r>
      <w:r>
        <w:rPr>
          <w:rFonts w:cs="Arial"/>
          <w:szCs w:val="24"/>
        </w:rPr>
        <w:t xml:space="preserve">(KU) Services </w:t>
      </w:r>
      <w:r w:rsidRPr="00DD5858">
        <w:rPr>
          <w:rFonts w:cs="Arial"/>
          <w:szCs w:val="24"/>
        </w:rPr>
        <w:t>Company</w:t>
      </w:r>
      <w:r>
        <w:rPr>
          <w:rFonts w:cs="Arial"/>
          <w:szCs w:val="24"/>
        </w:rPr>
        <w:t xml:space="preserve"> (LKE Services), as well as to the President of PPL EU.</w:t>
      </w:r>
      <w:proofErr w:type="gramEnd"/>
      <w:r>
        <w:rPr>
          <w:rFonts w:cs="Arial"/>
          <w:szCs w:val="24"/>
        </w:rPr>
        <w:t xml:space="preserve">  The CIO is an employee of LKE Services, although he serves a dual role as the CIO of both PPL Services Corporation (PPL SC) and LKE Services.</w:t>
      </w:r>
    </w:p>
    <w:p w:rsidR="00286C71" w:rsidRDefault="00286C71" w:rsidP="00701DCF">
      <w:r w:rsidRPr="00F816A4">
        <w:rPr>
          <w:b/>
        </w:rPr>
        <w:t>Cyber Security Cost</w:t>
      </w:r>
      <w:r w:rsidR="00F816A4" w:rsidRPr="00F816A4">
        <w:rPr>
          <w:b/>
        </w:rPr>
        <w:t>.</w:t>
      </w:r>
      <w:r w:rsidR="00F816A4">
        <w:t xml:space="preserve">  </w:t>
      </w:r>
      <w:r w:rsidRPr="005B5281">
        <w:t>PPL has more than doubled its cybersecurity spend from</w:t>
      </w:r>
      <w:r w:rsidRPr="000F1896">
        <w:t xml:space="preserve"> 2012 to 2015.  </w:t>
      </w:r>
      <w:r w:rsidRPr="005B5281">
        <w:t>Additional details on information technology can be found within t</w:t>
      </w:r>
      <w:r w:rsidRPr="000F1896">
        <w:t>he Information Technology Chapter of this report</w:t>
      </w:r>
      <w:r w:rsidRPr="00C927F7">
        <w:t>.</w:t>
      </w:r>
    </w:p>
    <w:p w:rsidR="00286C71" w:rsidRDefault="00286C71" w:rsidP="007B7458">
      <w:pPr>
        <w:pStyle w:val="Heading40"/>
      </w:pPr>
      <w:r>
        <w:t>Planning</w:t>
      </w:r>
    </w:p>
    <w:p w:rsidR="00286C71" w:rsidRDefault="00286C71" w:rsidP="00701DCF">
      <w:r>
        <w:t>Processes and standards are in place to ensure cyber security is integrated into proposed new IT applications and IT modifications across PPL Corporate, PPL EU, and IT systems and applications.</w:t>
      </w:r>
    </w:p>
    <w:p w:rsidR="00286C71" w:rsidRPr="00DB7652" w:rsidRDefault="00286C71" w:rsidP="00701DCF">
      <w:r>
        <w:rPr>
          <w:rFonts w:cs="Arial"/>
          <w:szCs w:val="24"/>
        </w:rPr>
        <w:t>The IAG provided a PPL Corporation Cyber Security Plan document that summarizes the policies, procedures, risk assessment, business continuity, and disaster recovery plans maintained to support PPL EU and Corporate Pennsylvania operations:</w:t>
      </w:r>
    </w:p>
    <w:p w:rsidR="00286C71" w:rsidRPr="00DB7652" w:rsidRDefault="00286C71" w:rsidP="00701DCF">
      <w:pPr>
        <w:pStyle w:val="Bullet"/>
      </w:pPr>
      <w:r w:rsidRPr="00DB7652">
        <w:t>Core Corporate Information Security Policies:</w:t>
      </w:r>
    </w:p>
    <w:p w:rsidR="00286C71" w:rsidRPr="00DB7652" w:rsidRDefault="00286C71" w:rsidP="00701DCF">
      <w:pPr>
        <w:pStyle w:val="Bullet-indent1"/>
      </w:pPr>
      <w:r w:rsidRPr="00DB7652">
        <w:t>Information Security</w:t>
      </w:r>
    </w:p>
    <w:p w:rsidR="00286C71" w:rsidRPr="00DB7652" w:rsidRDefault="00286C71" w:rsidP="00701DCF">
      <w:pPr>
        <w:pStyle w:val="Bullet-indent1"/>
      </w:pPr>
      <w:r w:rsidRPr="00DB7652">
        <w:t xml:space="preserve">Information Classification and Handling </w:t>
      </w:r>
    </w:p>
    <w:p w:rsidR="00286C71" w:rsidRPr="00DB7652" w:rsidRDefault="00286C71" w:rsidP="00701DCF">
      <w:pPr>
        <w:pStyle w:val="Bullet-indent1"/>
      </w:pPr>
      <w:r w:rsidRPr="00DB7652">
        <w:t>Electronic Information Security</w:t>
      </w:r>
    </w:p>
    <w:p w:rsidR="00286C71" w:rsidRPr="00DB7652" w:rsidRDefault="00286C71" w:rsidP="00701DCF">
      <w:pPr>
        <w:pStyle w:val="Bullet-indent1"/>
      </w:pPr>
      <w:r w:rsidRPr="00DB7652">
        <w:t>Electronic Messaging Policy</w:t>
      </w:r>
    </w:p>
    <w:p w:rsidR="00286C71" w:rsidRPr="005B5281" w:rsidRDefault="00286C71" w:rsidP="00701DCF">
      <w:pPr>
        <w:pStyle w:val="Bullet"/>
      </w:pPr>
      <w:r>
        <w:rPr>
          <w:rFonts w:cs="Arial"/>
          <w:szCs w:val="24"/>
        </w:rPr>
        <w:t xml:space="preserve">The Company' incident response process provides a mechanism for identifying and classifying cyber events, establishes notification steps, and outlines the </w:t>
      </w:r>
      <w:r>
        <w:rPr>
          <w:rFonts w:cs="Arial"/>
          <w:szCs w:val="24"/>
        </w:rPr>
        <w:lastRenderedPageBreak/>
        <w:t xml:space="preserve">incident management and resolution process.  </w:t>
      </w:r>
      <w:r w:rsidRPr="005F69A8">
        <w:rPr>
          <w:rFonts w:cs="Arial"/>
          <w:szCs w:val="24"/>
        </w:rPr>
        <w:t>Talen support is provided under a Transition Services Agreement and is expected to end in 2017.</w:t>
      </w:r>
    </w:p>
    <w:p w:rsidR="00286C71" w:rsidRPr="00DA190D" w:rsidRDefault="00286C71" w:rsidP="00701DCF">
      <w:pPr>
        <w:pStyle w:val="Bullet"/>
      </w:pPr>
      <w:r w:rsidRPr="005B5281">
        <w:rPr>
          <w:color w:val="000000"/>
          <w:szCs w:val="24"/>
        </w:rPr>
        <w:t xml:space="preserve">PPL has identified various steps of an </w:t>
      </w:r>
      <w:r w:rsidRPr="005B5281">
        <w:rPr>
          <w:rFonts w:cs="Arial"/>
          <w:color w:val="000000"/>
          <w:szCs w:val="24"/>
        </w:rPr>
        <w:t xml:space="preserve">incident response life cycle framework consisting of </w:t>
      </w:r>
      <w:r w:rsidRPr="005B5281">
        <w:rPr>
          <w:color w:val="000000"/>
          <w:szCs w:val="24"/>
        </w:rPr>
        <w:t>preparation;</w:t>
      </w:r>
      <w:r w:rsidRPr="005B5281">
        <w:rPr>
          <w:szCs w:val="24"/>
        </w:rPr>
        <w:t xml:space="preserve"> detection and analysis; containment, eradication, and recovery; and post incident activity stages.</w:t>
      </w:r>
      <w:r>
        <w:rPr>
          <w:szCs w:val="24"/>
        </w:rPr>
        <w:t xml:space="preserve">  Each stage includes specific steps, actions, and checklists.</w:t>
      </w:r>
    </w:p>
    <w:p w:rsidR="00286C71" w:rsidRPr="00DB7652" w:rsidRDefault="00286C71" w:rsidP="00701DCF">
      <w:pPr>
        <w:pStyle w:val="Bullet"/>
      </w:pPr>
      <w:r w:rsidRPr="00DB7652">
        <w:t xml:space="preserve">ISD Standards </w:t>
      </w:r>
      <w:r>
        <w:t>and</w:t>
      </w:r>
      <w:r w:rsidRPr="00DB7652">
        <w:t xml:space="preserve"> Procedures.  </w:t>
      </w:r>
      <w:r>
        <w:t>Numerous</w:t>
      </w:r>
      <w:r w:rsidRPr="00DB7652">
        <w:t xml:space="preserve"> standards cover</w:t>
      </w:r>
      <w:r>
        <w:t>ing</w:t>
      </w:r>
      <w:r w:rsidRPr="00DB7652">
        <w:t xml:space="preserve"> cyber</w:t>
      </w:r>
      <w:r>
        <w:t xml:space="preserve"> </w:t>
      </w:r>
      <w:r w:rsidRPr="00DB7652">
        <w:t>security risk management, cyber</w:t>
      </w:r>
      <w:r>
        <w:t xml:space="preserve"> </w:t>
      </w:r>
      <w:r w:rsidRPr="00DB7652">
        <w:t xml:space="preserve">security monitoring </w:t>
      </w:r>
      <w:r>
        <w:t>and</w:t>
      </w:r>
      <w:r w:rsidRPr="00DB7652">
        <w:t xml:space="preserve"> protections, identity and access management, and regulatory compliance</w:t>
      </w:r>
      <w:r>
        <w:t>.</w:t>
      </w:r>
      <w:r w:rsidRPr="00DB7652">
        <w:t xml:space="preserve"> </w:t>
      </w:r>
      <w:r>
        <w:t>These standards</w:t>
      </w:r>
      <w:r w:rsidRPr="00DB7652">
        <w:t xml:space="preserve"> apply to the activities of PPL</w:t>
      </w:r>
      <w:r>
        <w:t xml:space="preserve"> EU</w:t>
      </w:r>
      <w:r w:rsidRPr="00DB7652">
        <w:t xml:space="preserve"> employees, PPL</w:t>
      </w:r>
      <w:r>
        <w:t xml:space="preserve"> EU</w:t>
      </w:r>
      <w:r w:rsidRPr="00DB7652">
        <w:t xml:space="preserve"> affiliates (other than LGE</w:t>
      </w:r>
      <w:r>
        <w:t xml:space="preserve"> and </w:t>
      </w:r>
      <w:r w:rsidRPr="00DB7652">
        <w:t xml:space="preserve">KU), contractors, consultants, vendor representatives, and other authorized third parties that utilize </w:t>
      </w:r>
      <w:r>
        <w:t>IT</w:t>
      </w:r>
      <w:r w:rsidRPr="00DB7652">
        <w:t xml:space="preserve"> provided </w:t>
      </w:r>
      <w:r>
        <w:t xml:space="preserve">intranet </w:t>
      </w:r>
      <w:r w:rsidRPr="00DB7652">
        <w:t>related services.</w:t>
      </w:r>
    </w:p>
    <w:p w:rsidR="00286C71" w:rsidRPr="00DB7652" w:rsidRDefault="00286C71" w:rsidP="00701DCF">
      <w:pPr>
        <w:pStyle w:val="Bullet"/>
      </w:pPr>
      <w:r w:rsidRPr="00DB7652">
        <w:t>Business Continuity and Disaster Recovery.  I</w:t>
      </w:r>
      <w:r>
        <w:t xml:space="preserve">T </w:t>
      </w:r>
      <w:r w:rsidRPr="00DB7652">
        <w:t xml:space="preserve">maintains a set of standards, procedures, processes and documentation regarding Business Continuity and Disaster Recovery for business applications and supporting infrastructure, including </w:t>
      </w:r>
      <w:r>
        <w:t xml:space="preserve">PPL </w:t>
      </w:r>
      <w:r w:rsidRPr="00DB7652">
        <w:t>EU</w:t>
      </w:r>
      <w:r>
        <w:t xml:space="preserve"> applications</w:t>
      </w:r>
      <w:r w:rsidRPr="00DB7652">
        <w:t>.</w:t>
      </w:r>
    </w:p>
    <w:p w:rsidR="00286C71" w:rsidRPr="00DB7652" w:rsidRDefault="00286C71" w:rsidP="00701DCF">
      <w:pPr>
        <w:pStyle w:val="Bullet"/>
      </w:pPr>
      <w:r w:rsidRPr="00DB7652">
        <w:t xml:space="preserve">Business Continuity Plan.  This plan addresses </w:t>
      </w:r>
      <w:proofErr w:type="gramStart"/>
      <w:r w:rsidRPr="00DB7652">
        <w:t>I</w:t>
      </w:r>
      <w:r>
        <w:t>T</w:t>
      </w:r>
      <w:r w:rsidRPr="00DB7652">
        <w:t>'s</w:t>
      </w:r>
      <w:proofErr w:type="gramEnd"/>
      <w:r w:rsidRPr="00DB7652">
        <w:t xml:space="preserve"> general response to the more serious disruptions of its business environment, namely sustained loss of access to facilities used by I</w:t>
      </w:r>
      <w:r>
        <w:t>T</w:t>
      </w:r>
      <w:r w:rsidRPr="00DB7652">
        <w:t xml:space="preserve"> as workspace or for housing </w:t>
      </w:r>
      <w:r>
        <w:t>major infrastructure elements.</w:t>
      </w:r>
    </w:p>
    <w:p w:rsidR="00286C71" w:rsidRPr="00DB7652" w:rsidRDefault="00286C71" w:rsidP="00701DCF">
      <w:pPr>
        <w:pStyle w:val="Bullet"/>
      </w:pPr>
      <w:r w:rsidRPr="00DB7652">
        <w:t>Incident and Problem Management Processes for handling the day-to-day problems encountered in the use and operation of its information systems.</w:t>
      </w:r>
    </w:p>
    <w:p w:rsidR="00286C71" w:rsidRPr="00DB7652" w:rsidRDefault="00286C71" w:rsidP="00701DCF">
      <w:pPr>
        <w:pStyle w:val="Bullet"/>
      </w:pPr>
      <w:r>
        <w:t>A p</w:t>
      </w:r>
      <w:r w:rsidRPr="00DB7652">
        <w:t xml:space="preserve">rocess which addresses the management response to the more significant disruptions of </w:t>
      </w:r>
      <w:r>
        <w:t>IT</w:t>
      </w:r>
      <w:r w:rsidRPr="00DB7652">
        <w:t xml:space="preserve"> services.</w:t>
      </w:r>
    </w:p>
    <w:p w:rsidR="00286C71" w:rsidRPr="005B5281" w:rsidRDefault="00286C71" w:rsidP="00701DCF">
      <w:pPr>
        <w:pStyle w:val="Bullet"/>
      </w:pPr>
      <w:r w:rsidRPr="005B5281">
        <w:t>Process for identifying critical applications, services, and functions.</w:t>
      </w:r>
    </w:p>
    <w:p w:rsidR="00286C71" w:rsidRDefault="00286C71" w:rsidP="00701DCF">
      <w:pPr>
        <w:pStyle w:val="Normal-aftertable"/>
      </w:pPr>
      <w:r w:rsidRPr="00DB7652">
        <w:t xml:space="preserve">The </w:t>
      </w:r>
      <w:r>
        <w:t xml:space="preserve">corporate </w:t>
      </w:r>
      <w:r w:rsidRPr="00DB7652">
        <w:t xml:space="preserve">BCP and NERC Standards guide the development of the cyber security </w:t>
      </w:r>
      <w:r w:rsidRPr="005B5281">
        <w:t>plans which are aligned with the NIST framework.  IT is working to reduce the number of separate cyber policies.</w:t>
      </w:r>
    </w:p>
    <w:p w:rsidR="00286C71" w:rsidRPr="00DB7652" w:rsidRDefault="00286C71" w:rsidP="00701DCF">
      <w:pPr>
        <w:rPr>
          <w:rFonts w:cs="Arial"/>
          <w:szCs w:val="24"/>
        </w:rPr>
      </w:pPr>
      <w:r>
        <w:rPr>
          <w:szCs w:val="24"/>
        </w:rPr>
        <w:t>Alternative business methods are documented in individual application business continuity plans.</w:t>
      </w:r>
    </w:p>
    <w:p w:rsidR="00286C71" w:rsidRDefault="00286C71" w:rsidP="00701DCF">
      <w:pPr>
        <w:rPr>
          <w:rFonts w:cs="Arial"/>
          <w:szCs w:val="24"/>
        </w:rPr>
      </w:pPr>
      <w:proofErr w:type="gramStart"/>
      <w:r w:rsidRPr="00F816A4">
        <w:rPr>
          <w:b/>
        </w:rPr>
        <w:t>PPL Corporation Cyber Event Response</w:t>
      </w:r>
      <w:r w:rsidR="00F816A4" w:rsidRPr="00F816A4">
        <w:rPr>
          <w:b/>
        </w:rPr>
        <w:t>.</w:t>
      </w:r>
      <w:proofErr w:type="gramEnd"/>
      <w:r w:rsidR="00F816A4">
        <w:t xml:space="preserve">  </w:t>
      </w:r>
      <w:r>
        <w:t xml:space="preserve">The </w:t>
      </w:r>
      <w:r w:rsidRPr="00DA190D">
        <w:t>Computer Security Incident Response process</w:t>
      </w:r>
      <w:r>
        <w:t xml:space="preserve"> defines the </w:t>
      </w:r>
      <w:r>
        <w:rPr>
          <w:rFonts w:cs="Arial"/>
          <w:szCs w:val="24"/>
        </w:rPr>
        <w:t xml:space="preserve">steps for internal notification of threat levels, identification of specific threats to PPL Corporation systems, and use of its plans for response to mitigate the threat.  </w:t>
      </w:r>
      <w:r w:rsidRPr="005F69A8">
        <w:rPr>
          <w:rFonts w:cs="Arial"/>
          <w:szCs w:val="24"/>
        </w:rPr>
        <w:t>Cyber incidents are classified by the extent of dispersion, number of devices or business lines affected, and damage caused.</w:t>
      </w:r>
    </w:p>
    <w:p w:rsidR="00286C71" w:rsidRDefault="00286C71" w:rsidP="00701DCF">
      <w:pPr>
        <w:pStyle w:val="Heading40"/>
        <w:jc w:val="both"/>
      </w:pPr>
      <w:r w:rsidRPr="005F69A8">
        <w:rPr>
          <w:rFonts w:cs="Arial"/>
          <w:b w:val="0"/>
          <w:szCs w:val="24"/>
        </w:rPr>
        <w:t>The procedures contain defined roles and responsibilities by job function for any cyber incident.  These Subject Matter Experts are primarily responsible to identify, manage and respond to events within their area.  PPL will provide information and/or report to various internal and external sources on an event, such as the U.S. Department of Energy (DOE).</w:t>
      </w:r>
      <w:r>
        <w:rPr>
          <w:rFonts w:cs="Arial"/>
          <w:szCs w:val="24"/>
        </w:rPr>
        <w:t xml:space="preserve">  </w:t>
      </w:r>
    </w:p>
    <w:p w:rsidR="00286C71" w:rsidRDefault="00286C71" w:rsidP="00701DCF">
      <w:pPr>
        <w:rPr>
          <w:szCs w:val="24"/>
        </w:rPr>
      </w:pPr>
      <w:proofErr w:type="gramStart"/>
      <w:r w:rsidRPr="00F816A4">
        <w:rPr>
          <w:b/>
        </w:rPr>
        <w:t>PPL EU Cyber Event Response</w:t>
      </w:r>
      <w:r w:rsidR="00F816A4" w:rsidRPr="00F816A4">
        <w:rPr>
          <w:b/>
        </w:rPr>
        <w:t>.</w:t>
      </w:r>
      <w:proofErr w:type="gramEnd"/>
      <w:r w:rsidR="00F816A4">
        <w:t xml:space="preserve">  </w:t>
      </w:r>
      <w:r>
        <w:rPr>
          <w:szCs w:val="24"/>
        </w:rPr>
        <w:t>A document provides a framework for PPL EU response to a cyber event that may impact the integrity of the electric system, the ability to monitor and operate the system, or the loss of customer or employee information.</w:t>
      </w:r>
    </w:p>
    <w:p w:rsidR="00286C71" w:rsidRPr="00DB7652" w:rsidRDefault="00286C71" w:rsidP="00701DCF">
      <w:pPr>
        <w:rPr>
          <w:rFonts w:cs="Arial"/>
          <w:szCs w:val="24"/>
        </w:rPr>
      </w:pPr>
      <w:r w:rsidRPr="00DB7652">
        <w:rPr>
          <w:rFonts w:cs="Arial"/>
          <w:szCs w:val="24"/>
        </w:rPr>
        <w:lastRenderedPageBreak/>
        <w:t xml:space="preserve">The cyber security plans are reviewed at least annually and </w:t>
      </w:r>
      <w:r>
        <w:rPr>
          <w:rFonts w:cs="Arial"/>
          <w:szCs w:val="24"/>
        </w:rPr>
        <w:t>a</w:t>
      </w:r>
      <w:r w:rsidRPr="00DB7652">
        <w:rPr>
          <w:rFonts w:cs="Arial"/>
          <w:szCs w:val="24"/>
        </w:rPr>
        <w:t xml:space="preserve"> revision history </w:t>
      </w:r>
      <w:r>
        <w:rPr>
          <w:rFonts w:cs="Arial"/>
          <w:szCs w:val="24"/>
        </w:rPr>
        <w:t>tracks</w:t>
      </w:r>
      <w:r w:rsidRPr="00DB7652">
        <w:rPr>
          <w:rFonts w:cs="Arial"/>
          <w:szCs w:val="24"/>
        </w:rPr>
        <w:t xml:space="preserve"> a summary of changes and next review date.  Reviews with no changes are also logged.</w:t>
      </w:r>
      <w:r w:rsidRPr="000F4C89">
        <w:rPr>
          <w:rFonts w:cs="Arial"/>
          <w:szCs w:val="24"/>
        </w:rPr>
        <w:t xml:space="preserve"> </w:t>
      </w:r>
      <w:r>
        <w:rPr>
          <w:rFonts w:cs="Arial"/>
          <w:szCs w:val="24"/>
        </w:rPr>
        <w:t xml:space="preserve"> </w:t>
      </w:r>
      <w:r w:rsidRPr="00DB7652">
        <w:rPr>
          <w:rFonts w:cs="Arial"/>
          <w:szCs w:val="24"/>
        </w:rPr>
        <w:t>Operationally</w:t>
      </w:r>
      <w:r>
        <w:rPr>
          <w:rFonts w:cs="Arial"/>
          <w:szCs w:val="24"/>
        </w:rPr>
        <w:t>,</w:t>
      </w:r>
      <w:r w:rsidRPr="00DB7652">
        <w:rPr>
          <w:rFonts w:cs="Arial"/>
          <w:szCs w:val="24"/>
        </w:rPr>
        <w:t xml:space="preserve"> the cyber response procedures are exercised in the normal course of business as hardware or software fails.</w:t>
      </w:r>
    </w:p>
    <w:p w:rsidR="00286C71" w:rsidRDefault="00286C71" w:rsidP="00F816A4">
      <w:pPr>
        <w:pStyle w:val="Heading40"/>
      </w:pPr>
      <w:r>
        <w:t>Prevention</w:t>
      </w:r>
    </w:p>
    <w:p w:rsidR="00286C71" w:rsidRPr="00DB7652" w:rsidRDefault="00286C71" w:rsidP="00701DCF">
      <w:r>
        <w:t xml:space="preserve">NERC Critical Infrastructure Protection (CIP) standards, applicable to systems supporting operation of the PPL EU transmission system, form the basis for many of </w:t>
      </w:r>
      <w:proofErr w:type="gramStart"/>
      <w:r>
        <w:t>IT’s</w:t>
      </w:r>
      <w:proofErr w:type="gramEnd"/>
      <w:r>
        <w:t xml:space="preserve"> practices in maintaining access controls, timely implementation of patches for applications, and implementing a risk based approach to cyber security measures.</w:t>
      </w:r>
    </w:p>
    <w:p w:rsidR="00286C71" w:rsidRDefault="00286C71" w:rsidP="00701DCF">
      <w:r>
        <w:t>The IAG researches, designs, and operates a wide variety of defense in depth technologies and processes to support a cyber security plan for PPL Corporation. These elements range from monitoring systems to hardening and protection schemes and applications.</w:t>
      </w:r>
    </w:p>
    <w:p w:rsidR="00286C71" w:rsidRDefault="00286C71" w:rsidP="00701DCF">
      <w:pPr>
        <w:rPr>
          <w:rFonts w:cs="Arial"/>
          <w:color w:val="000000"/>
          <w:shd w:val="clear" w:color="auto" w:fill="FFFFFF"/>
        </w:rPr>
      </w:pPr>
      <w:r w:rsidRPr="00BE3CE0">
        <w:rPr>
          <w:rFonts w:cs="Arial"/>
          <w:color w:val="000000"/>
          <w:shd w:val="clear" w:color="auto" w:fill="FFFFFF"/>
        </w:rPr>
        <w:t>PPL requires certain security software to be run on employee’s personal mobile devices used to access PPL Corporation email.  The Company will also use secure access technologies for remote commuting of its employees.</w:t>
      </w:r>
    </w:p>
    <w:p w:rsidR="00286C71" w:rsidRPr="007353DF" w:rsidRDefault="00286C71" w:rsidP="00701DCF">
      <w:pPr>
        <w:rPr>
          <w:rFonts w:cs="Arial"/>
          <w:color w:val="000000"/>
          <w:shd w:val="clear" w:color="auto" w:fill="FFFFFF"/>
        </w:rPr>
      </w:pPr>
      <w:r>
        <w:rPr>
          <w:rFonts w:cs="Arial"/>
          <w:color w:val="000000"/>
          <w:shd w:val="clear" w:color="auto" w:fill="FFFFFF"/>
        </w:rPr>
        <w:t>IT</w:t>
      </w:r>
      <w:r w:rsidRPr="007353DF">
        <w:rPr>
          <w:rFonts w:cs="Arial"/>
          <w:color w:val="000000"/>
          <w:shd w:val="clear" w:color="auto" w:fill="FFFFFF"/>
        </w:rPr>
        <w:t xml:space="preserve"> conducts periodic office checks for use of appropriate security measures for confidential data and IT system access.</w:t>
      </w:r>
    </w:p>
    <w:p w:rsidR="00286C71" w:rsidRPr="00DB7652" w:rsidRDefault="00286C71" w:rsidP="00701DCF">
      <w:pPr>
        <w:rPr>
          <w:rFonts w:cs="Arial"/>
          <w:color w:val="000000"/>
          <w:shd w:val="clear" w:color="auto" w:fill="FFFFFF"/>
        </w:rPr>
      </w:pPr>
      <w:r w:rsidRPr="00066F95">
        <w:rPr>
          <w:rFonts w:cs="Arial"/>
          <w:color w:val="000000"/>
          <w:shd w:val="clear" w:color="auto" w:fill="FFFFFF"/>
        </w:rPr>
        <w:t>Email addressed to PPL Corporation employees is filtered with roughly 80-85% of the incoming email being deleted.</w:t>
      </w:r>
    </w:p>
    <w:p w:rsidR="00286C71" w:rsidRDefault="00286C71" w:rsidP="00701DCF">
      <w:r>
        <w:rPr>
          <w:rFonts w:cs="Arial"/>
          <w:szCs w:val="24"/>
        </w:rPr>
        <w:t xml:space="preserve">A PPL document defines threat information and outlines the monitoring activities of internal and external resources.  </w:t>
      </w:r>
      <w:r>
        <w:t>ISD employs a number of intelligence and information gathering resources to maintain awareness of threat conditions, emerging issues, and mitigation approaches.  These resources are used by Protective Services, EP, and IAG in their day-to-day security monitoring activities.  Examples of the resources utilized include:</w:t>
      </w:r>
    </w:p>
    <w:p w:rsidR="00286C71" w:rsidRDefault="00286C71" w:rsidP="00701DCF">
      <w:pPr>
        <w:pStyle w:val="Bullet"/>
      </w:pPr>
      <w:r>
        <w:t xml:space="preserve">E-ISAC, sponsored by NERC.  </w:t>
      </w:r>
      <w:r w:rsidRPr="00D960F6">
        <w:t>Shares threat alerts, warnings, advisories, notices and vulnerability assessments with the utility industry</w:t>
      </w:r>
      <w:r>
        <w:t>.</w:t>
      </w:r>
    </w:p>
    <w:p w:rsidR="00286C71" w:rsidRDefault="00286C71" w:rsidP="00701DCF">
      <w:pPr>
        <w:pStyle w:val="Bullet"/>
      </w:pPr>
      <w:r>
        <w:t>Homeland Security Information Network - Maintains the Critical Infrastructure Network which provides alerts and bulletins and a Homeland Security Infrastructure Network portal which provides access to information bulletins, joint threat bulletins, suspicious activity reports, lessons learned, and other critical infrastructure information.</w:t>
      </w:r>
    </w:p>
    <w:p w:rsidR="00286C71" w:rsidRPr="00D960F6" w:rsidRDefault="00286C71" w:rsidP="00701DCF">
      <w:pPr>
        <w:pStyle w:val="Bullet"/>
      </w:pPr>
      <w:r>
        <w:t>Pennsylvania Criminal Intelligence Center.  Provides s</w:t>
      </w:r>
      <w:r w:rsidRPr="00D960F6">
        <w:t xml:space="preserve">uspicious activity notifications, information bulletins, </w:t>
      </w:r>
      <w:r>
        <w:t xml:space="preserve">a </w:t>
      </w:r>
      <w:r w:rsidRPr="00D960F6">
        <w:t>Cyber Intel Advisory, a monthly report of information and significant issues with critical infrastructure/key resources, and bulletins prepared by Pennsylvania State Police to provide information to owner/operators of critical infrastructure/key resources for security and planning purposes</w:t>
      </w:r>
      <w:r>
        <w:t>.</w:t>
      </w:r>
    </w:p>
    <w:p w:rsidR="00286C71" w:rsidRPr="00130307" w:rsidRDefault="00105C30" w:rsidP="00701DCF">
      <w:pPr>
        <w:pStyle w:val="Bullet"/>
      </w:pPr>
      <w:r>
        <w:t>Pennsylvania Public Utility Commission</w:t>
      </w:r>
      <w:r w:rsidR="00286C71" w:rsidRPr="00130307">
        <w:t xml:space="preserve"> Critical Infrastructure Interdependency Working Group</w:t>
      </w:r>
      <w:r w:rsidR="00286C71">
        <w:t>.  Provides i</w:t>
      </w:r>
      <w:r w:rsidR="00286C71" w:rsidRPr="00D960F6">
        <w:t>nformation sharing across industry sectors in P</w:t>
      </w:r>
      <w:r w:rsidR="00286C71">
        <w:t>ennsylvania.</w:t>
      </w:r>
    </w:p>
    <w:p w:rsidR="00286C71" w:rsidRDefault="00286C71" w:rsidP="00701DCF">
      <w:pPr>
        <w:pStyle w:val="Bullet"/>
      </w:pPr>
      <w:r w:rsidRPr="00066F95">
        <w:lastRenderedPageBreak/>
        <w:t>A Pennsylvania, New Jersey, Maryland Interconnection (PJM) subcommittee.</w:t>
      </w:r>
      <w:r>
        <w:t xml:space="preserve">  </w:t>
      </w:r>
      <w:r w:rsidRPr="00D960F6">
        <w:t>Information sharing and discussion on security matters relating to the electric grid</w:t>
      </w:r>
      <w:r>
        <w:t>.</w:t>
      </w:r>
    </w:p>
    <w:p w:rsidR="00286C71" w:rsidRDefault="00286C71" w:rsidP="00701DCF">
      <w:pPr>
        <w:pStyle w:val="Bullet"/>
      </w:pPr>
      <w:r>
        <w:t>Industrial Control Systems Cyber Emergency Response Team.  Provides c</w:t>
      </w:r>
      <w:r w:rsidRPr="00D960F6">
        <w:t>yber security information specifically related to Industrial Control Systems</w:t>
      </w:r>
      <w:r>
        <w:t>.</w:t>
      </w:r>
    </w:p>
    <w:p w:rsidR="00286C71" w:rsidRPr="007353DF" w:rsidRDefault="00286C71" w:rsidP="00701DCF">
      <w:pPr>
        <w:pStyle w:val="Bullet"/>
        <w:rPr>
          <w:color w:val="000000"/>
          <w:szCs w:val="24"/>
        </w:rPr>
      </w:pPr>
      <w:r w:rsidRPr="007353DF">
        <w:rPr>
          <w:color w:val="000000"/>
          <w:szCs w:val="24"/>
        </w:rPr>
        <w:t xml:space="preserve">SANS Institute.  A </w:t>
      </w:r>
      <w:r w:rsidRPr="007353DF">
        <w:rPr>
          <w:rFonts w:cs="Arial"/>
          <w:color w:val="000000"/>
          <w:szCs w:val="24"/>
        </w:rPr>
        <w:t>cooperative research and education organization</w:t>
      </w:r>
      <w:r w:rsidRPr="007353DF">
        <w:rPr>
          <w:color w:val="000000"/>
          <w:szCs w:val="24"/>
        </w:rPr>
        <w:t xml:space="preserve"> providing training and timely information to information security professionals.</w:t>
      </w:r>
    </w:p>
    <w:p w:rsidR="00286C71" w:rsidRPr="00130307" w:rsidRDefault="00286C71" w:rsidP="00701DCF">
      <w:pPr>
        <w:pStyle w:val="Bullet"/>
      </w:pPr>
      <w:r>
        <w:t xml:space="preserve">Federal Energy Regulatory Commission </w:t>
      </w:r>
      <w:r w:rsidRPr="00206015">
        <w:t>Office of Energy Infrastructure Security</w:t>
      </w:r>
      <w:r>
        <w:t xml:space="preserve">.  </w:t>
      </w:r>
      <w:r w:rsidRPr="00130307">
        <w:t xml:space="preserve">Performed </w:t>
      </w:r>
      <w:r>
        <w:t xml:space="preserve">a </w:t>
      </w:r>
      <w:r w:rsidRPr="00130307">
        <w:t>security review of PPL</w:t>
      </w:r>
      <w:r>
        <w:t xml:space="preserve"> Corporation</w:t>
      </w:r>
      <w:r w:rsidRPr="00130307">
        <w:t>’s network and share</w:t>
      </w:r>
      <w:r>
        <w:t>s</w:t>
      </w:r>
      <w:r w:rsidRPr="00130307">
        <w:t xml:space="preserve"> classified information as appropriate</w:t>
      </w:r>
      <w:r>
        <w:t>.</w:t>
      </w:r>
      <w:r w:rsidRPr="00440B39">
        <w:t xml:space="preserve"> </w:t>
      </w:r>
    </w:p>
    <w:p w:rsidR="00286C71" w:rsidRPr="007353DF" w:rsidRDefault="00286C71" w:rsidP="00511EFB">
      <w:pPr>
        <w:pStyle w:val="Normal-aftertable"/>
        <w:rPr>
          <w:shd w:val="clear" w:color="auto" w:fill="FFFFFF"/>
        </w:rPr>
      </w:pPr>
      <w:r w:rsidRPr="00066F95">
        <w:rPr>
          <w:shd w:val="clear" w:color="auto" w:fill="FFFFFF"/>
        </w:rPr>
        <w:t>PPL Corporation carries cyber security insurance.</w:t>
      </w:r>
    </w:p>
    <w:p w:rsidR="00286C71" w:rsidRDefault="00286C71" w:rsidP="00F816A4">
      <w:pPr>
        <w:pStyle w:val="Heading40"/>
      </w:pPr>
      <w:r>
        <w:t>Preparation</w:t>
      </w:r>
    </w:p>
    <w:p w:rsidR="00286C71" w:rsidRPr="00DB7652" w:rsidRDefault="00286C71" w:rsidP="00701DCF">
      <w:pPr>
        <w:rPr>
          <w:rFonts w:cs="Arial"/>
          <w:color w:val="000000"/>
          <w:shd w:val="clear" w:color="auto" w:fill="FFFFFF"/>
        </w:rPr>
      </w:pPr>
      <w:r>
        <w:rPr>
          <w:rFonts w:cs="Arial"/>
          <w:szCs w:val="24"/>
        </w:rPr>
        <w:t>Cyber Security training has also been developed.  All PPL Corporation employees receive annual IT Cyber Security Awareness computer-based training and selected employees receive training related to NERC CIP requirements</w:t>
      </w:r>
      <w:r>
        <w:rPr>
          <w:rFonts w:cs="Arial"/>
          <w:color w:val="000000"/>
          <w:shd w:val="clear" w:color="auto" w:fill="FFFFFF"/>
        </w:rPr>
        <w:t>. C</w:t>
      </w:r>
      <w:r w:rsidRPr="00DB7652">
        <w:rPr>
          <w:rFonts w:cs="Arial"/>
          <w:color w:val="000000"/>
          <w:shd w:val="clear" w:color="auto" w:fill="FFFFFF"/>
        </w:rPr>
        <w:t>yber security awareness training and messages are provided to PPL</w:t>
      </w:r>
      <w:r>
        <w:rPr>
          <w:rFonts w:cs="Arial"/>
          <w:color w:val="000000"/>
          <w:shd w:val="clear" w:color="auto" w:fill="FFFFFF"/>
        </w:rPr>
        <w:t xml:space="preserve"> Corporation</w:t>
      </w:r>
      <w:r w:rsidRPr="00DB7652">
        <w:rPr>
          <w:rFonts w:cs="Arial"/>
          <w:color w:val="000000"/>
          <w:shd w:val="clear" w:color="auto" w:fill="FFFFFF"/>
        </w:rPr>
        <w:t xml:space="preserve"> employees</w:t>
      </w:r>
      <w:r>
        <w:rPr>
          <w:rFonts w:cs="Arial"/>
          <w:color w:val="000000"/>
          <w:shd w:val="clear" w:color="auto" w:fill="FFFFFF"/>
        </w:rPr>
        <w:t xml:space="preserve"> on an ongoing basis</w:t>
      </w:r>
      <w:r w:rsidRPr="00DB7652">
        <w:rPr>
          <w:rFonts w:cs="Arial"/>
          <w:color w:val="000000"/>
          <w:shd w:val="clear" w:color="auto" w:fill="FFFFFF"/>
        </w:rPr>
        <w:t xml:space="preserve">.  Security awareness articles are also published in the </w:t>
      </w:r>
      <w:r>
        <w:rPr>
          <w:rFonts w:cs="Arial"/>
          <w:color w:val="000000"/>
          <w:shd w:val="clear" w:color="auto" w:fill="FFFFFF"/>
        </w:rPr>
        <w:t xml:space="preserve">PPL Corporation newsletter and </w:t>
      </w:r>
      <w:r w:rsidRPr="00DB7652">
        <w:rPr>
          <w:rFonts w:cs="Arial"/>
          <w:color w:val="000000"/>
          <w:shd w:val="clear" w:color="auto" w:fill="FFFFFF"/>
        </w:rPr>
        <w:t xml:space="preserve">IT will periodically initiate a phishing email to gauge employee response.  The click rate is monitored and reported.  </w:t>
      </w:r>
      <w:r w:rsidRPr="005F69A8">
        <w:rPr>
          <w:rFonts w:cs="Arial"/>
          <w:color w:val="000000"/>
          <w:shd w:val="clear" w:color="auto" w:fill="FFFFFF"/>
        </w:rPr>
        <w:t xml:space="preserve">Click rates have declined </w:t>
      </w:r>
      <w:proofErr w:type="spellStart"/>
      <w:r w:rsidRPr="005F69A8">
        <w:rPr>
          <w:rFonts w:cs="Arial"/>
          <w:color w:val="000000"/>
          <w:shd w:val="clear" w:color="auto" w:fill="FFFFFF"/>
        </w:rPr>
        <w:t>four fold</w:t>
      </w:r>
      <w:proofErr w:type="spellEnd"/>
      <w:r w:rsidRPr="005F69A8">
        <w:rPr>
          <w:rFonts w:cs="Arial"/>
          <w:color w:val="000000"/>
          <w:shd w:val="clear" w:color="auto" w:fill="FFFFFF"/>
        </w:rPr>
        <w:t xml:space="preserve"> through continued education.</w:t>
      </w:r>
    </w:p>
    <w:p w:rsidR="00286C71" w:rsidRDefault="00286C71" w:rsidP="00F816A4">
      <w:pPr>
        <w:pStyle w:val="Heading40"/>
      </w:pPr>
      <w:r>
        <w:t>Practice</w:t>
      </w:r>
    </w:p>
    <w:p w:rsidR="00286C71" w:rsidRDefault="00286C71" w:rsidP="00701DCF">
      <w:r>
        <w:t>PPL EU participated in GridEx II</w:t>
      </w:r>
      <w:r w:rsidRPr="00CA67B7">
        <w:t xml:space="preserve"> </w:t>
      </w:r>
      <w:r>
        <w:t>and GridEx III, national electric grid security and incident response exercises, conducted by NERC in November 2013 and November 2015 respectively.</w:t>
      </w:r>
    </w:p>
    <w:p w:rsidR="00286C71" w:rsidRDefault="00286C71" w:rsidP="00701DCF">
      <w:pPr>
        <w:rPr>
          <w:rFonts w:cs="Arial"/>
          <w:szCs w:val="24"/>
        </w:rPr>
      </w:pPr>
      <w:r>
        <w:t>In addition to participation in GridEx exercises, IT conducts an annual NERC CIP Recovery Drill that focuses on critical systems which affect the operability or reliability of the electric transmission system; a Business Continuity tabletop drill; and an Event Exercise.  IAG also periodically participates in Cyber Security Incident Response Drills and performs</w:t>
      </w:r>
      <w:r w:rsidRPr="00B33C47">
        <w:rPr>
          <w:rFonts w:cs="Arial"/>
          <w:szCs w:val="24"/>
        </w:rPr>
        <w:t xml:space="preserve"> </w:t>
      </w:r>
      <w:r w:rsidRPr="00DB7652">
        <w:rPr>
          <w:rFonts w:cs="Arial"/>
          <w:szCs w:val="24"/>
        </w:rPr>
        <w:t>first responder drills with staff</w:t>
      </w:r>
      <w:r>
        <w:t>.</w:t>
      </w:r>
    </w:p>
    <w:p w:rsidR="00286C71" w:rsidRPr="0065486B" w:rsidRDefault="00286C71" w:rsidP="00701DCF">
      <w:r w:rsidRPr="0065486B">
        <w:t xml:space="preserve">External penetration testing is performed by IT and some of the testing is coordinated </w:t>
      </w:r>
      <w:r w:rsidRPr="00066F95">
        <w:t>with Corporate Audit annually.  IT will select penetration testing vendors based on</w:t>
      </w:r>
      <w:r w:rsidRPr="0065486B">
        <w:t xml:space="preserve"> capability, references, response to Statements of Work requests, experience, availability, and cost.</w:t>
      </w:r>
    </w:p>
    <w:p w:rsidR="00286C71" w:rsidRDefault="00286C71" w:rsidP="00F816A4">
      <w:pPr>
        <w:pStyle w:val="Heading40"/>
      </w:pPr>
      <w:r>
        <w:t>Performance</w:t>
      </w:r>
    </w:p>
    <w:p w:rsidR="00286C71" w:rsidRPr="00D12AD4" w:rsidRDefault="00286C71" w:rsidP="00701DCF">
      <w:pPr>
        <w:rPr>
          <w:rFonts w:cs="Arial"/>
          <w:color w:val="000000" w:themeColor="text1"/>
          <w:shd w:val="clear" w:color="auto" w:fill="FFFFFF"/>
        </w:rPr>
      </w:pPr>
      <w:r w:rsidRPr="005F69A8">
        <w:rPr>
          <w:rFonts w:cs="Arial"/>
          <w:color w:val="222222"/>
          <w:shd w:val="clear" w:color="auto" w:fill="FFFFFF"/>
        </w:rPr>
        <w:t>PPL EU has not experienced any cyber security related events requiring notification of federal agencies as of year-end 2015.</w:t>
      </w:r>
      <w:r>
        <w:rPr>
          <w:rFonts w:cs="Arial"/>
          <w:color w:val="222222"/>
          <w:shd w:val="clear" w:color="auto" w:fill="FFFFFF"/>
        </w:rPr>
        <w:t xml:space="preserve">  PPL EU is an active participant in the NERC E-ISAC and reports incidents such </w:t>
      </w:r>
      <w:r w:rsidRPr="00D12AD4">
        <w:rPr>
          <w:rFonts w:cs="Arial"/>
          <w:color w:val="000000" w:themeColor="text1"/>
          <w:shd w:val="clear" w:color="auto" w:fill="FFFFFF"/>
        </w:rPr>
        <w:t>as spear phishing, spoofed online profiles, and attempts to compromise external facing internet connections.</w:t>
      </w:r>
    </w:p>
    <w:p w:rsidR="00286C71" w:rsidRPr="00D12AD4" w:rsidRDefault="00286C71" w:rsidP="00701DCF">
      <w:pPr>
        <w:rPr>
          <w:color w:val="000000" w:themeColor="text1"/>
          <w:shd w:val="clear" w:color="auto" w:fill="FFFFFF"/>
        </w:rPr>
      </w:pPr>
      <w:proofErr w:type="gramStart"/>
      <w:r w:rsidRPr="00D12AD4">
        <w:rPr>
          <w:color w:val="000000" w:themeColor="text1"/>
          <w:shd w:val="clear" w:color="auto" w:fill="FFFFFF"/>
        </w:rPr>
        <w:t>A lesson</w:t>
      </w:r>
      <w:r>
        <w:rPr>
          <w:color w:val="000000" w:themeColor="text1"/>
          <w:shd w:val="clear" w:color="auto" w:fill="FFFFFF"/>
        </w:rPr>
        <w:t>s</w:t>
      </w:r>
      <w:proofErr w:type="gramEnd"/>
      <w:r w:rsidRPr="00D12AD4">
        <w:rPr>
          <w:color w:val="000000" w:themeColor="text1"/>
          <w:shd w:val="clear" w:color="auto" w:fill="FFFFFF"/>
        </w:rPr>
        <w:t xml:space="preserve"> learned meeting is held within </w:t>
      </w:r>
      <w:r>
        <w:rPr>
          <w:color w:val="000000" w:themeColor="text1"/>
          <w:shd w:val="clear" w:color="auto" w:fill="FFFFFF"/>
        </w:rPr>
        <w:t>ninety days</w:t>
      </w:r>
      <w:r w:rsidRPr="00D12AD4">
        <w:rPr>
          <w:color w:val="000000" w:themeColor="text1"/>
          <w:shd w:val="clear" w:color="auto" w:fill="FFFFFF"/>
        </w:rPr>
        <w:t xml:space="preserve"> after an activation of the CSIRT to document opportunities to</w:t>
      </w:r>
      <w:r w:rsidRPr="00D12AD4">
        <w:rPr>
          <w:color w:val="000000" w:themeColor="text1"/>
        </w:rPr>
        <w:t xml:space="preserve"> improve security measures and the incident handling </w:t>
      </w:r>
      <w:r w:rsidRPr="00D12AD4">
        <w:rPr>
          <w:color w:val="000000" w:themeColor="text1"/>
        </w:rPr>
        <w:lastRenderedPageBreak/>
        <w:t>process.  These results are then incorporated into the update process for the cyber security-related policies and procedures.</w:t>
      </w:r>
    </w:p>
    <w:p w:rsidR="00286C71" w:rsidRPr="00D12AD4" w:rsidRDefault="00286C71" w:rsidP="00701DCF">
      <w:pPr>
        <w:rPr>
          <w:rFonts w:cs="Arial"/>
          <w:color w:val="000000" w:themeColor="text1"/>
          <w:szCs w:val="24"/>
        </w:rPr>
      </w:pPr>
      <w:r w:rsidRPr="00D12AD4">
        <w:rPr>
          <w:rFonts w:cs="Arial"/>
          <w:color w:val="000000" w:themeColor="text1"/>
          <w:shd w:val="clear" w:color="auto" w:fill="FFFFFF"/>
        </w:rPr>
        <w:t xml:space="preserve">A number of volumetric metrics are maintained regarding cyber security preventive measures.  </w:t>
      </w:r>
      <w:r w:rsidRPr="00BE3CE0">
        <w:rPr>
          <w:rFonts w:cs="Arial"/>
          <w:color w:val="000000" w:themeColor="text1"/>
          <w:shd w:val="clear" w:color="auto" w:fill="FFFFFF"/>
        </w:rPr>
        <w:t>The Company has recently begun experimenting with a das</w:t>
      </w:r>
      <w:r w:rsidRPr="00D12AD4">
        <w:rPr>
          <w:rFonts w:cs="Arial"/>
          <w:color w:val="000000" w:themeColor="text1"/>
          <w:shd w:val="clear" w:color="auto" w:fill="FFFFFF"/>
        </w:rPr>
        <w:t>hboard type of summary for more effective communications with the executives and the Board on cyber security.</w:t>
      </w:r>
    </w:p>
    <w:p w:rsidR="00286C71" w:rsidRDefault="00286C71" w:rsidP="00FA30B2">
      <w:pPr>
        <w:pStyle w:val="Heading-forToC"/>
      </w:pPr>
      <w:bookmarkStart w:id="189" w:name="_Toc464552046"/>
      <w:r>
        <w:t>Findings</w:t>
      </w:r>
      <w:bookmarkEnd w:id="189"/>
    </w:p>
    <w:p w:rsidR="00286C71" w:rsidRDefault="00286C71" w:rsidP="00B86FA4">
      <w:pPr>
        <w:pStyle w:val="Findings"/>
        <w:numPr>
          <w:ilvl w:val="0"/>
          <w:numId w:val="28"/>
        </w:numPr>
      </w:pPr>
      <w:r>
        <w:t>IT is actively involved with cyber security programs and trends and has implemented a number of good practices to reduce chances of a serious security breach.</w:t>
      </w:r>
    </w:p>
    <w:p w:rsidR="00286C71" w:rsidRDefault="00286C71" w:rsidP="00701DCF">
      <w:r>
        <w:t>IT has acquired and implemented a number of leading edge tools to mitigate risk from cyber intrusion and phishing with real time filtering and monitoring.</w:t>
      </w:r>
    </w:p>
    <w:p w:rsidR="00286C71" w:rsidRDefault="00286C71" w:rsidP="00B86FA4">
      <w:pPr>
        <w:pStyle w:val="Findings"/>
        <w:numPr>
          <w:ilvl w:val="0"/>
          <w:numId w:val="28"/>
        </w:numPr>
      </w:pPr>
      <w:r>
        <w:t>The IT cyber security program has been evaluated by numerous external security entities.</w:t>
      </w:r>
    </w:p>
    <w:p w:rsidR="00286C71" w:rsidRDefault="00286C71" w:rsidP="00701DCF">
      <w:pPr>
        <w:rPr>
          <w:color w:val="000000"/>
          <w:shd w:val="clear" w:color="auto" w:fill="FFFFFF"/>
        </w:rPr>
      </w:pPr>
      <w:r>
        <w:t xml:space="preserve">In addition to the NERC required reviews and evaluations, PPL SC has sought a review of its program to the </w:t>
      </w:r>
      <w:r w:rsidRPr="007353DF">
        <w:rPr>
          <w:color w:val="000000"/>
          <w:shd w:val="clear" w:color="auto" w:fill="FFFFFF"/>
        </w:rPr>
        <w:t>Cyber Security Capability Maturity Model</w:t>
      </w:r>
      <w:r>
        <w:rPr>
          <w:color w:val="000000"/>
          <w:shd w:val="clear" w:color="auto" w:fill="FFFFFF"/>
        </w:rPr>
        <w:t xml:space="preserve"> in order to identify opportunities for improvement of the security of IT plans and systems.</w:t>
      </w:r>
    </w:p>
    <w:p w:rsidR="00286C71" w:rsidRPr="004069E3" w:rsidRDefault="00286C71" w:rsidP="00701DCF">
      <w:pPr>
        <w:pStyle w:val="Normal-aftertable"/>
      </w:pPr>
      <w:r w:rsidRPr="004069E3">
        <w:t xml:space="preserve">A consulting company performed </w:t>
      </w:r>
      <w:r>
        <w:t>the</w:t>
      </w:r>
      <w:r w:rsidRPr="004069E3">
        <w:t xml:space="preserve"> Cyber Security Capability Maturity Model assessment for IT in 2015 to review the Corporate Business Continuity plan coordination with the IT cyber response planning covering both the Pennsylvania and Kentucky operations.  NERC CIP related audits were performed in 2011 for the generation business, in 2012 for PPL EU, and in 2013 for the new transmission control and data center.  The results of these assessments and audits have been used to improve cyber security programs and activities.</w:t>
      </w:r>
    </w:p>
    <w:p w:rsidR="00286C71" w:rsidRDefault="00286C71" w:rsidP="00B86FA4">
      <w:pPr>
        <w:pStyle w:val="Findings"/>
        <w:numPr>
          <w:ilvl w:val="0"/>
          <w:numId w:val="28"/>
        </w:numPr>
      </w:pPr>
      <w:r>
        <w:t>The cyber security prevention and response plans are regularly exercised and a training and awareness program is established for employees.</w:t>
      </w:r>
    </w:p>
    <w:p w:rsidR="00286C71" w:rsidRDefault="00286C71" w:rsidP="00701DCF">
      <w:r>
        <w:t>IT has an active exercise program for its cyber response plans and utilized components of the application specific business continuity plans during normal operation and maintenance of the applications.  IT has also implemented an annual cyber security awareness refresher for employees and has conducted phishing exercises with employees to increase awareness.</w:t>
      </w:r>
    </w:p>
    <w:p w:rsidR="00286C71" w:rsidRPr="00146F71" w:rsidRDefault="00286C71" w:rsidP="00B86FA4">
      <w:pPr>
        <w:pStyle w:val="Findings"/>
        <w:numPr>
          <w:ilvl w:val="0"/>
          <w:numId w:val="28"/>
        </w:numPr>
      </w:pPr>
      <w:r w:rsidRPr="00146F71">
        <w:t>I</w:t>
      </w:r>
      <w:r>
        <w:t>AG</w:t>
      </w:r>
      <w:r w:rsidRPr="00146F71">
        <w:t xml:space="preserve"> utilizes a good version control and revision history approach for its cyber security documentation with regular reviews and updates.</w:t>
      </w:r>
    </w:p>
    <w:p w:rsidR="00286C71" w:rsidRDefault="00286C71" w:rsidP="00701DCF">
      <w:r w:rsidRPr="00146F71">
        <w:t>The cyber security documents reviewed had revision and review history tables that confirmed at least annual review.  The version control and revision history utilized by I</w:t>
      </w:r>
      <w:r>
        <w:t>AG</w:t>
      </w:r>
      <w:r w:rsidRPr="00146F71">
        <w:t xml:space="preserve"> </w:t>
      </w:r>
      <w:r>
        <w:t>is a robust approach to document review dates and edits performed.</w:t>
      </w:r>
    </w:p>
    <w:p w:rsidR="00286C71" w:rsidRDefault="00286C71" w:rsidP="00B86FA4">
      <w:pPr>
        <w:pStyle w:val="Findings"/>
        <w:numPr>
          <w:ilvl w:val="0"/>
          <w:numId w:val="28"/>
        </w:numPr>
      </w:pPr>
      <w:r>
        <w:t>There are a large number of recovery plans and security plans that have been developed as systems and issues evolved.</w:t>
      </w:r>
    </w:p>
    <w:p w:rsidR="00286C71" w:rsidRPr="0022310C" w:rsidRDefault="00286C71" w:rsidP="00701DCF">
      <w:r>
        <w:t xml:space="preserve">IT has identified an opportunity to consolidate application specific business continuity </w:t>
      </w:r>
      <w:r w:rsidRPr="0022310C">
        <w:t>plans.</w:t>
      </w:r>
    </w:p>
    <w:p w:rsidR="00286C71" w:rsidRPr="0022310C" w:rsidRDefault="00286C71" w:rsidP="00B86FA4">
      <w:pPr>
        <w:pStyle w:val="Findings"/>
        <w:numPr>
          <w:ilvl w:val="0"/>
          <w:numId w:val="28"/>
        </w:numPr>
      </w:pPr>
      <w:r>
        <w:lastRenderedPageBreak/>
        <w:t>Modifications to PPL’s cybersecurity documents are pending based upon lessons learned from the GridEx III exercise.</w:t>
      </w:r>
    </w:p>
    <w:p w:rsidR="00286C71" w:rsidRDefault="00286C71" w:rsidP="00701DCF">
      <w:r>
        <w:t>The IAG is planning to update its procedures based on lessons learned from GridEx.</w:t>
      </w:r>
    </w:p>
    <w:p w:rsidR="00286C71" w:rsidRDefault="00286C71" w:rsidP="00FA30B2">
      <w:pPr>
        <w:pStyle w:val="Heading-forToC"/>
      </w:pPr>
      <w:bookmarkStart w:id="190" w:name="_Toc464552047"/>
      <w:r>
        <w:t>Recommendations</w:t>
      </w:r>
      <w:bookmarkEnd w:id="190"/>
    </w:p>
    <w:p w:rsidR="00286C71" w:rsidRDefault="00286C71" w:rsidP="00B86FA4">
      <w:pPr>
        <w:pStyle w:val="Findings"/>
        <w:numPr>
          <w:ilvl w:val="0"/>
          <w:numId w:val="29"/>
        </w:numPr>
      </w:pPr>
      <w:r>
        <w:t>Consolidate the business continuity plans for critical applications.  (See Finding 6)</w:t>
      </w:r>
    </w:p>
    <w:p w:rsidR="00286C71" w:rsidRDefault="00286C71" w:rsidP="00701DCF">
      <w:r>
        <w:t>IAG has noted this opportunity and should proceed to consolidate the plans to the extent feasible.  The construct of the application recovery plans have similar content which will facilitate consolidation of the common elements of the individual response and recovery plans.</w:t>
      </w:r>
    </w:p>
    <w:p w:rsidR="00286C71" w:rsidRPr="00A06ADB" w:rsidRDefault="00286C71" w:rsidP="00B86FA4">
      <w:pPr>
        <w:pStyle w:val="Findings"/>
        <w:numPr>
          <w:ilvl w:val="0"/>
          <w:numId w:val="29"/>
        </w:numPr>
      </w:pPr>
      <w:r>
        <w:t xml:space="preserve">Complete the </w:t>
      </w:r>
      <w:r w:rsidRPr="005B5281">
        <w:t>updates to PPL’s</w:t>
      </w:r>
      <w:r>
        <w:t xml:space="preserve"> cybersecurity documents based upon the lessons learned from the GridEx III exercise.  (See Finding 6)</w:t>
      </w:r>
    </w:p>
    <w:p w:rsidR="00286C71" w:rsidRDefault="00286C71" w:rsidP="00701DCF">
      <w:r w:rsidRPr="005B5281">
        <w:t>PPL is in the process of updating is policies and procedures based upon the GridEx III exercise.  The continuously changing landscape in cybersecurity necessitates this almost constant effort.</w:t>
      </w:r>
    </w:p>
    <w:p w:rsidR="00286C71" w:rsidRPr="003603E0" w:rsidRDefault="00286C71" w:rsidP="00B86FA4">
      <w:pPr>
        <w:pStyle w:val="Findings"/>
        <w:numPr>
          <w:ilvl w:val="0"/>
          <w:numId w:val="29"/>
        </w:numPr>
      </w:pPr>
      <w:r w:rsidRPr="003603E0">
        <w:t>Consider adding a courtesy notification to the PUC in the event of a significant cyber security event</w:t>
      </w:r>
      <w:r>
        <w:t xml:space="preserve"> to the Corporate Emergency Management Plan</w:t>
      </w:r>
      <w:r w:rsidRPr="003603E0">
        <w:t>.</w:t>
      </w:r>
      <w:r>
        <w:t xml:space="preserve">  (See Finding 6)</w:t>
      </w:r>
    </w:p>
    <w:p w:rsidR="00286C71" w:rsidRPr="003603E0" w:rsidRDefault="00286C71" w:rsidP="00701DCF">
      <w:r w:rsidRPr="003603E0">
        <w:t>The current PUC reporting requirements cover a number of operational and customer oriented events such as electric system reliability and major storm events.  Consideration should be given to including notification to the PUC of a significant cyber event that is reported</w:t>
      </w:r>
      <w:r>
        <w:t xml:space="preserve"> to the DOE or SEC.</w:t>
      </w:r>
    </w:p>
    <w:p w:rsidR="00286C71" w:rsidRPr="00F9037F" w:rsidRDefault="00286C71" w:rsidP="004F00E5">
      <w:pPr>
        <w:pStyle w:val="Heading2"/>
        <w:numPr>
          <w:ilvl w:val="0"/>
          <w:numId w:val="99"/>
        </w:numPr>
      </w:pPr>
      <w:bookmarkStart w:id="191" w:name="_Toc464552048"/>
      <w:r>
        <w:t xml:space="preserve">COMPLIANCE with requirements of </w:t>
      </w:r>
      <w:r w:rsidR="006376F4">
        <w:rPr>
          <w:rFonts w:cs="Arial"/>
          <w:szCs w:val="24"/>
        </w:rPr>
        <w:t>the</w:t>
      </w:r>
      <w:r w:rsidR="00A31253">
        <w:rPr>
          <w:rFonts w:cs="Arial"/>
          <w:szCs w:val="24"/>
        </w:rPr>
        <w:br/>
      </w:r>
      <w:r>
        <w:rPr>
          <w:rFonts w:cs="Arial"/>
          <w:szCs w:val="24"/>
        </w:rPr>
        <w:t>pennsylvania Code</w:t>
      </w:r>
      <w:bookmarkEnd w:id="191"/>
    </w:p>
    <w:p w:rsidR="00286C71" w:rsidRDefault="00286C71" w:rsidP="00FA30B2">
      <w:pPr>
        <w:pStyle w:val="Heading-forToC"/>
      </w:pPr>
      <w:bookmarkStart w:id="192" w:name="_Toc464552049"/>
      <w:r>
        <w:t>Background</w:t>
      </w:r>
      <w:bookmarkEnd w:id="192"/>
    </w:p>
    <w:p w:rsidR="00286C71" w:rsidRDefault="00286C71" w:rsidP="00701DCF">
      <w:r w:rsidRPr="00AB7C13">
        <w:rPr>
          <w:rFonts w:cs="Arial"/>
          <w:szCs w:val="24"/>
        </w:rPr>
        <w:t>52 Pa. Code § 101</w:t>
      </w:r>
      <w:r>
        <w:rPr>
          <w:rFonts w:cs="Arial"/>
          <w:szCs w:val="24"/>
        </w:rPr>
        <w:t xml:space="preserve">, Public Utility Preparedness Through Self-Certification, </w:t>
      </w:r>
      <w:r w:rsidRPr="004B5A30">
        <w:rPr>
          <w:rFonts w:cs="Arial"/>
          <w:i/>
          <w:color w:val="000000"/>
          <w:szCs w:val="24"/>
        </w:rPr>
        <w:t>requires a jurisdictional utility to develop and maintain appropriate written physical security, cyber security, emergency response and business continuity plans to protect this Commonwealth’s infrastructure and ensure safe, continuous and reliable utility service</w:t>
      </w:r>
      <w:r>
        <w:rPr>
          <w:rFonts w:cs="Arial"/>
          <w:color w:val="000000"/>
          <w:szCs w:val="24"/>
        </w:rPr>
        <w:t xml:space="preserve">. </w:t>
      </w:r>
      <w:r>
        <w:rPr>
          <w:rFonts w:cs="Arial"/>
          <w:szCs w:val="24"/>
        </w:rPr>
        <w:t xml:space="preserve"> </w:t>
      </w:r>
      <w:r w:rsidRPr="0038255F">
        <w:rPr>
          <w:rFonts w:cs="Arial"/>
          <w:szCs w:val="24"/>
        </w:rPr>
        <w:t>§ 101.3 establish minimum requirements for the plans</w:t>
      </w:r>
      <w:r w:rsidRPr="0038255F">
        <w:t>:</w:t>
      </w:r>
    </w:p>
    <w:p w:rsidR="00286C71" w:rsidRPr="004E4A1C" w:rsidRDefault="00286C71" w:rsidP="00701DCF">
      <w:pPr>
        <w:pStyle w:val="Bullet"/>
        <w:rPr>
          <w:shd w:val="clear" w:color="auto" w:fill="FFFFFF"/>
        </w:rPr>
      </w:pPr>
      <w:r>
        <w:rPr>
          <w:shd w:val="clear" w:color="auto" w:fill="FFFFFF"/>
        </w:rPr>
        <w:t xml:space="preserve">(a) </w:t>
      </w:r>
      <w:r w:rsidRPr="004E4A1C">
        <w:rPr>
          <w:shd w:val="clear" w:color="auto" w:fill="FFFFFF"/>
        </w:rPr>
        <w:t>A jurisdictional utility shall develop and maintain written physical and cyber security, emergency response and business continuity plans.</w:t>
      </w:r>
    </w:p>
    <w:p w:rsidR="00286C71" w:rsidRPr="004E4A1C" w:rsidRDefault="00286C71" w:rsidP="00701DCF">
      <w:pPr>
        <w:pStyle w:val="Bullet-indent1"/>
        <w:rPr>
          <w:shd w:val="clear" w:color="auto" w:fill="FFFFFF"/>
        </w:rPr>
      </w:pPr>
      <w:r w:rsidRPr="004E4A1C">
        <w:rPr>
          <w:shd w:val="clear" w:color="auto" w:fill="FFFFFF"/>
        </w:rPr>
        <w:t>A physical security plan must, at a minimum, include specific features of a mission critical equipment or facility protection program and company procedures to follow based upon changing threat conditions or situations.</w:t>
      </w:r>
    </w:p>
    <w:p w:rsidR="00286C71" w:rsidRPr="004E4A1C" w:rsidRDefault="00286C71" w:rsidP="00701DCF">
      <w:pPr>
        <w:pStyle w:val="Bullet-indent1"/>
        <w:rPr>
          <w:shd w:val="clear" w:color="auto" w:fill="FFFFFF"/>
        </w:rPr>
      </w:pPr>
      <w:r w:rsidRPr="004E4A1C">
        <w:rPr>
          <w:shd w:val="clear" w:color="auto" w:fill="FFFFFF"/>
        </w:rPr>
        <w:t>A cyber security plan must, at a minimum, include:</w:t>
      </w:r>
    </w:p>
    <w:p w:rsidR="00286C71" w:rsidRPr="004E4A1C" w:rsidRDefault="00286C71" w:rsidP="00701DCF">
      <w:pPr>
        <w:pStyle w:val="Bullet-indent2"/>
        <w:rPr>
          <w:shd w:val="clear" w:color="auto" w:fill="FFFFFF"/>
        </w:rPr>
      </w:pPr>
      <w:r w:rsidRPr="004E4A1C">
        <w:rPr>
          <w:shd w:val="clear" w:color="auto" w:fill="FFFFFF"/>
        </w:rPr>
        <w:t>Critical functions requiring automated processing.</w:t>
      </w:r>
    </w:p>
    <w:p w:rsidR="00286C71" w:rsidRPr="004E4A1C" w:rsidRDefault="00286C71" w:rsidP="00701DCF">
      <w:pPr>
        <w:pStyle w:val="Bullet-indent2"/>
        <w:rPr>
          <w:shd w:val="clear" w:color="auto" w:fill="FFFFFF"/>
        </w:rPr>
      </w:pPr>
      <w:r w:rsidRPr="004E4A1C">
        <w:rPr>
          <w:shd w:val="clear" w:color="auto" w:fill="FFFFFF"/>
        </w:rPr>
        <w:t>Appropriate backup for application software and data. Appropriate backup may include having a separate distinct storage media for data or a different physical location for application software.</w:t>
      </w:r>
    </w:p>
    <w:p w:rsidR="00286C71" w:rsidRPr="004E4A1C" w:rsidRDefault="00286C71" w:rsidP="00701DCF">
      <w:pPr>
        <w:pStyle w:val="Bullet-indent2"/>
        <w:rPr>
          <w:shd w:val="clear" w:color="auto" w:fill="FFFFFF"/>
        </w:rPr>
      </w:pPr>
      <w:r w:rsidRPr="004E4A1C">
        <w:rPr>
          <w:shd w:val="clear" w:color="auto" w:fill="FFFFFF"/>
        </w:rPr>
        <w:lastRenderedPageBreak/>
        <w:t>Alternative methods for meeting critical functional responsibilities in the absence of information technology capabilities.</w:t>
      </w:r>
    </w:p>
    <w:p w:rsidR="00286C71" w:rsidRPr="004E4A1C" w:rsidRDefault="00286C71" w:rsidP="00701DCF">
      <w:pPr>
        <w:pStyle w:val="Bullet-indent2"/>
        <w:rPr>
          <w:shd w:val="clear" w:color="auto" w:fill="FFFFFF"/>
        </w:rPr>
      </w:pPr>
      <w:r w:rsidRPr="004E4A1C">
        <w:rPr>
          <w:shd w:val="clear" w:color="auto" w:fill="FFFFFF"/>
        </w:rPr>
        <w:t>A recognition of the critical time period for each information system before the utility could no longer continue to operate.</w:t>
      </w:r>
    </w:p>
    <w:p w:rsidR="00286C71" w:rsidRPr="004E4A1C" w:rsidRDefault="00286C71" w:rsidP="00701DCF">
      <w:pPr>
        <w:pStyle w:val="Bullet-indent1"/>
        <w:rPr>
          <w:shd w:val="clear" w:color="auto" w:fill="FFFFFF"/>
        </w:rPr>
      </w:pPr>
      <w:r w:rsidRPr="004E4A1C">
        <w:rPr>
          <w:shd w:val="clear" w:color="auto" w:fill="FFFFFF"/>
        </w:rPr>
        <w:t>A business continuity plan must, at a minimum, include:</w:t>
      </w:r>
    </w:p>
    <w:p w:rsidR="00286C71" w:rsidRPr="004E4A1C" w:rsidRDefault="00286C71" w:rsidP="00701DCF">
      <w:pPr>
        <w:pStyle w:val="Bullet-indent2"/>
        <w:rPr>
          <w:shd w:val="clear" w:color="auto" w:fill="FFFFFF"/>
        </w:rPr>
      </w:pPr>
      <w:r w:rsidRPr="004E4A1C">
        <w:rPr>
          <w:shd w:val="clear" w:color="auto" w:fill="FFFFFF"/>
        </w:rPr>
        <w:t>Guidance on the system restoration for emergencies, disasters and mobilization.</w:t>
      </w:r>
    </w:p>
    <w:p w:rsidR="00286C71" w:rsidRPr="004E4A1C" w:rsidRDefault="00286C71" w:rsidP="00701DCF">
      <w:pPr>
        <w:pStyle w:val="Bullet-indent2"/>
        <w:rPr>
          <w:shd w:val="clear" w:color="auto" w:fill="FFFFFF"/>
        </w:rPr>
      </w:pPr>
      <w:r w:rsidRPr="004E4A1C">
        <w:rPr>
          <w:shd w:val="clear" w:color="auto" w:fill="FFFFFF"/>
        </w:rPr>
        <w:t>Establishment of a comprehensive process addressing business recovery, business resumption and contingency planning.</w:t>
      </w:r>
    </w:p>
    <w:p w:rsidR="00286C71" w:rsidRPr="004E4A1C" w:rsidRDefault="00286C71" w:rsidP="00701DCF">
      <w:pPr>
        <w:pStyle w:val="Bullet-indent1"/>
        <w:rPr>
          <w:shd w:val="clear" w:color="auto" w:fill="FFFFFF"/>
        </w:rPr>
      </w:pPr>
      <w:r w:rsidRPr="004E4A1C">
        <w:rPr>
          <w:shd w:val="clear" w:color="auto" w:fill="FFFFFF"/>
        </w:rPr>
        <w:t>An emergency response plan must, at a minimum, include:</w:t>
      </w:r>
    </w:p>
    <w:p w:rsidR="00286C71" w:rsidRPr="004E4A1C" w:rsidRDefault="00286C71" w:rsidP="00701DCF">
      <w:pPr>
        <w:pStyle w:val="Bullet-indent2"/>
        <w:rPr>
          <w:shd w:val="clear" w:color="auto" w:fill="FFFFFF"/>
        </w:rPr>
      </w:pPr>
      <w:r w:rsidRPr="004E4A1C">
        <w:rPr>
          <w:shd w:val="clear" w:color="auto" w:fill="FFFFFF"/>
        </w:rPr>
        <w:t>Identification and assessment of the problem.</w:t>
      </w:r>
    </w:p>
    <w:p w:rsidR="00286C71" w:rsidRPr="004E4A1C" w:rsidRDefault="00286C71" w:rsidP="00701DCF">
      <w:pPr>
        <w:pStyle w:val="Bullet-indent2"/>
        <w:rPr>
          <w:shd w:val="clear" w:color="auto" w:fill="FFFFFF"/>
        </w:rPr>
      </w:pPr>
      <w:r w:rsidRPr="004E4A1C">
        <w:rPr>
          <w:shd w:val="clear" w:color="auto" w:fill="FFFFFF"/>
        </w:rPr>
        <w:t>Mitigation of the problem in a coordinated, timely and effective manner.</w:t>
      </w:r>
    </w:p>
    <w:p w:rsidR="00286C71" w:rsidRPr="004E4A1C" w:rsidRDefault="00286C71" w:rsidP="00701DCF">
      <w:pPr>
        <w:pStyle w:val="Bullet-indent2"/>
        <w:rPr>
          <w:shd w:val="clear" w:color="auto" w:fill="FFFFFF"/>
        </w:rPr>
      </w:pPr>
      <w:r w:rsidRPr="004E4A1C">
        <w:rPr>
          <w:shd w:val="clear" w:color="auto" w:fill="FFFFFF"/>
        </w:rPr>
        <w:t>Notification of the appropriate emergency services and emergency preparedness support agencies and organizations.</w:t>
      </w:r>
    </w:p>
    <w:p w:rsidR="00286C71" w:rsidRPr="004E4A1C" w:rsidRDefault="00286C71" w:rsidP="00701DCF">
      <w:pPr>
        <w:pStyle w:val="Bullet"/>
        <w:rPr>
          <w:shd w:val="clear" w:color="auto" w:fill="FFFFFF"/>
        </w:rPr>
      </w:pPr>
      <w:r>
        <w:rPr>
          <w:shd w:val="clear" w:color="auto" w:fill="FFFFFF"/>
        </w:rPr>
        <w:t xml:space="preserve">(b) </w:t>
      </w:r>
      <w:r w:rsidRPr="004E4A1C">
        <w:rPr>
          <w:shd w:val="clear" w:color="auto" w:fill="FFFFFF"/>
        </w:rPr>
        <w:t>A jurisdictional utility shall review and update these plans annually.</w:t>
      </w:r>
    </w:p>
    <w:p w:rsidR="00286C71" w:rsidRPr="004E4A1C" w:rsidRDefault="00286C71" w:rsidP="00701DCF">
      <w:pPr>
        <w:pStyle w:val="Bullet"/>
        <w:rPr>
          <w:shd w:val="clear" w:color="auto" w:fill="FFFFFF"/>
        </w:rPr>
      </w:pPr>
      <w:r>
        <w:rPr>
          <w:shd w:val="clear" w:color="auto" w:fill="FFFFFF"/>
        </w:rPr>
        <w:t xml:space="preserve">(c) </w:t>
      </w:r>
      <w:r w:rsidRPr="004E4A1C">
        <w:rPr>
          <w:shd w:val="clear" w:color="auto" w:fill="FFFFFF"/>
        </w:rPr>
        <w:t>A jurisdictional utility shall maintain and implement an annual testing schedule of these plans.</w:t>
      </w:r>
    </w:p>
    <w:p w:rsidR="00286C71" w:rsidRPr="004E4A1C" w:rsidRDefault="00286C71" w:rsidP="00701DCF">
      <w:pPr>
        <w:pStyle w:val="Bullet"/>
        <w:rPr>
          <w:shd w:val="clear" w:color="auto" w:fill="FFFFFF"/>
        </w:rPr>
      </w:pPr>
      <w:r>
        <w:rPr>
          <w:shd w:val="clear" w:color="auto" w:fill="FFFFFF"/>
        </w:rPr>
        <w:t xml:space="preserve">(d) </w:t>
      </w:r>
      <w:r w:rsidRPr="004E4A1C">
        <w:rPr>
          <w:shd w:val="clear" w:color="auto" w:fill="FFFFFF"/>
        </w:rPr>
        <w:t>A jurisdictional utility shall demonstrate compliance with subsections (a)</w:t>
      </w:r>
      <w:r>
        <w:rPr>
          <w:shd w:val="clear" w:color="auto" w:fill="FFFFFF"/>
        </w:rPr>
        <w:t xml:space="preserve"> - </w:t>
      </w:r>
      <w:r w:rsidRPr="004E4A1C">
        <w:rPr>
          <w:shd w:val="clear" w:color="auto" w:fill="FFFFFF"/>
        </w:rPr>
        <w:t>(c), through submittal of a Self</w:t>
      </w:r>
      <w:r>
        <w:rPr>
          <w:shd w:val="clear" w:color="auto" w:fill="FFFFFF"/>
        </w:rPr>
        <w:t>-</w:t>
      </w:r>
      <w:r w:rsidRPr="004E4A1C">
        <w:rPr>
          <w:shd w:val="clear" w:color="auto" w:fill="FFFFFF"/>
        </w:rPr>
        <w:t>Certification Form which is available at the Secretary’s Bureau and on the Commission’s website.</w:t>
      </w:r>
    </w:p>
    <w:p w:rsidR="00286C71" w:rsidRPr="004E4A1C" w:rsidRDefault="00286C71" w:rsidP="00701DCF">
      <w:pPr>
        <w:pStyle w:val="Bullet"/>
        <w:rPr>
          <w:shd w:val="clear" w:color="auto" w:fill="FFFFFF"/>
        </w:rPr>
      </w:pPr>
      <w:r>
        <w:rPr>
          <w:shd w:val="clear" w:color="auto" w:fill="FFFFFF"/>
        </w:rPr>
        <w:t xml:space="preserve">(e) </w:t>
      </w:r>
      <w:r w:rsidRPr="004E4A1C">
        <w:rPr>
          <w:shd w:val="clear" w:color="auto" w:fill="FFFFFF"/>
        </w:rPr>
        <w:t>A plan shall define roles and responsibilities by individual or job function.</w:t>
      </w:r>
    </w:p>
    <w:p w:rsidR="00286C71" w:rsidRPr="004E4A1C" w:rsidRDefault="00286C71" w:rsidP="00701DCF">
      <w:pPr>
        <w:pStyle w:val="Bullet"/>
        <w:rPr>
          <w:shd w:val="clear" w:color="auto" w:fill="FFFFFF"/>
        </w:rPr>
      </w:pPr>
      <w:r>
        <w:rPr>
          <w:shd w:val="clear" w:color="auto" w:fill="FFFFFF"/>
        </w:rPr>
        <w:t xml:space="preserve">(f) </w:t>
      </w:r>
      <w:r w:rsidRPr="004E4A1C">
        <w:rPr>
          <w:shd w:val="clear" w:color="auto" w:fill="FFFFFF"/>
        </w:rPr>
        <w:t>The responsible entity shall maintain a document defining the action plans and procedures used in subsection (a).</w:t>
      </w:r>
    </w:p>
    <w:p w:rsidR="00286C71" w:rsidRDefault="00286C71" w:rsidP="00701DCF">
      <w:pPr>
        <w:pStyle w:val="Normal-aftertable"/>
      </w:pPr>
      <w:r w:rsidRPr="007E61BE">
        <w:t>§ 101.</w:t>
      </w:r>
      <w:r>
        <w:t>4</w:t>
      </w:r>
      <w:r w:rsidRPr="007E61BE">
        <w:t xml:space="preserve"> </w:t>
      </w:r>
      <w:proofErr w:type="gramStart"/>
      <w:r w:rsidRPr="007E61BE">
        <w:t>addresses</w:t>
      </w:r>
      <w:proofErr w:type="gramEnd"/>
      <w:r w:rsidRPr="007E61BE">
        <w:t xml:space="preserve"> annual self</w:t>
      </w:r>
      <w:r>
        <w:t>-</w:t>
      </w:r>
      <w:r w:rsidRPr="007E61BE">
        <w:t>certification reporting requirement</w:t>
      </w:r>
      <w:r>
        <w:t>s:</w:t>
      </w:r>
    </w:p>
    <w:p w:rsidR="00286C71" w:rsidRPr="004E4A1C" w:rsidRDefault="00286C71" w:rsidP="00701DCF">
      <w:pPr>
        <w:pStyle w:val="Bullet"/>
        <w:rPr>
          <w:shd w:val="clear" w:color="auto" w:fill="FFFFFF"/>
        </w:rPr>
      </w:pPr>
      <w:r w:rsidRPr="004E4A1C">
        <w:rPr>
          <w:shd w:val="clear" w:color="auto" w:fill="FFFFFF"/>
        </w:rPr>
        <w:t>A utility under the reporting requirements of §  27.10, §  57.47, §  59.48, §  61.28, §  63.36 or §  65.19 shall file the Self Certification Form at the time each Annual Financial Report is filed, under separate cover at Docket No. M-00031717.</w:t>
      </w:r>
    </w:p>
    <w:p w:rsidR="005A1330" w:rsidRDefault="005A1330">
      <w:pPr>
        <w:spacing w:after="0"/>
        <w:jc w:val="left"/>
        <w:rPr>
          <w:rFonts w:ascii="Arial Bold" w:hAnsi="Arial Bold"/>
          <w:b/>
          <w:caps/>
        </w:rPr>
      </w:pPr>
      <w:r>
        <w:br w:type="page"/>
      </w:r>
    </w:p>
    <w:p w:rsidR="00286C71" w:rsidRDefault="00286C71" w:rsidP="00FA30B2">
      <w:pPr>
        <w:pStyle w:val="Heading-forToC"/>
      </w:pPr>
      <w:bookmarkStart w:id="193" w:name="_Toc464552050"/>
      <w:r>
        <w:lastRenderedPageBreak/>
        <w:t>Findings</w:t>
      </w:r>
      <w:bookmarkEnd w:id="193"/>
    </w:p>
    <w:p w:rsidR="00286C71" w:rsidRPr="0038255F" w:rsidRDefault="00286C71" w:rsidP="00B86FA4">
      <w:pPr>
        <w:pStyle w:val="Findings"/>
        <w:numPr>
          <w:ilvl w:val="0"/>
          <w:numId w:val="30"/>
        </w:numPr>
      </w:pPr>
      <w:r w:rsidRPr="0038255F">
        <w:t>The</w:t>
      </w:r>
      <w:r>
        <w:t xml:space="preserve"> PPL Corporation</w:t>
      </w:r>
      <w:r w:rsidRPr="0038255F">
        <w:t xml:space="preserve"> Business Continuity Plan, Emergency Management Plan, and Corporate Security Plan content address at a corporate level the </w:t>
      </w:r>
      <w:r w:rsidRPr="0038255F">
        <w:rPr>
          <w:rFonts w:cs="Arial"/>
          <w:szCs w:val="24"/>
        </w:rPr>
        <w:t>52 Pa. Code § 101.3 plan requirements.</w:t>
      </w:r>
    </w:p>
    <w:p w:rsidR="00286C71" w:rsidRPr="0038255F" w:rsidRDefault="00286C71" w:rsidP="00701DCF">
      <w:r>
        <w:t xml:space="preserve">PPL SC Protective Services has developed and maintained corporate business continuity plans, emergency response and physical security plans inclusive of the relevant plan requirements of </w:t>
      </w:r>
      <w:r w:rsidRPr="0038255F">
        <w:rPr>
          <w:rFonts w:cs="Arial"/>
          <w:szCs w:val="24"/>
        </w:rPr>
        <w:t>§ 101.3</w:t>
      </w:r>
      <w:r>
        <w:rPr>
          <w:rFonts w:cs="Arial"/>
          <w:szCs w:val="24"/>
        </w:rPr>
        <w:t>.</w:t>
      </w:r>
    </w:p>
    <w:p w:rsidR="00286C71" w:rsidRPr="0038255F" w:rsidRDefault="00286C71" w:rsidP="00B86FA4">
      <w:pPr>
        <w:pStyle w:val="Findings"/>
        <w:numPr>
          <w:ilvl w:val="0"/>
          <w:numId w:val="30"/>
        </w:numPr>
      </w:pPr>
      <w:r w:rsidRPr="004069E3">
        <w:t xml:space="preserve">The IT cyber security plans </w:t>
      </w:r>
      <w:r>
        <w:t xml:space="preserve">meet </w:t>
      </w:r>
      <w:r w:rsidRPr="00AB7C13">
        <w:t xml:space="preserve">the requirements of </w:t>
      </w:r>
      <w:r w:rsidRPr="004069E3">
        <w:t>52 Pa. Code § 101.3.</w:t>
      </w:r>
    </w:p>
    <w:p w:rsidR="00286C71" w:rsidRDefault="00286C71" w:rsidP="00701DCF">
      <w:proofErr w:type="gramStart"/>
      <w:r>
        <w:t xml:space="preserve">PPL SC IT has developed and maintained IT business continuity plans and cyber security plans that meet the requirements of 52 Code </w:t>
      </w:r>
      <w:r w:rsidRPr="0038255F">
        <w:rPr>
          <w:rFonts w:cs="Arial"/>
          <w:szCs w:val="24"/>
        </w:rPr>
        <w:t>§ 101.3</w:t>
      </w:r>
      <w:r>
        <w:rPr>
          <w:rFonts w:cs="Arial"/>
          <w:szCs w:val="24"/>
        </w:rPr>
        <w:t>.</w:t>
      </w:r>
      <w:proofErr w:type="gramEnd"/>
      <w:r>
        <w:rPr>
          <w:rFonts w:cs="Arial"/>
          <w:szCs w:val="24"/>
        </w:rPr>
        <w:t xml:space="preserve">  Strong version control and revision history is maintained.</w:t>
      </w:r>
    </w:p>
    <w:p w:rsidR="00286C71" w:rsidRDefault="00286C71" w:rsidP="00B86FA4">
      <w:pPr>
        <w:pStyle w:val="Findings"/>
        <w:numPr>
          <w:ilvl w:val="0"/>
          <w:numId w:val="30"/>
        </w:numPr>
      </w:pPr>
      <w:r>
        <w:t xml:space="preserve">Annual self-certification forms regarding PPL EU compliance are submitted to the Commission pursuant to the </w:t>
      </w:r>
      <w:r w:rsidRPr="00E923FA">
        <w:t>§ 101.4 reporting requirements.</w:t>
      </w:r>
    </w:p>
    <w:p w:rsidR="00286C71" w:rsidRDefault="00286C71" w:rsidP="00701DCF">
      <w:r>
        <w:t>Protective Services, ISD IAG, and EU Emergency Preparedness all reported participating in the process to prepare the annual self-certification form.  This form is separate from the annual Financial Report filing to the PUC but follows the same filing timeline and procedures.</w:t>
      </w:r>
    </w:p>
    <w:p w:rsidR="00286C71" w:rsidRDefault="00286C71" w:rsidP="00B86FA4">
      <w:pPr>
        <w:pStyle w:val="Findings"/>
        <w:numPr>
          <w:ilvl w:val="0"/>
          <w:numId w:val="30"/>
        </w:numPr>
      </w:pPr>
      <w:r w:rsidRPr="00E923FA">
        <w:t>The version control of the PPL Corporation emergency plans and</w:t>
      </w:r>
      <w:r w:rsidRPr="001F1F97">
        <w:t xml:space="preserve"> policies d</w:t>
      </w:r>
      <w:r>
        <w:t>id</w:t>
      </w:r>
      <w:r w:rsidRPr="001F1F97">
        <w:t xml:space="preserve"> </w:t>
      </w:r>
      <w:r>
        <w:t>not capture annual reviews in which</w:t>
      </w:r>
      <w:r w:rsidRPr="001F1F97">
        <w:t xml:space="preserve"> no changes were made.</w:t>
      </w:r>
    </w:p>
    <w:p w:rsidR="00286C71" w:rsidRDefault="00286C71" w:rsidP="00701DCF">
      <w:r>
        <w:t xml:space="preserve">The Director Protective Services confirmed that the corporate plans are reviewed and updated as necessary on at least an annual basis.  Past practice did not include documentation of an annual review with no changes.  Plan changes were documented with a new version number and date.  </w:t>
      </w:r>
      <w:r w:rsidRPr="00146F71">
        <w:t>The version control and revision history utilized by I</w:t>
      </w:r>
      <w:r>
        <w:t>AG</w:t>
      </w:r>
      <w:r w:rsidRPr="00146F71">
        <w:t xml:space="preserve"> </w:t>
      </w:r>
      <w:r>
        <w:t xml:space="preserve">is a good model for documenting review dates and edits completed.  This issue was discussed during the audit and Protective Services has begun adding a revision and review history table to the documents to include capture of reviews where no changes were made.  This action will serve to provide direct evidence of compliance with </w:t>
      </w:r>
      <w:r w:rsidRPr="0038255F">
        <w:rPr>
          <w:rFonts w:cs="Arial"/>
          <w:szCs w:val="24"/>
        </w:rPr>
        <w:t xml:space="preserve">§ 101.3 </w:t>
      </w:r>
      <w:r>
        <w:rPr>
          <w:rFonts w:cs="Arial"/>
          <w:szCs w:val="24"/>
        </w:rPr>
        <w:t>(b).</w:t>
      </w:r>
    </w:p>
    <w:p w:rsidR="00286C71" w:rsidRDefault="00286C71" w:rsidP="00B86FA4">
      <w:pPr>
        <w:pStyle w:val="Findings"/>
        <w:numPr>
          <w:ilvl w:val="0"/>
          <w:numId w:val="30"/>
        </w:numPr>
      </w:pPr>
      <w:r>
        <w:t>PPL EU has not reviewed and updated the Emergency Response Plan annually.</w:t>
      </w:r>
    </w:p>
    <w:p w:rsidR="00286C71" w:rsidRPr="00683FEC" w:rsidRDefault="00286C71" w:rsidP="00701DCF">
      <w:pPr>
        <w:rPr>
          <w:color w:val="000000"/>
        </w:rPr>
      </w:pPr>
      <w:r w:rsidRPr="005B1A45">
        <w:rPr>
          <w:color w:val="000000"/>
        </w:rPr>
        <w:t xml:space="preserve">The PPL EU emergency response plans </w:t>
      </w:r>
      <w:r>
        <w:t xml:space="preserve">meet most of </w:t>
      </w:r>
      <w:r w:rsidRPr="00AB7C13">
        <w:t xml:space="preserve">the requirements of </w:t>
      </w:r>
      <w:r w:rsidRPr="005B1A45">
        <w:rPr>
          <w:rFonts w:cs="Arial"/>
          <w:szCs w:val="24"/>
        </w:rPr>
        <w:t>52 Pa. Code § 101.3.</w:t>
      </w:r>
      <w:r>
        <w:rPr>
          <w:rFonts w:cs="Arial"/>
          <w:szCs w:val="24"/>
        </w:rPr>
        <w:t xml:space="preserve">  </w:t>
      </w:r>
      <w:r w:rsidRPr="00AC3A40">
        <w:t xml:space="preserve">The </w:t>
      </w:r>
      <w:r>
        <w:t>Emergency Response Plan</w:t>
      </w:r>
      <w:r w:rsidRPr="00AC3A40">
        <w:t xml:space="preserve"> </w:t>
      </w:r>
      <w:r>
        <w:t xml:space="preserve">is comprehensive; however it </w:t>
      </w:r>
      <w:r w:rsidRPr="00AC3A40">
        <w:t>has not been updated since Sept</w:t>
      </w:r>
      <w:r>
        <w:t>ember</w:t>
      </w:r>
      <w:r w:rsidRPr="00AC3A40">
        <w:t xml:space="preserve"> 2013.</w:t>
      </w:r>
      <w:r>
        <w:t xml:space="preserve">  Numerous details were observed to be obsolete in the PPL EU Emergency Response Plan.  Mutual Aid entities were out of date, as well as names and organizational units.  The content also overlaps the newer Playbooks, procedures, and job aids that have been developed and updated since 2013.</w:t>
      </w:r>
    </w:p>
    <w:p w:rsidR="00286C71" w:rsidRDefault="00286C71" w:rsidP="00701DCF">
      <w:r>
        <w:t>The PPL EU Emergency Response Plan does not have</w:t>
      </w:r>
      <w:r w:rsidRPr="001F1F97">
        <w:t xml:space="preserve"> </w:t>
      </w:r>
      <w:r>
        <w:t>version control</w:t>
      </w:r>
      <w:r w:rsidRPr="001F1F97">
        <w:t xml:space="preserve"> </w:t>
      </w:r>
      <w:r>
        <w:t>or a revision history table.</w:t>
      </w:r>
    </w:p>
    <w:p w:rsidR="00286C71" w:rsidRPr="00AB7C13" w:rsidRDefault="00286C71" w:rsidP="005A1330">
      <w:pPr>
        <w:pStyle w:val="Findings"/>
        <w:keepNext/>
        <w:numPr>
          <w:ilvl w:val="0"/>
          <w:numId w:val="30"/>
        </w:numPr>
      </w:pPr>
      <w:r>
        <w:lastRenderedPageBreak/>
        <w:t xml:space="preserve">PPL EU does not maintain a </w:t>
      </w:r>
      <w:r w:rsidRPr="00917F11">
        <w:t>document defining the action plans and procedures used in compliance of subsection (a) of 52 Pa. Code § 101.3</w:t>
      </w:r>
    </w:p>
    <w:p w:rsidR="00286C71" w:rsidRDefault="00286C71" w:rsidP="00701DCF">
      <w:r>
        <w:t xml:space="preserve">There is no single document that is maintained by Protective Services defining the action plans and procedures developed and maintained for physical and cyber security, emergency response, and business continuity plans.  The PA state statute, </w:t>
      </w:r>
      <w:r w:rsidRPr="00AB7C13">
        <w:rPr>
          <w:rFonts w:cs="Arial"/>
          <w:szCs w:val="24"/>
        </w:rPr>
        <w:t>§</w:t>
      </w:r>
      <w:r>
        <w:t xml:space="preserve"> 101.3(f), states that “The responsible entity shall maintain a document defining the action plans and procedures used in subsection (a).”</w:t>
      </w:r>
    </w:p>
    <w:p w:rsidR="00286C71" w:rsidRPr="001F1F97" w:rsidRDefault="00286C71" w:rsidP="00FA30B2">
      <w:pPr>
        <w:pStyle w:val="Heading-forToC"/>
      </w:pPr>
      <w:bookmarkStart w:id="194" w:name="_Toc464552051"/>
      <w:r>
        <w:t>Recommendations</w:t>
      </w:r>
      <w:bookmarkEnd w:id="194"/>
    </w:p>
    <w:p w:rsidR="00286C71" w:rsidRDefault="00286C71" w:rsidP="00B86FA4">
      <w:pPr>
        <w:pStyle w:val="Findings"/>
        <w:numPr>
          <w:ilvl w:val="0"/>
          <w:numId w:val="31"/>
        </w:numPr>
      </w:pPr>
      <w:r>
        <w:t>Perform a comprehensive review and update of the PPL EU Emergency Response Plan. (See Finding 5)</w:t>
      </w:r>
    </w:p>
    <w:p w:rsidR="00286C71" w:rsidRPr="00683FEC" w:rsidRDefault="00286C71" w:rsidP="00701DCF">
      <w:pPr>
        <w:rPr>
          <w:color w:val="000000"/>
        </w:rPr>
      </w:pPr>
      <w:r>
        <w:rPr>
          <w:rFonts w:cs="Arial"/>
          <w:szCs w:val="24"/>
        </w:rPr>
        <w:t>Perform</w:t>
      </w:r>
      <w:r w:rsidRPr="00206347">
        <w:rPr>
          <w:rFonts w:cs="Arial"/>
          <w:szCs w:val="24"/>
        </w:rPr>
        <w:t xml:space="preserve"> a general review and update </w:t>
      </w:r>
      <w:r>
        <w:rPr>
          <w:rFonts w:cs="Arial"/>
          <w:szCs w:val="24"/>
        </w:rPr>
        <w:t xml:space="preserve">of the ERP </w:t>
      </w:r>
      <w:r w:rsidRPr="00206347">
        <w:rPr>
          <w:rFonts w:cs="Arial"/>
          <w:szCs w:val="24"/>
        </w:rPr>
        <w:t xml:space="preserve">to reflect revisions in systems, procedures, personnel and contact points.  </w:t>
      </w:r>
      <w:r w:rsidRPr="00AC3A40">
        <w:t>Th</w:t>
      </w:r>
      <w:r>
        <w:t>e Emergency Response Plan</w:t>
      </w:r>
      <w:r w:rsidRPr="00AC3A40">
        <w:t xml:space="preserve"> should be revised to focus on the overall </w:t>
      </w:r>
      <w:r>
        <w:t xml:space="preserve">PPL </w:t>
      </w:r>
      <w:r w:rsidRPr="00AC3A40">
        <w:t>EU response plan and duplicative</w:t>
      </w:r>
      <w:r>
        <w:t xml:space="preserve"> and </w:t>
      </w:r>
      <w:r w:rsidRPr="00AC3A40">
        <w:t>obsolete content removed.  Sections of the document addressing Human Resources, Safety</w:t>
      </w:r>
      <w:r>
        <w:t>,</w:t>
      </w:r>
      <w:r w:rsidRPr="00AC3A40">
        <w:t xml:space="preserve"> and other support functions should be updated and owned by the respective groups.  Focus </w:t>
      </w:r>
      <w:r w:rsidRPr="00683FEC">
        <w:rPr>
          <w:color w:val="000000"/>
        </w:rPr>
        <w:t xml:space="preserve">the </w:t>
      </w:r>
      <w:r>
        <w:t>Emergency Response Plan</w:t>
      </w:r>
      <w:r w:rsidRPr="00683FEC">
        <w:rPr>
          <w:color w:val="000000"/>
        </w:rPr>
        <w:t xml:space="preserve"> on the overall emergency response plan </w:t>
      </w:r>
      <w:r>
        <w:rPr>
          <w:color w:val="000000"/>
        </w:rPr>
        <w:t>from a business continuity plan perspective addressing scope, roles, responsibilities, resources, and response framework</w:t>
      </w:r>
      <w:r w:rsidRPr="00683FEC">
        <w:rPr>
          <w:color w:val="000000"/>
        </w:rPr>
        <w:t xml:space="preserve">.  </w:t>
      </w:r>
      <w:r w:rsidRPr="00206347">
        <w:rPr>
          <w:rFonts w:cs="Arial"/>
          <w:szCs w:val="24"/>
        </w:rPr>
        <w:t xml:space="preserve">Much of the detailed </w:t>
      </w:r>
      <w:r>
        <w:rPr>
          <w:rFonts w:cs="Arial"/>
          <w:szCs w:val="24"/>
        </w:rPr>
        <w:t xml:space="preserve">procedural </w:t>
      </w:r>
      <w:r w:rsidRPr="00206347">
        <w:rPr>
          <w:rFonts w:cs="Arial"/>
          <w:szCs w:val="24"/>
        </w:rPr>
        <w:t xml:space="preserve">content </w:t>
      </w:r>
      <w:r>
        <w:rPr>
          <w:rFonts w:cs="Arial"/>
          <w:szCs w:val="24"/>
        </w:rPr>
        <w:t>should</w:t>
      </w:r>
      <w:r w:rsidRPr="00206347">
        <w:rPr>
          <w:rFonts w:cs="Arial"/>
          <w:szCs w:val="24"/>
        </w:rPr>
        <w:t xml:space="preserve"> be removed </w:t>
      </w:r>
      <w:r>
        <w:rPr>
          <w:rFonts w:cs="Arial"/>
          <w:szCs w:val="24"/>
        </w:rPr>
        <w:t xml:space="preserve">that duplicates </w:t>
      </w:r>
      <w:r w:rsidRPr="00206347">
        <w:rPr>
          <w:rFonts w:cs="Arial"/>
          <w:szCs w:val="24"/>
        </w:rPr>
        <w:t xml:space="preserve">content </w:t>
      </w:r>
      <w:r>
        <w:rPr>
          <w:rFonts w:cs="Arial"/>
          <w:szCs w:val="24"/>
        </w:rPr>
        <w:t>in the supporting</w:t>
      </w:r>
      <w:r w:rsidRPr="00206347">
        <w:rPr>
          <w:rFonts w:cs="Arial"/>
          <w:szCs w:val="24"/>
        </w:rPr>
        <w:t xml:space="preserve"> procedures and checklists.</w:t>
      </w:r>
    </w:p>
    <w:p w:rsidR="00286C71" w:rsidRDefault="00286C71" w:rsidP="00B86FA4">
      <w:pPr>
        <w:pStyle w:val="Findings"/>
        <w:numPr>
          <w:ilvl w:val="0"/>
          <w:numId w:val="31"/>
        </w:numPr>
      </w:pPr>
      <w:r>
        <w:t>Add documentation of plan reviews and revisions to the PPL emergency plans.  (See Finding 5)</w:t>
      </w:r>
    </w:p>
    <w:p w:rsidR="00286C71" w:rsidRPr="00F9037F" w:rsidRDefault="00286C71" w:rsidP="00701DCF">
      <w:r w:rsidRPr="00683FEC">
        <w:rPr>
          <w:rFonts w:cs="Arial"/>
          <w:color w:val="000000"/>
          <w:szCs w:val="24"/>
        </w:rPr>
        <w:t xml:space="preserve">As with the corporate plans, reviews </w:t>
      </w:r>
      <w:r>
        <w:rPr>
          <w:rFonts w:cs="Arial"/>
          <w:color w:val="000000"/>
          <w:szCs w:val="24"/>
        </w:rPr>
        <w:t>should be doc</w:t>
      </w:r>
      <w:r w:rsidRPr="00683FEC">
        <w:rPr>
          <w:rFonts w:cs="Arial"/>
          <w:color w:val="000000"/>
          <w:szCs w:val="24"/>
        </w:rPr>
        <w:t>umented in a revision history or review table.</w:t>
      </w:r>
      <w:r>
        <w:rPr>
          <w:rFonts w:cs="Arial"/>
          <w:color w:val="000000"/>
          <w:szCs w:val="24"/>
        </w:rPr>
        <w:t xml:space="preserve">  </w:t>
      </w:r>
      <w:r w:rsidRPr="00B46E3D">
        <w:t>In addition to version number and effective date, the table should also summarize the nature of changes made to the plans.</w:t>
      </w:r>
      <w:r>
        <w:t xml:space="preserve">  </w:t>
      </w:r>
      <w:r w:rsidRPr="00146F71">
        <w:t>The version control and revision history utilized by I</w:t>
      </w:r>
      <w:r>
        <w:t>AG</w:t>
      </w:r>
      <w:r w:rsidRPr="00146F71">
        <w:t xml:space="preserve"> </w:t>
      </w:r>
      <w:r>
        <w:t>is a good model for documenting review dates and edits completed.  Reviews resulting in no changes should also be documented to demonstrate that the documents are reviewed at least annually.</w:t>
      </w:r>
      <w:r w:rsidRPr="00BC2CAB">
        <w:t xml:space="preserve"> </w:t>
      </w:r>
      <w:r>
        <w:t xml:space="preserve"> The PPL Corporation Business Continuity Plan and </w:t>
      </w:r>
      <w:r w:rsidRPr="00AB7C13">
        <w:rPr>
          <w:rFonts w:cs="Arial"/>
          <w:szCs w:val="24"/>
        </w:rPr>
        <w:t>52 Pa. Code § 101</w:t>
      </w:r>
      <w:r>
        <w:t xml:space="preserve"> require annual review and updating of business continuity and emergency response plans.</w:t>
      </w:r>
    </w:p>
    <w:p w:rsidR="00286C71" w:rsidRPr="00FA516A" w:rsidRDefault="00286C71" w:rsidP="00D856BA">
      <w:pPr>
        <w:pStyle w:val="Findings"/>
        <w:keepNext/>
        <w:numPr>
          <w:ilvl w:val="0"/>
          <w:numId w:val="31"/>
        </w:numPr>
      </w:pPr>
      <w:r w:rsidRPr="00FA516A">
        <w:t>Develop a summary document defining the action plans and procedures maintained to support compliance with 52 Pa. Code § 101.3</w:t>
      </w:r>
      <w:r>
        <w:t xml:space="preserve"> </w:t>
      </w:r>
      <w:r w:rsidRPr="00FA516A">
        <w:t>(a).</w:t>
      </w:r>
      <w:r>
        <w:t xml:space="preserve"> (See Finding 5)</w:t>
      </w:r>
    </w:p>
    <w:p w:rsidR="00286C71" w:rsidRDefault="00286C71" w:rsidP="00701DCF">
      <w:pPr>
        <w:rPr>
          <w:rFonts w:cs="Arial"/>
          <w:szCs w:val="24"/>
        </w:rPr>
      </w:pPr>
      <w:r>
        <w:t xml:space="preserve">There is no single document that summarizes the covered plans developed and maintained by Protective Services, IAG, and PPL EU.  A summary document or list should be maintained to communicate the plan hierarchy, identify owners, track version numbers, and last review date.  The consolidation of most plans in the </w:t>
      </w:r>
      <w:r>
        <w:rPr>
          <w:rFonts w:cs="Arial"/>
          <w:szCs w:val="24"/>
        </w:rPr>
        <w:t>business continuity management system should facilitate development and maintenance of this document.</w:t>
      </w:r>
    </w:p>
    <w:p w:rsidR="00286C71" w:rsidRDefault="00286C71"/>
    <w:p w:rsidR="00F3143C" w:rsidRDefault="00F3143C">
      <w:pPr>
        <w:sectPr w:rsidR="00F3143C" w:rsidSect="00C73199">
          <w:footerReference w:type="default" r:id="rId56"/>
          <w:type w:val="continuous"/>
          <w:pgSz w:w="12240" w:h="15840"/>
          <w:pgMar w:top="1440" w:right="1440" w:bottom="1440" w:left="1440" w:header="720" w:footer="576" w:gutter="0"/>
          <w:cols w:space="720"/>
          <w:docGrid w:linePitch="360"/>
        </w:sectPr>
      </w:pPr>
    </w:p>
    <w:p w:rsidR="001528AA" w:rsidRPr="00451E86" w:rsidRDefault="001528AA" w:rsidP="00E142EC">
      <w:pPr>
        <w:pStyle w:val="Heading1"/>
      </w:pPr>
      <w:bookmarkStart w:id="195" w:name="_Toc464552052"/>
      <w:r>
        <w:lastRenderedPageBreak/>
        <w:t>support services</w:t>
      </w:r>
      <w:bookmarkEnd w:id="195"/>
    </w:p>
    <w:p w:rsidR="001528AA" w:rsidRDefault="001528AA" w:rsidP="00845591">
      <w:pPr>
        <w:rPr>
          <w:noProof/>
        </w:rPr>
      </w:pPr>
      <w:r w:rsidRPr="003B3444">
        <w:rPr>
          <w:noProof/>
        </w:rPr>
        <w:t>This chapter contains the following section</w:t>
      </w:r>
      <w:r>
        <w:rPr>
          <w:noProof/>
        </w:rPr>
        <w:t>s:</w:t>
      </w:r>
    </w:p>
    <w:p w:rsidR="001528AA" w:rsidRDefault="001528AA" w:rsidP="00B86FA4">
      <w:pPr>
        <w:pStyle w:val="Numbering"/>
        <w:numPr>
          <w:ilvl w:val="0"/>
          <w:numId w:val="34"/>
        </w:numPr>
        <w:rPr>
          <w:noProof/>
        </w:rPr>
      </w:pPr>
      <w:r>
        <w:rPr>
          <w:noProof/>
        </w:rPr>
        <w:t>Technical Development and Improvement</w:t>
      </w:r>
    </w:p>
    <w:p w:rsidR="001528AA" w:rsidRDefault="001528AA" w:rsidP="00B86FA4">
      <w:pPr>
        <w:pStyle w:val="Numbering"/>
        <w:numPr>
          <w:ilvl w:val="0"/>
          <w:numId w:val="34"/>
        </w:numPr>
        <w:rPr>
          <w:noProof/>
        </w:rPr>
      </w:pPr>
      <w:r>
        <w:rPr>
          <w:noProof/>
        </w:rPr>
        <w:t>Supply Chain</w:t>
      </w:r>
    </w:p>
    <w:p w:rsidR="001528AA" w:rsidRDefault="001528AA" w:rsidP="00B86FA4">
      <w:pPr>
        <w:pStyle w:val="Numbering"/>
        <w:numPr>
          <w:ilvl w:val="0"/>
          <w:numId w:val="34"/>
        </w:numPr>
        <w:rPr>
          <w:noProof/>
        </w:rPr>
      </w:pPr>
      <w:r>
        <w:rPr>
          <w:noProof/>
        </w:rPr>
        <w:t>Transportation</w:t>
      </w:r>
    </w:p>
    <w:p w:rsidR="001528AA" w:rsidRPr="00451E86" w:rsidRDefault="001528AA" w:rsidP="00B86FA4">
      <w:pPr>
        <w:pStyle w:val="Heading2"/>
        <w:numPr>
          <w:ilvl w:val="0"/>
          <w:numId w:val="33"/>
        </w:numPr>
      </w:pPr>
      <w:bookmarkStart w:id="196" w:name="_Toc464552053"/>
      <w:r>
        <w:t>technical development and improvement</w:t>
      </w:r>
      <w:bookmarkEnd w:id="196"/>
    </w:p>
    <w:p w:rsidR="001528AA" w:rsidRDefault="001528AA" w:rsidP="00FA30B2">
      <w:pPr>
        <w:pStyle w:val="Heading-forToC"/>
      </w:pPr>
      <w:bookmarkStart w:id="197" w:name="_Toc442617456"/>
      <w:bookmarkStart w:id="198" w:name="_Toc464552054"/>
      <w:r>
        <w:t>Background</w:t>
      </w:r>
      <w:bookmarkEnd w:id="197"/>
      <w:bookmarkEnd w:id="198"/>
    </w:p>
    <w:p w:rsidR="001528AA" w:rsidRDefault="001528AA" w:rsidP="00701DCF">
      <w:r>
        <w:rPr>
          <w:rFonts w:cs="Arial"/>
          <w:szCs w:val="24"/>
        </w:rPr>
        <w:t>Technical Development and Improvement is responsible for providing environmental compliance, worker safety, technical training, and emergency preparedness support to PPL EU.</w:t>
      </w:r>
    </w:p>
    <w:p w:rsidR="001528AA" w:rsidRDefault="001528AA" w:rsidP="00DD2818">
      <w:pPr>
        <w:pStyle w:val="Heading40"/>
      </w:pPr>
      <w:bookmarkStart w:id="199" w:name="_Toc442617457"/>
      <w:r>
        <w:t>Organization Structure</w:t>
      </w:r>
      <w:bookmarkEnd w:id="199"/>
    </w:p>
    <w:p w:rsidR="001528AA" w:rsidRDefault="001528AA" w:rsidP="00701DCF">
      <w:r>
        <w:t xml:space="preserve">The PPL EU </w:t>
      </w:r>
      <w:r>
        <w:rPr>
          <w:rFonts w:cs="Arial"/>
          <w:szCs w:val="24"/>
        </w:rPr>
        <w:t xml:space="preserve">Technical Development and Improvement </w:t>
      </w:r>
      <w:r>
        <w:t>organization is shown in the following exhibit.</w:t>
      </w:r>
    </w:p>
    <w:p w:rsidR="001528AA" w:rsidRPr="00C00477" w:rsidRDefault="00ED6D61" w:rsidP="00ED6D61">
      <w:pPr>
        <w:pStyle w:val="Caption"/>
      </w:pPr>
      <w:bookmarkStart w:id="200" w:name="_Toc464553001"/>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w:t>
      </w:r>
      <w:r w:rsidR="00CB2B2A">
        <w:rPr>
          <w:noProof/>
        </w:rPr>
        <w:fldChar w:fldCharType="end"/>
      </w:r>
      <w:r w:rsidR="003907AC">
        <w:br/>
      </w:r>
      <w:r w:rsidR="001528AA">
        <w:t>Technical Development and Improvement Organization Structure</w:t>
      </w:r>
      <w:bookmarkEnd w:id="200"/>
    </w:p>
    <w:p w:rsidR="001528AA" w:rsidRDefault="00264AB6" w:rsidP="00701DCF">
      <w:r>
        <w:rPr>
          <w:noProof/>
        </w:rPr>
        <w:drawing>
          <wp:inline distT="0" distB="0" distL="0" distR="0">
            <wp:extent cx="5943600" cy="19716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PL-EU_Tech-Dev&amp;Imprv_01071_page65-mod_v3.jpg"/>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971675"/>
                    </a:xfrm>
                    <a:prstGeom prst="rect">
                      <a:avLst/>
                    </a:prstGeom>
                  </pic:spPr>
                </pic:pic>
              </a:graphicData>
            </a:graphic>
          </wp:inline>
        </w:drawing>
      </w:r>
    </w:p>
    <w:p w:rsidR="001528AA" w:rsidRDefault="001528AA" w:rsidP="00701DCF">
      <w:pPr>
        <w:pStyle w:val="Normal-aftertable"/>
      </w:pPr>
      <w:r>
        <w:t>Source: DN 01-071, DN 01-009, IN M-37</w:t>
      </w:r>
    </w:p>
    <w:p w:rsidR="001528AA" w:rsidRDefault="001528AA" w:rsidP="00701DCF">
      <w:pPr>
        <w:rPr>
          <w:rFonts w:cs="Arial"/>
          <w:szCs w:val="24"/>
        </w:rPr>
      </w:pPr>
      <w:r>
        <w:rPr>
          <w:rFonts w:cs="Arial"/>
          <w:szCs w:val="24"/>
        </w:rPr>
        <w:t xml:space="preserve">The </w:t>
      </w:r>
      <w:r w:rsidRPr="002A67A2">
        <w:rPr>
          <w:rFonts w:cs="Arial"/>
          <w:szCs w:val="24"/>
        </w:rPr>
        <w:t xml:space="preserve">Technical Development </w:t>
      </w:r>
      <w:r>
        <w:rPr>
          <w:rFonts w:cs="Arial"/>
          <w:szCs w:val="24"/>
        </w:rPr>
        <w:t>and</w:t>
      </w:r>
      <w:r w:rsidRPr="002A67A2">
        <w:rPr>
          <w:rFonts w:cs="Arial"/>
          <w:szCs w:val="24"/>
        </w:rPr>
        <w:t xml:space="preserve"> Improvement </w:t>
      </w:r>
      <w:r>
        <w:rPr>
          <w:rFonts w:cs="Arial"/>
          <w:szCs w:val="24"/>
        </w:rPr>
        <w:t>group resides organizationally within PPL EUS and is led by the Director, Technical Development and Improvement.  The Director reports directly</w:t>
      </w:r>
      <w:r w:rsidRPr="002A67A2">
        <w:rPr>
          <w:rFonts w:cs="Arial"/>
          <w:szCs w:val="24"/>
        </w:rPr>
        <w:t xml:space="preserve"> to the President, PPL </w:t>
      </w:r>
      <w:r>
        <w:rPr>
          <w:rFonts w:cs="Arial"/>
          <w:szCs w:val="24"/>
        </w:rPr>
        <w:t>EU and has the</w:t>
      </w:r>
      <w:r w:rsidRPr="002A67A2">
        <w:rPr>
          <w:rFonts w:cs="Arial"/>
          <w:szCs w:val="24"/>
        </w:rPr>
        <w:t xml:space="preserve"> following positions report</w:t>
      </w:r>
      <w:r>
        <w:rPr>
          <w:rFonts w:cs="Arial"/>
          <w:szCs w:val="24"/>
        </w:rPr>
        <w:t>ing</w:t>
      </w:r>
      <w:r w:rsidRPr="002A67A2">
        <w:rPr>
          <w:rFonts w:cs="Arial"/>
          <w:szCs w:val="24"/>
        </w:rPr>
        <w:t xml:space="preserve">: </w:t>
      </w:r>
    </w:p>
    <w:p w:rsidR="001528AA" w:rsidRPr="00090C3C" w:rsidRDefault="001528AA" w:rsidP="00701DCF">
      <w:pPr>
        <w:pStyle w:val="Bullet"/>
      </w:pPr>
      <w:r w:rsidRPr="00090C3C">
        <w:t xml:space="preserve">Manager, Environmental Compliance </w:t>
      </w:r>
    </w:p>
    <w:p w:rsidR="001528AA" w:rsidRPr="00090C3C" w:rsidRDefault="001528AA" w:rsidP="00701DCF">
      <w:pPr>
        <w:pStyle w:val="Bullet"/>
      </w:pPr>
      <w:r w:rsidRPr="00090C3C">
        <w:t xml:space="preserve">Manager, Technical Development &amp; Communications </w:t>
      </w:r>
    </w:p>
    <w:p w:rsidR="001528AA" w:rsidRPr="00090C3C" w:rsidRDefault="001528AA" w:rsidP="00701DCF">
      <w:pPr>
        <w:pStyle w:val="Bullet"/>
      </w:pPr>
      <w:r w:rsidRPr="00090C3C">
        <w:t xml:space="preserve">Manager, Emergency Preparedness </w:t>
      </w:r>
    </w:p>
    <w:p w:rsidR="001528AA" w:rsidRPr="00090C3C" w:rsidRDefault="001528AA" w:rsidP="00701DCF">
      <w:pPr>
        <w:pStyle w:val="Bullet"/>
      </w:pPr>
      <w:r w:rsidRPr="00090C3C">
        <w:t xml:space="preserve">Manager, Health &amp; Safety </w:t>
      </w:r>
    </w:p>
    <w:p w:rsidR="001528AA" w:rsidRPr="00090C3C" w:rsidRDefault="001528AA" w:rsidP="00701DCF">
      <w:pPr>
        <w:pStyle w:val="Bullet"/>
      </w:pPr>
      <w:r w:rsidRPr="00090C3C">
        <w:t xml:space="preserve">Supervisor – Training Tech Instructor (3 positions) </w:t>
      </w:r>
    </w:p>
    <w:p w:rsidR="001528AA" w:rsidRPr="00090C3C" w:rsidRDefault="001528AA" w:rsidP="00701DCF">
      <w:pPr>
        <w:pStyle w:val="Bullet"/>
      </w:pPr>
      <w:r w:rsidRPr="00090C3C">
        <w:t xml:space="preserve">Performance Assessment Specialist (2 positions) </w:t>
      </w:r>
    </w:p>
    <w:p w:rsidR="001528AA" w:rsidRDefault="001528AA" w:rsidP="00701DCF">
      <w:pPr>
        <w:pStyle w:val="Normal-aftertable"/>
      </w:pPr>
      <w:r>
        <w:lastRenderedPageBreak/>
        <w:t>The work location for this group is at PPL’s</w:t>
      </w:r>
      <w:r w:rsidRPr="002A67A2">
        <w:t xml:space="preserve"> Walbert Learning Center, ap</w:t>
      </w:r>
      <w:r>
        <w:t xml:space="preserve">proximately six miles from the </w:t>
      </w:r>
      <w:r w:rsidRPr="002A67A2">
        <w:t>Allentown</w:t>
      </w:r>
      <w:r>
        <w:t xml:space="preserve"> corporate office</w:t>
      </w:r>
      <w:r w:rsidRPr="002A67A2">
        <w:t>.</w:t>
      </w:r>
      <w:r>
        <w:t xml:space="preserve">  The group carries out a wide variety of functions including:</w:t>
      </w:r>
    </w:p>
    <w:p w:rsidR="001528AA" w:rsidRDefault="001528AA" w:rsidP="00701DCF">
      <w:pPr>
        <w:pStyle w:val="Bullet"/>
      </w:pPr>
      <w:r>
        <w:t>Environmental Compliance</w:t>
      </w:r>
    </w:p>
    <w:p w:rsidR="001528AA" w:rsidRDefault="001528AA" w:rsidP="00701DCF">
      <w:pPr>
        <w:pStyle w:val="Bullet"/>
      </w:pPr>
      <w:r>
        <w:t>Safety, including Experience Assessment (incident investigation)</w:t>
      </w:r>
    </w:p>
    <w:p w:rsidR="001528AA" w:rsidRDefault="001528AA" w:rsidP="00701DCF">
      <w:pPr>
        <w:pStyle w:val="Bullet"/>
      </w:pPr>
      <w:r>
        <w:t>Training, including Work Methods (procedures for field personnel)</w:t>
      </w:r>
    </w:p>
    <w:p w:rsidR="001528AA" w:rsidRDefault="001528AA" w:rsidP="00701DCF">
      <w:pPr>
        <w:pStyle w:val="Bullet"/>
      </w:pPr>
      <w:r>
        <w:t>Emergency Planning</w:t>
      </w:r>
    </w:p>
    <w:p w:rsidR="001528AA" w:rsidRDefault="001528AA" w:rsidP="00701DCF">
      <w:pPr>
        <w:pStyle w:val="Normal-aftertable"/>
      </w:pPr>
      <w:r>
        <w:t>These functions are described below.</w:t>
      </w:r>
    </w:p>
    <w:p w:rsidR="001528AA" w:rsidRPr="00DF192A" w:rsidRDefault="001528AA" w:rsidP="00DD2818">
      <w:pPr>
        <w:pStyle w:val="Heading40"/>
      </w:pPr>
      <w:bookmarkStart w:id="201" w:name="_Toc442617458"/>
      <w:r w:rsidRPr="00DF192A">
        <w:t>Environmental Compliance</w:t>
      </w:r>
      <w:bookmarkEnd w:id="201"/>
      <w:r w:rsidRPr="00DF192A">
        <w:t xml:space="preserve"> </w:t>
      </w:r>
    </w:p>
    <w:p w:rsidR="001528AA" w:rsidRPr="00DF192A" w:rsidRDefault="001528AA" w:rsidP="00701DCF">
      <w:r w:rsidRPr="00DF192A">
        <w:t>The Environmental Compliance group</w:t>
      </w:r>
      <w:r>
        <w:t xml:space="preserve"> </w:t>
      </w:r>
      <w:r>
        <w:rPr>
          <w:rFonts w:cs="Arial"/>
          <w:szCs w:val="24"/>
        </w:rPr>
        <w:t xml:space="preserve">has eight persons assigned. </w:t>
      </w:r>
      <w:r w:rsidRPr="00DF192A">
        <w:t xml:space="preserve"> </w:t>
      </w:r>
      <w:r>
        <w:t xml:space="preserve">The group </w:t>
      </w:r>
      <w:r w:rsidRPr="00DF192A">
        <w:t>coordinates all aspects of environmental permitting including permit compliance, closure, records management; oversees the environmental regulatory and legislative process; manages historical environmental cleanup at State and Federal Superfund sites; provides o</w:t>
      </w:r>
      <w:r>
        <w:t xml:space="preserve">perational support for spills, </w:t>
      </w:r>
      <w:r w:rsidRPr="00DF192A">
        <w:t>and avian or endangered species protection; and supports compliance with environmental regulatory requirements for all of PPL EU.</w:t>
      </w:r>
    </w:p>
    <w:p w:rsidR="001528AA" w:rsidRDefault="001528AA" w:rsidP="00701DCF">
      <w:pPr>
        <w:rPr>
          <w:rFonts w:cs="Arial"/>
          <w:szCs w:val="24"/>
        </w:rPr>
      </w:pPr>
      <w:r w:rsidRPr="00DF192A">
        <w:t>The group contacts the contracted environmental compliance companies to prepare and submit permit requests.  They coordinate with Project Managers on upcoming projects and also meet directly with construction crews to discuss permit conditions.</w:t>
      </w:r>
      <w:r w:rsidRPr="00DF192A">
        <w:rPr>
          <w:rFonts w:cs="Arial"/>
          <w:szCs w:val="24"/>
        </w:rPr>
        <w:t xml:space="preserve">  The permits are maintained in a spreadsheet currently.  Development and use of a database</w:t>
      </w:r>
      <w:r>
        <w:rPr>
          <w:rFonts w:cs="Arial"/>
          <w:szCs w:val="24"/>
        </w:rPr>
        <w:t xml:space="preserve"> for the permits and agreements is a low priority.</w:t>
      </w:r>
    </w:p>
    <w:p w:rsidR="001528AA" w:rsidRPr="00873C6C" w:rsidRDefault="001528AA" w:rsidP="00701DCF">
      <w:pPr>
        <w:rPr>
          <w:rFonts w:cs="Arial"/>
          <w:szCs w:val="24"/>
        </w:rPr>
      </w:pPr>
      <w:r>
        <w:rPr>
          <w:rFonts w:cs="Arial"/>
          <w:szCs w:val="24"/>
        </w:rPr>
        <w:t>This group also interfaces extensively with local Chambers of Commerce, the Pennsylvania Department of Environmental Protection, U.S. Corps of Engineers, and the Environmental Protection Agency (EPA).  The group coordinates environmental reporting within the 29 counties in which PPL EU operates as well as maintaining spill control plans, coordinates environmental permitting for new line construction, and assists with environmental inspections.</w:t>
      </w:r>
    </w:p>
    <w:p w:rsidR="001528AA" w:rsidRDefault="001528AA" w:rsidP="00DD2818">
      <w:pPr>
        <w:pStyle w:val="Heading40"/>
      </w:pPr>
      <w:bookmarkStart w:id="202" w:name="_Toc442617459"/>
      <w:r>
        <w:t>Safety</w:t>
      </w:r>
      <w:bookmarkEnd w:id="202"/>
    </w:p>
    <w:p w:rsidR="001528AA" w:rsidRDefault="001528AA" w:rsidP="00701DCF">
      <w:pPr>
        <w:rPr>
          <w:rFonts w:cs="Arial"/>
          <w:szCs w:val="24"/>
        </w:rPr>
      </w:pPr>
      <w:r>
        <w:rPr>
          <w:rFonts w:cs="Arial"/>
          <w:szCs w:val="24"/>
        </w:rPr>
        <w:t xml:space="preserve">The Health and </w:t>
      </w:r>
      <w:r w:rsidRPr="00FB556B">
        <w:rPr>
          <w:rFonts w:cs="Arial"/>
          <w:szCs w:val="24"/>
        </w:rPr>
        <w:t>Safety</w:t>
      </w:r>
      <w:r>
        <w:rPr>
          <w:rFonts w:cs="Arial"/>
          <w:szCs w:val="24"/>
        </w:rPr>
        <w:t xml:space="preserve"> EU group</w:t>
      </w:r>
      <w:r w:rsidRPr="00FB556B">
        <w:rPr>
          <w:rFonts w:cs="Arial"/>
          <w:szCs w:val="24"/>
        </w:rPr>
        <w:t xml:space="preserve"> is responsible for safety programs across PPL EU and provides field safety support and contractor safety support.  </w:t>
      </w:r>
      <w:r>
        <w:rPr>
          <w:rFonts w:cs="Arial"/>
          <w:szCs w:val="24"/>
        </w:rPr>
        <w:t xml:space="preserve">Health and Safety has been centrally organized for the past 25 years and was realigned in mid-2015 to include three direct reports to the Health and Safety Manager; a Safety Program Specialist, Contractor Safety Specialist, and Safety Operations Supervisor. </w:t>
      </w:r>
      <w:r w:rsidRPr="00491A0B">
        <w:rPr>
          <w:rFonts w:cs="Arial"/>
          <w:szCs w:val="24"/>
        </w:rPr>
        <w:t xml:space="preserve"> </w:t>
      </w:r>
      <w:proofErr w:type="gramStart"/>
      <w:r>
        <w:rPr>
          <w:rFonts w:cs="Arial"/>
          <w:szCs w:val="24"/>
        </w:rPr>
        <w:t xml:space="preserve">PPL EU Health and Safety partners with the Kentucky (KY) operation, consisting of </w:t>
      </w:r>
      <w:r>
        <w:t>Louisville Gas and Electric and Kentucky Utilities (LKE),</w:t>
      </w:r>
      <w:r>
        <w:rPr>
          <w:rFonts w:cs="Arial"/>
          <w:szCs w:val="24"/>
        </w:rPr>
        <w:t xml:space="preserve"> on reviewing potential programs and initiatives.</w:t>
      </w:r>
      <w:proofErr w:type="gramEnd"/>
    </w:p>
    <w:p w:rsidR="001528AA" w:rsidRPr="002C4219" w:rsidRDefault="001528AA" w:rsidP="00701DCF">
      <w:pPr>
        <w:rPr>
          <w:color w:val="000000"/>
          <w:szCs w:val="24"/>
        </w:rPr>
      </w:pPr>
      <w:r w:rsidRPr="002C4219">
        <w:rPr>
          <w:color w:val="000000"/>
          <w:szCs w:val="24"/>
        </w:rPr>
        <w:t xml:space="preserve">The Safety Program Specialist is responsible for the industrial hygiene, </w:t>
      </w:r>
      <w:r w:rsidRPr="002C4219">
        <w:rPr>
          <w:color w:val="000000"/>
          <w:szCs w:val="24"/>
          <w:shd w:val="clear" w:color="auto" w:fill="FFFFFF"/>
        </w:rPr>
        <w:t xml:space="preserve">Occupational Safety and Health Administration </w:t>
      </w:r>
      <w:r>
        <w:rPr>
          <w:color w:val="000000"/>
          <w:szCs w:val="24"/>
          <w:shd w:val="clear" w:color="auto" w:fill="FFFFFF"/>
        </w:rPr>
        <w:t xml:space="preserve">(OSHA) </w:t>
      </w:r>
      <w:r w:rsidRPr="002C4219">
        <w:rPr>
          <w:color w:val="000000"/>
          <w:szCs w:val="24"/>
          <w:shd w:val="clear" w:color="auto" w:fill="FFFFFF"/>
        </w:rPr>
        <w:t>Work-Related Injuries and Illnesses recordkeeping (</w:t>
      </w:r>
      <w:r w:rsidRPr="002C4219">
        <w:rPr>
          <w:color w:val="000000"/>
          <w:szCs w:val="24"/>
        </w:rPr>
        <w:t xml:space="preserve">OSHA 300), </w:t>
      </w:r>
      <w:r w:rsidRPr="002C4219">
        <w:rPr>
          <w:rStyle w:val="Emphasis"/>
          <w:rFonts w:cs="Arial"/>
          <w:bCs/>
          <w:color w:val="000000"/>
          <w:szCs w:val="24"/>
          <w:shd w:val="clear" w:color="auto" w:fill="FFFFFF"/>
        </w:rPr>
        <w:t xml:space="preserve">Chemical Facility Anti-Terrorism Standards </w:t>
      </w:r>
      <w:r w:rsidRPr="002C4219">
        <w:rPr>
          <w:color w:val="000000"/>
          <w:szCs w:val="24"/>
          <w:shd w:val="clear" w:color="auto" w:fill="FFFFFF"/>
        </w:rPr>
        <w:t>(</w:t>
      </w:r>
      <w:r w:rsidRPr="002C4219">
        <w:rPr>
          <w:rStyle w:val="Emphasis"/>
          <w:rFonts w:cs="Arial"/>
          <w:bCs/>
          <w:color w:val="000000"/>
          <w:szCs w:val="24"/>
          <w:shd w:val="clear" w:color="auto" w:fill="FFFFFF"/>
        </w:rPr>
        <w:t>CFATS</w:t>
      </w:r>
      <w:r w:rsidRPr="002C4219">
        <w:rPr>
          <w:color w:val="000000"/>
          <w:szCs w:val="24"/>
          <w:shd w:val="clear" w:color="auto" w:fill="FFFFFF"/>
        </w:rPr>
        <w:t>)</w:t>
      </w:r>
      <w:r w:rsidRPr="002C4219">
        <w:rPr>
          <w:color w:val="000000"/>
          <w:szCs w:val="24"/>
        </w:rPr>
        <w:t>, occupational athletics, updating the safety procedures and rules, and communications.</w:t>
      </w:r>
    </w:p>
    <w:p w:rsidR="001528AA" w:rsidRPr="006D1B9D" w:rsidRDefault="001528AA" w:rsidP="00701DCF">
      <w:pPr>
        <w:rPr>
          <w:rFonts w:cs="Arial"/>
          <w:szCs w:val="24"/>
        </w:rPr>
      </w:pPr>
      <w:r>
        <w:rPr>
          <w:rFonts w:cs="Arial"/>
          <w:szCs w:val="24"/>
        </w:rPr>
        <w:t xml:space="preserve">The Contractor Safety Specialist and a safety professional focus on solidifying expectations in contractor performance, development of safety related contract proposal </w:t>
      </w:r>
      <w:r>
        <w:rPr>
          <w:rFonts w:cs="Arial"/>
          <w:szCs w:val="24"/>
        </w:rPr>
        <w:lastRenderedPageBreak/>
        <w:t>requirements, and inclusion of safety expectations in the contractor on-boarding process.  Responsibilities also include maintaining the database on contractor performance and generating reports.  Contractors lead their own safety incident investigations and PPL reviews the results and recommendations.</w:t>
      </w:r>
    </w:p>
    <w:p w:rsidR="001528AA" w:rsidRDefault="001528AA" w:rsidP="00701DCF">
      <w:pPr>
        <w:rPr>
          <w:rFonts w:cs="Arial"/>
          <w:szCs w:val="24"/>
        </w:rPr>
      </w:pPr>
      <w:r>
        <w:rPr>
          <w:rFonts w:cs="Arial"/>
          <w:szCs w:val="24"/>
        </w:rPr>
        <w:t>Safety Operations works with employee groups representing the field, office, and a new Business Unity Safety group.  The Business Unity Safety group consists of seven bargaining unit representatives, one for each region and one for the facilities function.  The employees in the safety groups will be on six month rotations.  The intent of the program is to develop safety advocates who will rotate back into the workforce to reinforce safety initiatives.  These groups are different from the Tier 1 safety groups discussed below.</w:t>
      </w:r>
    </w:p>
    <w:p w:rsidR="001528AA" w:rsidRDefault="001528AA" w:rsidP="00701DCF">
      <w:pPr>
        <w:rPr>
          <w:rFonts w:cs="Arial"/>
          <w:szCs w:val="24"/>
        </w:rPr>
      </w:pPr>
      <w:r>
        <w:rPr>
          <w:rFonts w:cs="Arial"/>
          <w:szCs w:val="24"/>
        </w:rPr>
        <w:t>Several initiatives have been undertaken to improve safety performance.  These include:</w:t>
      </w:r>
    </w:p>
    <w:p w:rsidR="001528AA" w:rsidRDefault="001528AA" w:rsidP="00701DCF">
      <w:pPr>
        <w:pStyle w:val="Bullet"/>
      </w:pPr>
      <w:r>
        <w:t>The formation of the Technical Development and Improvement organization four years ago</w:t>
      </w:r>
    </w:p>
    <w:p w:rsidR="001528AA" w:rsidRDefault="001528AA" w:rsidP="00701DCF">
      <w:pPr>
        <w:pStyle w:val="Bullet"/>
      </w:pPr>
      <w:r>
        <w:t>Emphasizing ownership of safety by employees</w:t>
      </w:r>
    </w:p>
    <w:p w:rsidR="001528AA" w:rsidRDefault="001528AA" w:rsidP="00701DCF">
      <w:pPr>
        <w:pStyle w:val="Bullet"/>
      </w:pPr>
      <w:r>
        <w:t>Analysis of injuries (for high risk situations and use of human performance tools)</w:t>
      </w:r>
    </w:p>
    <w:p w:rsidR="001528AA" w:rsidRDefault="001528AA" w:rsidP="00701DCF">
      <w:pPr>
        <w:pStyle w:val="Bullet"/>
      </w:pPr>
      <w:r>
        <w:t xml:space="preserve">Presenting injuries to the physician the same day as occurrence </w:t>
      </w:r>
    </w:p>
    <w:p w:rsidR="001528AA" w:rsidRPr="00AD462F" w:rsidRDefault="001528AA" w:rsidP="001528AA">
      <w:pPr>
        <w:pStyle w:val="Bullet"/>
      </w:pPr>
      <w:r>
        <w:t>The formation of a tiered structure of Safety Committees</w:t>
      </w:r>
    </w:p>
    <w:p w:rsidR="001528AA" w:rsidRPr="00FB556B" w:rsidRDefault="001528AA" w:rsidP="00DD2818">
      <w:pPr>
        <w:pStyle w:val="Normal-aftertable"/>
        <w:rPr>
          <w:rFonts w:cs="Arial"/>
          <w:szCs w:val="24"/>
        </w:rPr>
      </w:pPr>
      <w:proofErr w:type="gramStart"/>
      <w:r w:rsidRPr="00DD2818">
        <w:rPr>
          <w:b/>
        </w:rPr>
        <w:t>Safety Programs</w:t>
      </w:r>
      <w:r w:rsidR="00DD2818" w:rsidRPr="00DD2818">
        <w:rPr>
          <w:b/>
        </w:rPr>
        <w:t>.</w:t>
      </w:r>
      <w:proofErr w:type="gramEnd"/>
      <w:r w:rsidR="00DD2818">
        <w:t xml:space="preserve">  </w:t>
      </w:r>
      <w:r w:rsidRPr="00FB556B">
        <w:rPr>
          <w:rFonts w:cs="Arial"/>
          <w:szCs w:val="24"/>
        </w:rPr>
        <w:t>Three tiers of Safety Committee</w:t>
      </w:r>
      <w:r>
        <w:rPr>
          <w:rFonts w:cs="Arial"/>
          <w:szCs w:val="24"/>
        </w:rPr>
        <w:t>s hold</w:t>
      </w:r>
      <w:r w:rsidRPr="00FB556B">
        <w:rPr>
          <w:rFonts w:cs="Arial"/>
          <w:szCs w:val="24"/>
        </w:rPr>
        <w:t xml:space="preserve"> meetings </w:t>
      </w:r>
      <w:r>
        <w:rPr>
          <w:rFonts w:cs="Arial"/>
          <w:szCs w:val="24"/>
        </w:rPr>
        <w:t xml:space="preserve">that </w:t>
      </w:r>
      <w:r w:rsidRPr="00FB556B">
        <w:rPr>
          <w:rFonts w:cs="Arial"/>
          <w:szCs w:val="24"/>
        </w:rPr>
        <w:t xml:space="preserve">are used to cascade information, messages, and programs into the organization.  Tier 3 is the highest level </w:t>
      </w:r>
      <w:r>
        <w:rPr>
          <w:rFonts w:cs="Arial"/>
          <w:szCs w:val="24"/>
        </w:rPr>
        <w:t>committee</w:t>
      </w:r>
      <w:r w:rsidRPr="00FB556B">
        <w:rPr>
          <w:rFonts w:cs="Arial"/>
          <w:szCs w:val="24"/>
        </w:rPr>
        <w:t xml:space="preserve"> at the PPL EU President level with direct reports and the union representatives for employees, Local 1600.  There are seven Tier 2 </w:t>
      </w:r>
      <w:r>
        <w:rPr>
          <w:rFonts w:cs="Arial"/>
          <w:szCs w:val="24"/>
        </w:rPr>
        <w:t>committees</w:t>
      </w:r>
      <w:r w:rsidRPr="00FB556B">
        <w:rPr>
          <w:rFonts w:cs="Arial"/>
          <w:szCs w:val="24"/>
        </w:rPr>
        <w:t xml:space="preserve"> </w:t>
      </w:r>
      <w:r>
        <w:rPr>
          <w:rFonts w:cs="Arial"/>
          <w:szCs w:val="24"/>
        </w:rPr>
        <w:t>including</w:t>
      </w:r>
      <w:r w:rsidRPr="00FB556B">
        <w:rPr>
          <w:rFonts w:cs="Arial"/>
          <w:szCs w:val="24"/>
        </w:rPr>
        <w:t xml:space="preserve"> the three super regions, Customer Service, Facilities Management, general office, and Distribution Field Operations.  Thirteen Tier 1 safety </w:t>
      </w:r>
      <w:r>
        <w:rPr>
          <w:rFonts w:cs="Arial"/>
          <w:szCs w:val="24"/>
        </w:rPr>
        <w:t>committees</w:t>
      </w:r>
      <w:r w:rsidRPr="00FB556B">
        <w:rPr>
          <w:rFonts w:cs="Arial"/>
          <w:szCs w:val="24"/>
        </w:rPr>
        <w:t xml:space="preserve"> </w:t>
      </w:r>
      <w:r>
        <w:rPr>
          <w:rFonts w:cs="Arial"/>
          <w:szCs w:val="24"/>
        </w:rPr>
        <w:t>include</w:t>
      </w:r>
      <w:r w:rsidRPr="00FB556B">
        <w:rPr>
          <w:rFonts w:cs="Arial"/>
          <w:szCs w:val="24"/>
        </w:rPr>
        <w:t xml:space="preserve"> the bargaining unit field forces at the service center locations, the Central Warehouse, and the Walbert Training Center.  The Safety Committee initiative started in 2012 and in 2014 began incorporating top-down direction.</w:t>
      </w:r>
    </w:p>
    <w:p w:rsidR="001528AA" w:rsidRDefault="001528AA" w:rsidP="00701DCF">
      <w:r w:rsidRPr="00FB556B">
        <w:rPr>
          <w:rFonts w:cs="Arial"/>
          <w:szCs w:val="24"/>
        </w:rPr>
        <w:t xml:space="preserve">The </w:t>
      </w:r>
      <w:r w:rsidRPr="00FB556B">
        <w:t>Safety Specialists conduct experience assessments</w:t>
      </w:r>
      <w:r>
        <w:t>,</w:t>
      </w:r>
      <w:r w:rsidRPr="00FB556B">
        <w:t xml:space="preserve"> </w:t>
      </w:r>
      <w:r>
        <w:t>e</w:t>
      </w:r>
      <w:r w:rsidRPr="00FB556B">
        <w:t>mbed</w:t>
      </w:r>
      <w:r>
        <w:t>ded</w:t>
      </w:r>
      <w:r w:rsidRPr="00FB556B">
        <w:t xml:space="preserve"> root cause tool use into tasks</w:t>
      </w:r>
      <w:r>
        <w:t>,</w:t>
      </w:r>
      <w:r w:rsidRPr="00FB556B">
        <w:t xml:space="preserve"> and add check steps to tasks to foster safe work practices.  The Specialists also support accident and incident investigations following the Safety Procedure, Incident Reporting, and the Analysis Process standards document.  Various tools are taught including event analysis, and the five whys root cause process.  An investigational learning process (problem solving) was implemented in 2011 and a human experience tool was implemented in 2013.</w:t>
      </w:r>
    </w:p>
    <w:p w:rsidR="001528AA" w:rsidRDefault="001528AA" w:rsidP="00701DCF">
      <w:pPr>
        <w:rPr>
          <w:rFonts w:cs="Arial"/>
          <w:szCs w:val="24"/>
        </w:rPr>
      </w:pPr>
      <w:r>
        <w:rPr>
          <w:rFonts w:cs="Arial"/>
          <w:szCs w:val="24"/>
        </w:rPr>
        <w:t>The most common injury cause is bio-mechanically related strains and sprains which is why PPL has focused on conditioning programs.  The athletics contractor will visit PPL job sites and address health issues in the field by providing pain relievers, physical therapy, and coaching on site.  Workbooks on maintaining a good work – life balance are also provided.</w:t>
      </w:r>
    </w:p>
    <w:p w:rsidR="001528AA" w:rsidRDefault="001528AA" w:rsidP="00701DCF">
      <w:pPr>
        <w:rPr>
          <w:rFonts w:cs="Arial"/>
          <w:szCs w:val="24"/>
        </w:rPr>
      </w:pPr>
      <w:r>
        <w:rPr>
          <w:rFonts w:cs="Arial"/>
          <w:szCs w:val="24"/>
        </w:rPr>
        <w:t xml:space="preserve">To combat slips, trips, and falls, PPL is using a saturation of communications approach to maintain and enhance awareness in safety meetings and in communications. </w:t>
      </w:r>
      <w:r w:rsidRPr="008F14CE">
        <w:rPr>
          <w:rFonts w:cs="Arial"/>
          <w:szCs w:val="24"/>
        </w:rPr>
        <w:t xml:space="preserve"> </w:t>
      </w:r>
      <w:r>
        <w:rPr>
          <w:rFonts w:cs="Arial"/>
          <w:szCs w:val="24"/>
        </w:rPr>
        <w:t xml:space="preserve">Safety </w:t>
      </w:r>
      <w:r>
        <w:rPr>
          <w:rFonts w:cs="Arial"/>
          <w:szCs w:val="24"/>
        </w:rPr>
        <w:lastRenderedPageBreak/>
        <w:t>is also communicating reminders of past safety incidents to tap into employee’s emotions and reinforce the impact of an incident.</w:t>
      </w:r>
    </w:p>
    <w:p w:rsidR="001528AA" w:rsidRDefault="001528AA" w:rsidP="00701DCF">
      <w:r w:rsidRPr="009A6291">
        <w:t>Safety Specialists review safety metrics and data and share safety</w:t>
      </w:r>
      <w:r>
        <w:t xml:space="preserve"> information with the Tier 1 teams.  The Tier 1 Safety Teams also meet periodically with the field crews to provide ideas on safe work practices and support.  The current focus is on slips, trips, and falls.  Each Safety Team develops programs and initiatives specific to their respective work areas to support the goals to reduce these types of injuries.  Unique initiatives are shared by the Safety Specialists with other Tier 1 teams.</w:t>
      </w:r>
    </w:p>
    <w:p w:rsidR="001528AA" w:rsidRPr="00EF6FE5" w:rsidRDefault="001528AA" w:rsidP="00701DCF">
      <w:r w:rsidRPr="00EF6FE5">
        <w:t xml:space="preserve">Additional work on the constructive culture for safety, particularly conveying that injuries are not okay, needs to be continued.  Implementation of the constructive culture in the field is challenging since it requires </w:t>
      </w:r>
      <w:r>
        <w:t xml:space="preserve">seasoned </w:t>
      </w:r>
      <w:r w:rsidRPr="00EF6FE5">
        <w:t>workers to take on a new approach that consider</w:t>
      </w:r>
      <w:r>
        <w:t>s</w:t>
      </w:r>
      <w:r w:rsidRPr="00EF6FE5">
        <w:t xml:space="preserve"> best practices, proper tools</w:t>
      </w:r>
      <w:r>
        <w:t>,</w:t>
      </w:r>
      <w:r w:rsidRPr="00EF6FE5">
        <w:t xml:space="preserve"> and equipment</w:t>
      </w:r>
      <w:r>
        <w:t>,</w:t>
      </w:r>
      <w:r w:rsidRPr="00EF6FE5">
        <w:t xml:space="preserve"> </w:t>
      </w:r>
      <w:r>
        <w:t xml:space="preserve">and allows </w:t>
      </w:r>
      <w:r w:rsidRPr="00EF6FE5">
        <w:t xml:space="preserve">for </w:t>
      </w:r>
      <w:r>
        <w:t>each crew member</w:t>
      </w:r>
      <w:r w:rsidRPr="00EF6FE5">
        <w:t xml:space="preserve"> to question the </w:t>
      </w:r>
      <w:proofErr w:type="spellStart"/>
      <w:r w:rsidRPr="00EF6FE5">
        <w:t>hows</w:t>
      </w:r>
      <w:proofErr w:type="spellEnd"/>
      <w:r w:rsidRPr="00EF6FE5">
        <w:t xml:space="preserve"> and whys of tasks</w:t>
      </w:r>
      <w:r>
        <w:t xml:space="preserve">.  Critical steps have been identified in the work processes to reinforce making safe decisions.  Employees are also encouraged to call a time out if something has changed in the job that they do not understand. </w:t>
      </w:r>
    </w:p>
    <w:p w:rsidR="001528AA" w:rsidRPr="00FF6506" w:rsidRDefault="001528AA" w:rsidP="00701DCF">
      <w:pPr>
        <w:rPr>
          <w:szCs w:val="24"/>
        </w:rPr>
      </w:pPr>
      <w:proofErr w:type="gramStart"/>
      <w:r w:rsidRPr="00DD2818">
        <w:rPr>
          <w:b/>
        </w:rPr>
        <w:t>Safety Planning</w:t>
      </w:r>
      <w:r w:rsidR="00DD2818" w:rsidRPr="00DD2818">
        <w:rPr>
          <w:b/>
        </w:rPr>
        <w:t>.</w:t>
      </w:r>
      <w:proofErr w:type="gramEnd"/>
      <w:r w:rsidR="00DD2818">
        <w:t xml:space="preserve">  </w:t>
      </w:r>
      <w:r w:rsidRPr="00FF6506">
        <w:rPr>
          <w:szCs w:val="24"/>
        </w:rPr>
        <w:t xml:space="preserve">Looking forward, </w:t>
      </w:r>
      <w:r>
        <w:rPr>
          <w:rFonts w:cs="Arial"/>
          <w:szCs w:val="24"/>
        </w:rPr>
        <w:t xml:space="preserve">Health and </w:t>
      </w:r>
      <w:r w:rsidRPr="00FF6506">
        <w:rPr>
          <w:szCs w:val="24"/>
        </w:rPr>
        <w:t xml:space="preserve">Safety plans to continue to focus on improving safety performance with supporting programs and evolving the safety culture.  A new PPL EU annual safety planning process was implemented in 2015 to drive safety program planning and goal setting into the departments and develop </w:t>
      </w:r>
      <w:r>
        <w:rPr>
          <w:szCs w:val="24"/>
        </w:rPr>
        <w:t xml:space="preserve">specific </w:t>
      </w:r>
      <w:r w:rsidRPr="00FF6506">
        <w:rPr>
          <w:szCs w:val="24"/>
        </w:rPr>
        <w:t>safety objectives and safety processes to be implemented for the following year.</w:t>
      </w:r>
      <w:r>
        <w:rPr>
          <w:szCs w:val="24"/>
        </w:rPr>
        <w:t xml:space="preserve">  A multi-year safety strategy was also finalized to guide the annual focus of the department and regional safety plans.</w:t>
      </w:r>
    </w:p>
    <w:p w:rsidR="001528AA" w:rsidRDefault="001528AA" w:rsidP="00701DCF">
      <w:r>
        <w:t>The 2016–2019 Safety Strategy was developed around the theme that all accidents are preventable.  The strategy establishes three goals with supporting objectives, performance indicators, and initiatives:</w:t>
      </w:r>
    </w:p>
    <w:p w:rsidR="001528AA" w:rsidRPr="00984DB6" w:rsidRDefault="001528AA" w:rsidP="00701DCF">
      <w:pPr>
        <w:pStyle w:val="Normalindent1"/>
      </w:pPr>
      <w:r w:rsidRPr="00984DB6">
        <w:t>Goal 1: Leader Development and Growth.  All Leaders will improve the culture of their organization by engaging their employees from a caring mindset.</w:t>
      </w:r>
    </w:p>
    <w:p w:rsidR="001528AA" w:rsidRPr="00264AB6" w:rsidRDefault="001528AA" w:rsidP="00701DCF">
      <w:pPr>
        <w:pStyle w:val="Normalindent1"/>
      </w:pPr>
      <w:r w:rsidRPr="00984DB6">
        <w:t>Goal 2: Employee Engagement.  All Employees adopt the caring mindset, conduct excellent peer coaching, and facilitate a learning environment to achieve employee ownership</w:t>
      </w:r>
      <w:r>
        <w:t>.</w:t>
      </w:r>
    </w:p>
    <w:p w:rsidR="001528AA" w:rsidRPr="00984DB6" w:rsidRDefault="001528AA" w:rsidP="00701DCF">
      <w:pPr>
        <w:pStyle w:val="Normalindent1"/>
      </w:pPr>
      <w:r w:rsidRPr="00984DB6">
        <w:t>Goal 3: Health and Safety Excellence.  Eliminate unsafe behaviors and known hazards to improve the health and well-being of PPL employe</w:t>
      </w:r>
      <w:r>
        <w:t>es and to achieve zero injuries.</w:t>
      </w:r>
    </w:p>
    <w:p w:rsidR="001528AA" w:rsidRDefault="001528AA" w:rsidP="00701DCF">
      <w:pPr>
        <w:rPr>
          <w:rFonts w:cs="Arial"/>
          <w:bCs/>
        </w:rPr>
      </w:pPr>
      <w:proofErr w:type="gramStart"/>
      <w:r w:rsidRPr="00DD2818">
        <w:rPr>
          <w:b/>
        </w:rPr>
        <w:t>PUC Reporting</w:t>
      </w:r>
      <w:r w:rsidR="00DD2818" w:rsidRPr="00DD2818">
        <w:rPr>
          <w:b/>
        </w:rPr>
        <w:t>.</w:t>
      </w:r>
      <w:proofErr w:type="gramEnd"/>
      <w:r w:rsidR="00DD2818">
        <w:t xml:space="preserve">  </w:t>
      </w:r>
      <w:r>
        <w:t xml:space="preserve">Certain injuries to employees, contractors, or the public that are caused by contact with the high voltage distribution or transmission system are reportable to the PUC.  A written process and procedure is in place to guide PPL EU response to incidents and making the appropriate notifications.  </w:t>
      </w:r>
      <w:r>
        <w:rPr>
          <w:rFonts w:cs="Arial"/>
          <w:szCs w:val="24"/>
        </w:rPr>
        <w:t>A PUC Tracker application was initiated in 2015 to track the notifications and responses to queries from the PUC.  During 2015 there were nine responses to PUC queries, including two contractor incidents, one of which involved an induced shock incident.</w:t>
      </w:r>
    </w:p>
    <w:p w:rsidR="001528AA" w:rsidRDefault="001528AA" w:rsidP="00DD2818">
      <w:pPr>
        <w:pStyle w:val="Heading40"/>
      </w:pPr>
      <w:bookmarkStart w:id="203" w:name="_Toc442617460"/>
      <w:r w:rsidRPr="0097124C">
        <w:lastRenderedPageBreak/>
        <w:t>Technical Training</w:t>
      </w:r>
      <w:bookmarkEnd w:id="203"/>
    </w:p>
    <w:p w:rsidR="001528AA" w:rsidRDefault="001528AA" w:rsidP="00701DCF">
      <w:pPr>
        <w:rPr>
          <w:rFonts w:cs="Arial"/>
          <w:szCs w:val="24"/>
        </w:rPr>
      </w:pPr>
      <w:r>
        <w:rPr>
          <w:rFonts w:cs="Arial"/>
          <w:szCs w:val="24"/>
        </w:rPr>
        <w:t>The Technical Training organization is responsible for delivering all technical training to the 2,400 person PPL EU organization.  This includes professional development, technical, and compliance (environmental and safety) training.  Approximately 180,000 hours of training are delivered annually.  Of this number, approximately 50,000 hours are professional development training and 130,000 hours are technical and compliance training.  About 80,000 hours of the training are outsourced and 100,000 are delivered by in-house resources.</w:t>
      </w:r>
    </w:p>
    <w:p w:rsidR="001528AA" w:rsidRDefault="001528AA" w:rsidP="00701DCF">
      <w:r>
        <w:rPr>
          <w:rFonts w:cs="Arial"/>
          <w:szCs w:val="24"/>
        </w:rPr>
        <w:t xml:space="preserve">There are three groups of Technical Training Instructors in Technical Development and Improvement.  </w:t>
      </w:r>
      <w:r>
        <w:t>The Technical Training Instructors provide field worker training out of the Walbert Training Center.  One instructor is based at the PPL EU Control Center and provides training to the Transmission Control Center (TCC) and Distribution Control Center (DCC) staff including switching and tagging procedures and tasks related to North American Reliability Corporation (NERC) requirements compliance.  Another instructor provides regulatory and compliance training and PPL EU business policy and process training to PPL EU employees.</w:t>
      </w:r>
      <w:r w:rsidRPr="00AC1F73">
        <w:t xml:space="preserve"> </w:t>
      </w:r>
      <w:r>
        <w:t xml:space="preserve"> The Technical Development Work Methods Specialists develop procedures for performance of field maintenance and equipment installation work.  This effort was re-emphasized in 2013. This group also works with the IT on development of cyber security and NERC Critical Infrastructure Protection (CIP) related training for the work force in e-learning format.</w:t>
      </w:r>
    </w:p>
    <w:p w:rsidR="001528AA" w:rsidRDefault="001528AA" w:rsidP="00701DCF">
      <w:r w:rsidRPr="00166F37">
        <w:t>About 90</w:t>
      </w:r>
      <w:r>
        <w:t>%</w:t>
      </w:r>
      <w:r w:rsidRPr="00166F37">
        <w:t xml:space="preserve"> of professional development is outsourced while </w:t>
      </w:r>
      <w:r>
        <w:t xml:space="preserve">technical </w:t>
      </w:r>
      <w:r w:rsidRPr="00166F37">
        <w:t>skill training is approximately 80</w:t>
      </w:r>
      <w:r>
        <w:t>%</w:t>
      </w:r>
      <w:r w:rsidRPr="00166F37">
        <w:t xml:space="preserve"> in-house.  Professional development training is managed and coordinated by PPL Services Human Resources. Non-T&amp;D technical skills training, such as</w:t>
      </w:r>
      <w:r>
        <w:t xml:space="preserve"> First Aid, CPR, and CDL </w:t>
      </w:r>
      <w:proofErr w:type="gramStart"/>
      <w:r>
        <w:t>licensing</w:t>
      </w:r>
      <w:r w:rsidRPr="00166F37">
        <w:t>,</w:t>
      </w:r>
      <w:proofErr w:type="gramEnd"/>
      <w:r w:rsidRPr="00166F37">
        <w:t xml:space="preserve"> </w:t>
      </w:r>
      <w:r>
        <w:t>is</w:t>
      </w:r>
      <w:r w:rsidRPr="00166F37">
        <w:t xml:space="preserve"> outsourced.  </w:t>
      </w:r>
      <w:r>
        <w:t>These skills-based training programs are managed by PPL EU T</w:t>
      </w:r>
      <w:r>
        <w:rPr>
          <w:szCs w:val="24"/>
        </w:rPr>
        <w:t>echnical Development and Improvement</w:t>
      </w:r>
      <w:r>
        <w:t>.</w:t>
      </w:r>
      <w:r w:rsidRPr="00166F37">
        <w:t xml:space="preserve"> Training is usually delivered in a</w:t>
      </w:r>
      <w:r>
        <w:t xml:space="preserve"> classroom, but e-learning with video and flash animation is also used.</w:t>
      </w:r>
    </w:p>
    <w:p w:rsidR="001528AA" w:rsidRDefault="001528AA" w:rsidP="00701DCF">
      <w:r>
        <w:t>The field apprentice programs are run in-house.  PPL EU initiated a partnership with Lehigh Community College in 2006 to develop an apprenticeship program but it was only marginally successful in generating candidates for positions.</w:t>
      </w:r>
      <w:r w:rsidRPr="007233A6">
        <w:t xml:space="preserve"> </w:t>
      </w:r>
      <w:r>
        <w:t xml:space="preserve"> The focus now is to work with area community colleges to provide basic skills to students interested in applying for entry level electric utility positions.  PPL EU has not experienced problems finding qualified applicants for jobs.</w:t>
      </w:r>
    </w:p>
    <w:p w:rsidR="001528AA" w:rsidRDefault="001528AA" w:rsidP="00701DCF">
      <w:pPr>
        <w:rPr>
          <w:rFonts w:cs="Arial"/>
          <w:szCs w:val="24"/>
        </w:rPr>
      </w:pPr>
      <w:r>
        <w:rPr>
          <w:rFonts w:cs="Arial"/>
          <w:szCs w:val="24"/>
        </w:rPr>
        <w:t>Technical Training has developed refresher training classes for journey level line workers and works with Distribution Standards on construction methods.  The introduction of new equipment and technologies is now better coordinated so that necessary construction standards and training are completed before introduction in the field.</w:t>
      </w:r>
    </w:p>
    <w:p w:rsidR="001528AA" w:rsidRDefault="00DD2818" w:rsidP="00DD2818">
      <w:pPr>
        <w:pStyle w:val="Heading40"/>
      </w:pPr>
      <w:r>
        <w:t>E</w:t>
      </w:r>
      <w:r w:rsidR="001528AA">
        <w:t xml:space="preserve">mergency </w:t>
      </w:r>
      <w:r>
        <w:t>P</w:t>
      </w:r>
      <w:r w:rsidR="001528AA">
        <w:t>lanning</w:t>
      </w:r>
    </w:p>
    <w:p w:rsidR="001528AA" w:rsidRPr="00E2302E" w:rsidRDefault="001528AA" w:rsidP="00DD2818">
      <w:pPr>
        <w:spacing w:after="80"/>
      </w:pPr>
      <w:r>
        <w:rPr>
          <w:rFonts w:cs="Arial"/>
          <w:szCs w:val="24"/>
        </w:rPr>
        <w:t xml:space="preserve">Emergency Planning for PPL EU is an all hazards (not just storms) activity.  The on-call team handles the emergency from the Emergency Command Center.  PPL EU also has six regional Command Centers within its operating territory for local response.  Emergencies are classified in a tiered convention, Level 1, 2, 3, or 4 with Level 1 being the least severe and Level 4 being the most severe.  For a Level 1 event, eight on-call </w:t>
      </w:r>
      <w:r>
        <w:rPr>
          <w:rFonts w:cs="Arial"/>
          <w:szCs w:val="24"/>
        </w:rPr>
        <w:lastRenderedPageBreak/>
        <w:t xml:space="preserve">personnel respond, whereas for a Level 4 event, 25 to 30 personnel respond.  Specific checklists and playbooks are developed and pre-positioned to guide the response.  The playbooks are developed using best practices as well as improvements from after action reports from previous events, benchmarking information, replays, and industry information. Emergency Planning is covered in more detail in Chapter VII, Emergency Response. </w:t>
      </w:r>
    </w:p>
    <w:p w:rsidR="001528AA" w:rsidRPr="003B3444" w:rsidRDefault="001528AA" w:rsidP="00FA30B2">
      <w:pPr>
        <w:pStyle w:val="Heading-forToC"/>
      </w:pPr>
      <w:bookmarkStart w:id="204" w:name="_Toc442617461"/>
      <w:bookmarkStart w:id="205" w:name="_Toc464552055"/>
      <w:r w:rsidRPr="003B3444">
        <w:t>Findings</w:t>
      </w:r>
      <w:bookmarkEnd w:id="204"/>
      <w:bookmarkEnd w:id="205"/>
    </w:p>
    <w:p w:rsidR="001528AA" w:rsidRPr="003B3444" w:rsidRDefault="001528AA" w:rsidP="00DD2818">
      <w:pPr>
        <w:pStyle w:val="Findings"/>
        <w:numPr>
          <w:ilvl w:val="0"/>
          <w:numId w:val="35"/>
        </w:numPr>
        <w:spacing w:after="80"/>
      </w:pPr>
      <w:r w:rsidRPr="003B3444">
        <w:t>Co-locating an instructor with the Control Center staffs is a good practice.</w:t>
      </w:r>
    </w:p>
    <w:p w:rsidR="001528AA" w:rsidRPr="003B3444" w:rsidRDefault="001528AA" w:rsidP="00DD2818">
      <w:pPr>
        <w:spacing w:after="80"/>
        <w:rPr>
          <w:rFonts w:cs="Arial"/>
          <w:szCs w:val="24"/>
        </w:rPr>
      </w:pPr>
      <w:r w:rsidRPr="003B3444">
        <w:rPr>
          <w:rFonts w:cs="Arial"/>
          <w:szCs w:val="24"/>
        </w:rPr>
        <w:t>There are regulatory requirements that drive the frequency and content of training and certification for operators of power systems.  The NERC PER-005 standards require a systematic approach to developing and implementing a training program for transmission system operators.  In addition, both NERC and PJM operator certification requirements must be met and maintained.  The systems and technologies employed by both the TCC and DCC staff are becoming increasingly complex.  An on-site instructor will be familiar with how the systems are being used and can identify training gaps and deliver specialized training.</w:t>
      </w:r>
    </w:p>
    <w:p w:rsidR="001528AA" w:rsidRPr="003B3444" w:rsidRDefault="001528AA" w:rsidP="00DD2818">
      <w:pPr>
        <w:pStyle w:val="Findings"/>
        <w:numPr>
          <w:ilvl w:val="0"/>
          <w:numId w:val="35"/>
        </w:numPr>
        <w:spacing w:after="80"/>
      </w:pPr>
      <w:r w:rsidRPr="003B3444">
        <w:t>Technical Development and Improvement maintains a comprehensive set of performance indicators.</w:t>
      </w:r>
    </w:p>
    <w:p w:rsidR="001528AA" w:rsidRPr="003B3444" w:rsidRDefault="001528AA" w:rsidP="00DD2818">
      <w:pPr>
        <w:spacing w:after="80"/>
        <w:rPr>
          <w:rFonts w:cs="Arial"/>
          <w:szCs w:val="24"/>
        </w:rPr>
      </w:pPr>
      <w:r w:rsidRPr="003B3444">
        <w:rPr>
          <w:rFonts w:cs="Arial"/>
          <w:szCs w:val="24"/>
        </w:rPr>
        <w:t>Technical Development and Improvement currently has approximately 20 performance indicators that are reported on a monthly basis covering Safety, Environmental, Training, and financial management areas.</w:t>
      </w:r>
    </w:p>
    <w:p w:rsidR="001528AA" w:rsidRPr="003B3444" w:rsidRDefault="001528AA" w:rsidP="00DD2818">
      <w:pPr>
        <w:pStyle w:val="Findings"/>
        <w:numPr>
          <w:ilvl w:val="0"/>
          <w:numId w:val="35"/>
        </w:numPr>
        <w:spacing w:after="80"/>
      </w:pPr>
      <w:r w:rsidRPr="003B3444">
        <w:t>Implementation of the multiple level safety meetings will help improve safety performance.</w:t>
      </w:r>
    </w:p>
    <w:p w:rsidR="001528AA" w:rsidRPr="003B3444" w:rsidRDefault="001528AA" w:rsidP="00DD2818">
      <w:pPr>
        <w:spacing w:after="80"/>
        <w:rPr>
          <w:rFonts w:cs="Arial"/>
          <w:szCs w:val="24"/>
        </w:rPr>
      </w:pPr>
      <w:r w:rsidRPr="003B3444">
        <w:rPr>
          <w:rFonts w:cs="Arial"/>
          <w:szCs w:val="24"/>
        </w:rPr>
        <w:t>The three tier safety meeting structure will help provide focus at the worker level on corporate safety initiatives and programs.  The tier 1 meetings in the work areas engage employees in developing and owning safety-related initiatives.  The addition of the Business Unity Safety group with bargaining unit representatives will reinforce this approach by developing informed safety advocates within the work areas as well.  These efforts should increase employee ownership and awareness of safe work practices.</w:t>
      </w:r>
    </w:p>
    <w:p w:rsidR="001528AA" w:rsidRPr="003B3444" w:rsidRDefault="001528AA" w:rsidP="00DD2818">
      <w:pPr>
        <w:pStyle w:val="Findings"/>
        <w:numPr>
          <w:ilvl w:val="0"/>
          <w:numId w:val="35"/>
        </w:numPr>
        <w:spacing w:after="80"/>
      </w:pPr>
      <w:r w:rsidRPr="003B3444">
        <w:t>Overall PPL EU and Contractor safety performance has shown some improvement.</w:t>
      </w:r>
    </w:p>
    <w:p w:rsidR="001528AA" w:rsidRPr="003B3444" w:rsidRDefault="001528AA" w:rsidP="00DD2818">
      <w:pPr>
        <w:spacing w:after="80"/>
        <w:rPr>
          <w:rFonts w:cs="Arial"/>
          <w:szCs w:val="24"/>
        </w:rPr>
      </w:pPr>
      <w:r w:rsidRPr="003B3444">
        <w:rPr>
          <w:rFonts w:cs="Arial"/>
          <w:szCs w:val="24"/>
        </w:rPr>
        <w:t>PPL EU includes Days Away, Restricted or Transferred injuries (DARTs) in its Monthly Performance Reporting.  The following exhibit summarizes the results.</w:t>
      </w:r>
    </w:p>
    <w:p w:rsidR="001528AA" w:rsidRPr="003B3444" w:rsidRDefault="00ED6D61" w:rsidP="00ED6D61">
      <w:pPr>
        <w:pStyle w:val="Caption"/>
      </w:pPr>
      <w:bookmarkStart w:id="206" w:name="_Toc464553002"/>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2</w:t>
      </w:r>
      <w:r w:rsidR="00CB2B2A">
        <w:rPr>
          <w:noProof/>
        </w:rPr>
        <w:fldChar w:fldCharType="end"/>
      </w:r>
      <w:r w:rsidR="003907AC">
        <w:br/>
      </w:r>
      <w:r w:rsidR="001528AA" w:rsidRPr="003B3444">
        <w:t>PPL EU DART Performance 2011–2015)</w:t>
      </w:r>
      <w:bookmarkEnd w:id="2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89"/>
        <w:gridCol w:w="997"/>
        <w:gridCol w:w="990"/>
        <w:gridCol w:w="990"/>
        <w:gridCol w:w="992"/>
        <w:gridCol w:w="856"/>
      </w:tblGrid>
      <w:tr w:rsidR="001528AA" w:rsidRPr="007370C9" w:rsidTr="00643507">
        <w:trPr>
          <w:cantSplit/>
          <w:trHeight w:val="20"/>
          <w:tblHeader/>
          <w:jc w:val="center"/>
        </w:trPr>
        <w:tc>
          <w:tcPr>
            <w:tcW w:w="2689" w:type="dxa"/>
            <w:shd w:val="clear" w:color="auto" w:fill="A5CD7E"/>
            <w:vAlign w:val="center"/>
          </w:tcPr>
          <w:p w:rsidR="001528AA" w:rsidRPr="007370C9" w:rsidRDefault="001528AA" w:rsidP="007370C9">
            <w:pPr>
              <w:spacing w:before="120"/>
              <w:jc w:val="center"/>
              <w:rPr>
                <w:b/>
              </w:rPr>
            </w:pPr>
            <w:r w:rsidRPr="007370C9">
              <w:rPr>
                <w:b/>
              </w:rPr>
              <w:t>DART Rate</w:t>
            </w:r>
          </w:p>
        </w:tc>
        <w:tc>
          <w:tcPr>
            <w:tcW w:w="997" w:type="dxa"/>
            <w:shd w:val="clear" w:color="auto" w:fill="A5CD7E"/>
            <w:vAlign w:val="center"/>
          </w:tcPr>
          <w:p w:rsidR="001528AA" w:rsidRPr="007370C9" w:rsidRDefault="001528AA" w:rsidP="007370C9">
            <w:pPr>
              <w:spacing w:before="120"/>
              <w:jc w:val="center"/>
              <w:rPr>
                <w:b/>
              </w:rPr>
            </w:pPr>
            <w:r w:rsidRPr="007370C9">
              <w:rPr>
                <w:b/>
              </w:rPr>
              <w:t>2011</w:t>
            </w:r>
          </w:p>
        </w:tc>
        <w:tc>
          <w:tcPr>
            <w:tcW w:w="990" w:type="dxa"/>
            <w:shd w:val="clear" w:color="auto" w:fill="A5CD7E"/>
            <w:vAlign w:val="center"/>
          </w:tcPr>
          <w:p w:rsidR="001528AA" w:rsidRPr="007370C9" w:rsidRDefault="001528AA" w:rsidP="007370C9">
            <w:pPr>
              <w:spacing w:before="120"/>
              <w:jc w:val="center"/>
              <w:rPr>
                <w:b/>
              </w:rPr>
            </w:pPr>
            <w:r w:rsidRPr="007370C9">
              <w:rPr>
                <w:b/>
              </w:rPr>
              <w:t>2012</w:t>
            </w:r>
          </w:p>
        </w:tc>
        <w:tc>
          <w:tcPr>
            <w:tcW w:w="990" w:type="dxa"/>
            <w:shd w:val="clear" w:color="auto" w:fill="A5CD7E"/>
            <w:vAlign w:val="center"/>
          </w:tcPr>
          <w:p w:rsidR="001528AA" w:rsidRPr="007370C9" w:rsidRDefault="001528AA" w:rsidP="007370C9">
            <w:pPr>
              <w:spacing w:before="120"/>
              <w:jc w:val="center"/>
              <w:rPr>
                <w:b/>
              </w:rPr>
            </w:pPr>
            <w:r w:rsidRPr="007370C9">
              <w:rPr>
                <w:b/>
              </w:rPr>
              <w:t>2013</w:t>
            </w:r>
          </w:p>
        </w:tc>
        <w:tc>
          <w:tcPr>
            <w:tcW w:w="992" w:type="dxa"/>
            <w:shd w:val="clear" w:color="auto" w:fill="A5CD7E"/>
            <w:vAlign w:val="center"/>
          </w:tcPr>
          <w:p w:rsidR="001528AA" w:rsidRPr="007370C9" w:rsidRDefault="001528AA" w:rsidP="007370C9">
            <w:pPr>
              <w:spacing w:before="120"/>
              <w:jc w:val="center"/>
              <w:rPr>
                <w:b/>
              </w:rPr>
            </w:pPr>
            <w:r w:rsidRPr="007370C9">
              <w:rPr>
                <w:b/>
              </w:rPr>
              <w:t>2014</w:t>
            </w:r>
          </w:p>
        </w:tc>
        <w:tc>
          <w:tcPr>
            <w:tcW w:w="856"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3B3444" w:rsidTr="00701DCF">
        <w:trPr>
          <w:cantSplit/>
          <w:trHeight w:val="20"/>
          <w:jc w:val="center"/>
        </w:trPr>
        <w:tc>
          <w:tcPr>
            <w:tcW w:w="268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PPL EU</w:t>
            </w:r>
          </w:p>
        </w:tc>
        <w:tc>
          <w:tcPr>
            <w:tcW w:w="997" w:type="dxa"/>
            <w:vAlign w:val="center"/>
          </w:tcPr>
          <w:p w:rsidR="001528AA" w:rsidRPr="003B3444" w:rsidRDefault="001528AA" w:rsidP="00701DCF">
            <w:pPr>
              <w:spacing w:after="0"/>
              <w:jc w:val="center"/>
              <w:rPr>
                <w:rFonts w:cs="Arial"/>
                <w:szCs w:val="24"/>
              </w:rPr>
            </w:pPr>
            <w:r w:rsidRPr="003B3444">
              <w:rPr>
                <w:rFonts w:cs="Arial"/>
                <w:szCs w:val="24"/>
              </w:rPr>
              <w:t>1.50</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1.01</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1.44</w:t>
            </w:r>
          </w:p>
        </w:tc>
        <w:tc>
          <w:tcPr>
            <w:tcW w:w="992" w:type="dxa"/>
            <w:vAlign w:val="center"/>
          </w:tcPr>
          <w:p w:rsidR="001528AA" w:rsidRPr="003B3444" w:rsidRDefault="001528AA" w:rsidP="00701DCF">
            <w:pPr>
              <w:spacing w:after="0"/>
              <w:jc w:val="center"/>
              <w:rPr>
                <w:rFonts w:cs="Arial"/>
                <w:szCs w:val="24"/>
              </w:rPr>
            </w:pPr>
            <w:r w:rsidRPr="003B3444">
              <w:rPr>
                <w:rFonts w:cs="Arial"/>
                <w:szCs w:val="24"/>
              </w:rPr>
              <w:t>1.16</w:t>
            </w:r>
          </w:p>
        </w:tc>
        <w:tc>
          <w:tcPr>
            <w:tcW w:w="856" w:type="dxa"/>
            <w:vAlign w:val="center"/>
          </w:tcPr>
          <w:p w:rsidR="001528AA" w:rsidRPr="003B3444" w:rsidRDefault="001528AA" w:rsidP="00701DCF">
            <w:pPr>
              <w:spacing w:after="0"/>
              <w:jc w:val="center"/>
              <w:rPr>
                <w:rFonts w:cs="Arial"/>
                <w:szCs w:val="24"/>
              </w:rPr>
            </w:pPr>
            <w:r w:rsidRPr="003B3444">
              <w:rPr>
                <w:rFonts w:cs="Arial"/>
                <w:szCs w:val="24"/>
              </w:rPr>
              <w:t>1.1</w:t>
            </w:r>
          </w:p>
        </w:tc>
      </w:tr>
      <w:tr w:rsidR="001528AA" w:rsidRPr="003B3444" w:rsidTr="00701DCF">
        <w:trPr>
          <w:cantSplit/>
          <w:trHeight w:val="20"/>
          <w:jc w:val="center"/>
        </w:trPr>
        <w:tc>
          <w:tcPr>
            <w:tcW w:w="268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Distribution Operations</w:t>
            </w:r>
          </w:p>
        </w:tc>
        <w:tc>
          <w:tcPr>
            <w:tcW w:w="997" w:type="dxa"/>
            <w:vAlign w:val="center"/>
          </w:tcPr>
          <w:p w:rsidR="001528AA" w:rsidRPr="003B3444" w:rsidRDefault="001528AA" w:rsidP="00701DCF">
            <w:pPr>
              <w:spacing w:after="0"/>
              <w:jc w:val="center"/>
              <w:rPr>
                <w:rFonts w:cs="Arial"/>
                <w:szCs w:val="24"/>
              </w:rPr>
            </w:pPr>
            <w:r w:rsidRPr="003B3444">
              <w:rPr>
                <w:rFonts w:cs="Arial"/>
                <w:szCs w:val="24"/>
              </w:rPr>
              <w:t>2.13</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1.35</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1.96</w:t>
            </w:r>
          </w:p>
        </w:tc>
        <w:tc>
          <w:tcPr>
            <w:tcW w:w="992" w:type="dxa"/>
            <w:vAlign w:val="center"/>
          </w:tcPr>
          <w:p w:rsidR="001528AA" w:rsidRPr="003B3444" w:rsidRDefault="001528AA" w:rsidP="00701DCF">
            <w:pPr>
              <w:spacing w:after="0"/>
              <w:jc w:val="center"/>
              <w:rPr>
                <w:rFonts w:cs="Arial"/>
                <w:szCs w:val="24"/>
              </w:rPr>
            </w:pPr>
            <w:r w:rsidRPr="003B3444">
              <w:rPr>
                <w:rFonts w:cs="Arial"/>
                <w:szCs w:val="24"/>
              </w:rPr>
              <w:t>1.67</w:t>
            </w:r>
          </w:p>
        </w:tc>
        <w:tc>
          <w:tcPr>
            <w:tcW w:w="856" w:type="dxa"/>
            <w:vAlign w:val="center"/>
          </w:tcPr>
          <w:p w:rsidR="001528AA" w:rsidRPr="003B3444" w:rsidRDefault="001528AA" w:rsidP="00701DCF">
            <w:pPr>
              <w:spacing w:after="0"/>
              <w:jc w:val="center"/>
              <w:rPr>
                <w:rFonts w:cs="Arial"/>
                <w:szCs w:val="24"/>
              </w:rPr>
            </w:pPr>
            <w:r w:rsidRPr="003B3444">
              <w:rPr>
                <w:rFonts w:cs="Arial"/>
                <w:szCs w:val="24"/>
              </w:rPr>
              <w:t>1.4</w:t>
            </w:r>
          </w:p>
        </w:tc>
      </w:tr>
      <w:tr w:rsidR="001528AA" w:rsidRPr="003B3444" w:rsidTr="00701DCF">
        <w:trPr>
          <w:cantSplit/>
          <w:trHeight w:val="20"/>
          <w:jc w:val="center"/>
        </w:trPr>
        <w:tc>
          <w:tcPr>
            <w:tcW w:w="268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Transmission and Substations</w:t>
            </w:r>
          </w:p>
        </w:tc>
        <w:tc>
          <w:tcPr>
            <w:tcW w:w="997" w:type="dxa"/>
            <w:vAlign w:val="center"/>
          </w:tcPr>
          <w:p w:rsidR="001528AA" w:rsidRPr="003B3444" w:rsidRDefault="001528AA" w:rsidP="00701DCF">
            <w:pPr>
              <w:spacing w:after="0"/>
              <w:jc w:val="center"/>
              <w:rPr>
                <w:rFonts w:cs="Arial"/>
                <w:szCs w:val="24"/>
              </w:rPr>
            </w:pPr>
            <w:r w:rsidRPr="003B3444">
              <w:rPr>
                <w:rFonts w:cs="Arial"/>
                <w:szCs w:val="24"/>
              </w:rPr>
              <w:t>0</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0</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0</w:t>
            </w:r>
          </w:p>
        </w:tc>
        <w:tc>
          <w:tcPr>
            <w:tcW w:w="992" w:type="dxa"/>
            <w:vAlign w:val="center"/>
          </w:tcPr>
          <w:p w:rsidR="001528AA" w:rsidRPr="003B3444" w:rsidRDefault="001528AA" w:rsidP="00701DCF">
            <w:pPr>
              <w:spacing w:after="0"/>
              <w:jc w:val="center"/>
              <w:rPr>
                <w:rFonts w:cs="Arial"/>
                <w:szCs w:val="24"/>
              </w:rPr>
            </w:pPr>
            <w:r w:rsidRPr="003B3444">
              <w:rPr>
                <w:rFonts w:cs="Arial"/>
                <w:szCs w:val="24"/>
              </w:rPr>
              <w:t>0</w:t>
            </w:r>
          </w:p>
        </w:tc>
        <w:tc>
          <w:tcPr>
            <w:tcW w:w="856" w:type="dxa"/>
            <w:vAlign w:val="center"/>
          </w:tcPr>
          <w:p w:rsidR="001528AA" w:rsidRPr="003B3444" w:rsidRDefault="001528AA" w:rsidP="00701DCF">
            <w:pPr>
              <w:spacing w:after="0"/>
              <w:jc w:val="center"/>
              <w:rPr>
                <w:rFonts w:cs="Arial"/>
                <w:szCs w:val="24"/>
              </w:rPr>
            </w:pPr>
            <w:r w:rsidRPr="003B3444">
              <w:rPr>
                <w:rFonts w:cs="Arial"/>
                <w:szCs w:val="24"/>
              </w:rPr>
              <w:t>0</w:t>
            </w:r>
          </w:p>
        </w:tc>
      </w:tr>
      <w:tr w:rsidR="001528AA" w:rsidRPr="003B3444" w:rsidTr="00701DCF">
        <w:trPr>
          <w:cantSplit/>
          <w:trHeight w:val="20"/>
          <w:jc w:val="center"/>
        </w:trPr>
        <w:tc>
          <w:tcPr>
            <w:tcW w:w="7514" w:type="dxa"/>
            <w:gridSpan w:val="6"/>
            <w:vAlign w:val="center"/>
          </w:tcPr>
          <w:p w:rsidR="001528AA" w:rsidRPr="003B3444" w:rsidRDefault="001528AA" w:rsidP="00701DCF">
            <w:pPr>
              <w:spacing w:after="0"/>
              <w:jc w:val="left"/>
              <w:rPr>
                <w:rFonts w:cs="Arial"/>
                <w:szCs w:val="24"/>
              </w:rPr>
            </w:pPr>
            <w:r w:rsidRPr="003B3444">
              <w:rPr>
                <w:rFonts w:cs="Arial"/>
                <w:szCs w:val="24"/>
              </w:rPr>
              <w:t>Source: DN 01-073</w:t>
            </w:r>
          </w:p>
        </w:tc>
      </w:tr>
    </w:tbl>
    <w:p w:rsidR="001528AA" w:rsidRPr="003B3444" w:rsidRDefault="001528AA" w:rsidP="00701DCF">
      <w:pPr>
        <w:pStyle w:val="Normal-aftertable"/>
      </w:pPr>
      <w:r w:rsidRPr="003B3444">
        <w:lastRenderedPageBreak/>
        <w:t>Although performance has generally improved, 2014 PPL EU DART results were above the median among participants in the 2014 Edison Electric Institute (EEI) Safety Survey, the 2014 Public Service Electric &amp; Gas (PSEG) Benchmarking Report, and the First Quarter 2015 Southeast Electric Exchange survey results.</w:t>
      </w:r>
    </w:p>
    <w:p w:rsidR="001528AA" w:rsidRPr="003B3444" w:rsidRDefault="001528AA" w:rsidP="00701DCF">
      <w:pPr>
        <w:rPr>
          <w:rFonts w:cs="Arial"/>
          <w:szCs w:val="24"/>
        </w:rPr>
      </w:pPr>
      <w:r w:rsidRPr="003B3444">
        <w:rPr>
          <w:rFonts w:cs="Arial"/>
          <w:szCs w:val="24"/>
        </w:rPr>
        <w:t>As noted in the earlier finding, PPL has initiated several key programs and initiatives to more fully engage employees in performing work safely and embracing personal responsibility for safety.  Continued emphasis of these programs should help PPL move towards its goal of first quartile safety performance.</w:t>
      </w:r>
    </w:p>
    <w:p w:rsidR="001528AA" w:rsidRPr="003B3444" w:rsidRDefault="001528AA" w:rsidP="00701DCF">
      <w:pPr>
        <w:rPr>
          <w:rFonts w:cs="Arial"/>
          <w:szCs w:val="24"/>
        </w:rPr>
      </w:pPr>
      <w:r w:rsidRPr="003B3444">
        <w:rPr>
          <w:rFonts w:cs="Arial"/>
          <w:szCs w:val="24"/>
        </w:rPr>
        <w:t>PPL EU also tracks contractor DART performance as shown in the following exhibit.</w:t>
      </w:r>
    </w:p>
    <w:p w:rsidR="001528AA" w:rsidRPr="003B3444" w:rsidRDefault="00ED6D61" w:rsidP="00ED6D61">
      <w:pPr>
        <w:pStyle w:val="Caption"/>
      </w:pPr>
      <w:bookmarkStart w:id="207" w:name="_Toc464553003"/>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3</w:t>
      </w:r>
      <w:r w:rsidR="00CB2B2A">
        <w:rPr>
          <w:noProof/>
        </w:rPr>
        <w:fldChar w:fldCharType="end"/>
      </w:r>
      <w:r w:rsidR="003907AC">
        <w:br/>
      </w:r>
      <w:r w:rsidR="001528AA" w:rsidRPr="003B3444">
        <w:t>PPL EU Contractor DART Performance 2011</w:t>
      </w:r>
      <w:r w:rsidR="006458AD">
        <w:t>–</w:t>
      </w:r>
      <w:r w:rsidR="001528AA" w:rsidRPr="003B3444">
        <w:t>2015</w:t>
      </w:r>
      <w:bookmarkEnd w:id="2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6"/>
        <w:gridCol w:w="967"/>
        <w:gridCol w:w="990"/>
        <w:gridCol w:w="990"/>
        <w:gridCol w:w="946"/>
        <w:gridCol w:w="944"/>
      </w:tblGrid>
      <w:tr w:rsidR="001528AA" w:rsidRPr="007370C9" w:rsidTr="00643507">
        <w:trPr>
          <w:cantSplit/>
          <w:trHeight w:val="20"/>
          <w:tblHeader/>
          <w:jc w:val="center"/>
        </w:trPr>
        <w:tc>
          <w:tcPr>
            <w:tcW w:w="2386" w:type="dxa"/>
            <w:shd w:val="clear" w:color="auto" w:fill="A5CD7E"/>
            <w:vAlign w:val="center"/>
          </w:tcPr>
          <w:p w:rsidR="001528AA" w:rsidRPr="007370C9" w:rsidRDefault="001528AA" w:rsidP="007370C9">
            <w:pPr>
              <w:spacing w:before="120"/>
              <w:jc w:val="center"/>
              <w:rPr>
                <w:b/>
              </w:rPr>
            </w:pPr>
            <w:r w:rsidRPr="007370C9">
              <w:rPr>
                <w:b/>
              </w:rPr>
              <w:t>DART Rate</w:t>
            </w:r>
          </w:p>
        </w:tc>
        <w:tc>
          <w:tcPr>
            <w:tcW w:w="967" w:type="dxa"/>
            <w:shd w:val="clear" w:color="auto" w:fill="A5CD7E"/>
            <w:vAlign w:val="center"/>
          </w:tcPr>
          <w:p w:rsidR="001528AA" w:rsidRPr="007370C9" w:rsidRDefault="001528AA" w:rsidP="007370C9">
            <w:pPr>
              <w:spacing w:before="120"/>
              <w:jc w:val="center"/>
              <w:rPr>
                <w:b/>
              </w:rPr>
            </w:pPr>
            <w:r w:rsidRPr="007370C9">
              <w:rPr>
                <w:b/>
              </w:rPr>
              <w:t>2011</w:t>
            </w:r>
          </w:p>
        </w:tc>
        <w:tc>
          <w:tcPr>
            <w:tcW w:w="990" w:type="dxa"/>
            <w:shd w:val="clear" w:color="auto" w:fill="A5CD7E"/>
            <w:vAlign w:val="center"/>
          </w:tcPr>
          <w:p w:rsidR="001528AA" w:rsidRPr="007370C9" w:rsidRDefault="001528AA" w:rsidP="007370C9">
            <w:pPr>
              <w:spacing w:before="120"/>
              <w:jc w:val="center"/>
              <w:rPr>
                <w:b/>
              </w:rPr>
            </w:pPr>
            <w:r w:rsidRPr="007370C9">
              <w:rPr>
                <w:b/>
              </w:rPr>
              <w:t>2012</w:t>
            </w:r>
          </w:p>
        </w:tc>
        <w:tc>
          <w:tcPr>
            <w:tcW w:w="990" w:type="dxa"/>
            <w:shd w:val="clear" w:color="auto" w:fill="A5CD7E"/>
            <w:vAlign w:val="center"/>
          </w:tcPr>
          <w:p w:rsidR="001528AA" w:rsidRPr="007370C9" w:rsidRDefault="001528AA" w:rsidP="007370C9">
            <w:pPr>
              <w:spacing w:before="120"/>
              <w:jc w:val="center"/>
              <w:rPr>
                <w:b/>
              </w:rPr>
            </w:pPr>
            <w:r w:rsidRPr="007370C9">
              <w:rPr>
                <w:b/>
              </w:rPr>
              <w:t>2013</w:t>
            </w:r>
          </w:p>
        </w:tc>
        <w:tc>
          <w:tcPr>
            <w:tcW w:w="946" w:type="dxa"/>
            <w:shd w:val="clear" w:color="auto" w:fill="A5CD7E"/>
            <w:vAlign w:val="center"/>
          </w:tcPr>
          <w:p w:rsidR="001528AA" w:rsidRPr="007370C9" w:rsidRDefault="001528AA" w:rsidP="007370C9">
            <w:pPr>
              <w:spacing w:before="120"/>
              <w:jc w:val="center"/>
              <w:rPr>
                <w:b/>
              </w:rPr>
            </w:pPr>
            <w:r w:rsidRPr="007370C9">
              <w:rPr>
                <w:b/>
              </w:rPr>
              <w:t>2014</w:t>
            </w:r>
          </w:p>
        </w:tc>
        <w:tc>
          <w:tcPr>
            <w:tcW w:w="944"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3B3444" w:rsidTr="00701DCF">
        <w:trPr>
          <w:cantSplit/>
          <w:trHeight w:val="20"/>
          <w:jc w:val="center"/>
        </w:trPr>
        <w:tc>
          <w:tcPr>
            <w:tcW w:w="2386"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Major Contractors</w:t>
            </w:r>
          </w:p>
        </w:tc>
        <w:tc>
          <w:tcPr>
            <w:tcW w:w="967" w:type="dxa"/>
            <w:vAlign w:val="center"/>
          </w:tcPr>
          <w:p w:rsidR="001528AA" w:rsidRPr="003B3444" w:rsidRDefault="001528AA" w:rsidP="00701DCF">
            <w:pPr>
              <w:spacing w:after="0"/>
              <w:jc w:val="center"/>
              <w:rPr>
                <w:rFonts w:cs="Arial"/>
                <w:szCs w:val="24"/>
              </w:rPr>
            </w:pPr>
            <w:r w:rsidRPr="003B3444">
              <w:rPr>
                <w:rFonts w:cs="Arial"/>
                <w:szCs w:val="24"/>
              </w:rPr>
              <w:t>2.14</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1.26</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1.09</w:t>
            </w:r>
          </w:p>
        </w:tc>
        <w:tc>
          <w:tcPr>
            <w:tcW w:w="946" w:type="dxa"/>
            <w:vAlign w:val="center"/>
          </w:tcPr>
          <w:p w:rsidR="001528AA" w:rsidRPr="003B3444" w:rsidRDefault="001528AA" w:rsidP="00701DCF">
            <w:pPr>
              <w:spacing w:after="0"/>
              <w:jc w:val="center"/>
              <w:rPr>
                <w:rFonts w:cs="Arial"/>
                <w:szCs w:val="24"/>
              </w:rPr>
            </w:pPr>
            <w:r>
              <w:rPr>
                <w:rFonts w:cs="Arial"/>
                <w:szCs w:val="24"/>
              </w:rPr>
              <w:t>0</w:t>
            </w:r>
            <w:r w:rsidRPr="003B3444">
              <w:rPr>
                <w:rFonts w:cs="Arial"/>
                <w:szCs w:val="24"/>
              </w:rPr>
              <w:t>.68</w:t>
            </w:r>
          </w:p>
        </w:tc>
        <w:tc>
          <w:tcPr>
            <w:tcW w:w="944" w:type="dxa"/>
            <w:vAlign w:val="center"/>
          </w:tcPr>
          <w:p w:rsidR="001528AA" w:rsidRPr="003B3444" w:rsidRDefault="001528AA" w:rsidP="00701DCF">
            <w:pPr>
              <w:spacing w:after="0"/>
              <w:jc w:val="center"/>
              <w:rPr>
                <w:rFonts w:cs="Arial"/>
                <w:szCs w:val="24"/>
              </w:rPr>
            </w:pPr>
            <w:r>
              <w:rPr>
                <w:rFonts w:cs="Arial"/>
                <w:szCs w:val="24"/>
              </w:rPr>
              <w:t>0</w:t>
            </w:r>
            <w:r w:rsidRPr="003B3444">
              <w:rPr>
                <w:rFonts w:cs="Arial"/>
                <w:szCs w:val="24"/>
              </w:rPr>
              <w:t>.66*</w:t>
            </w:r>
          </w:p>
        </w:tc>
      </w:tr>
      <w:tr w:rsidR="001528AA" w:rsidRPr="003B3444" w:rsidTr="00701DCF">
        <w:trPr>
          <w:cantSplit/>
          <w:trHeight w:val="20"/>
          <w:jc w:val="center"/>
        </w:trPr>
        <w:tc>
          <w:tcPr>
            <w:tcW w:w="7223" w:type="dxa"/>
            <w:gridSpan w:val="6"/>
            <w:vAlign w:val="center"/>
          </w:tcPr>
          <w:p w:rsidR="001528AA" w:rsidRPr="003B3444" w:rsidRDefault="001528AA" w:rsidP="00701DCF">
            <w:pPr>
              <w:spacing w:after="0"/>
              <w:jc w:val="left"/>
              <w:rPr>
                <w:rFonts w:cs="Arial"/>
                <w:szCs w:val="24"/>
              </w:rPr>
            </w:pPr>
            <w:r w:rsidRPr="003B3444">
              <w:rPr>
                <w:rFonts w:cs="Arial"/>
                <w:szCs w:val="24"/>
              </w:rPr>
              <w:t>* 2015 includes Facilities Management contractors</w:t>
            </w:r>
          </w:p>
        </w:tc>
      </w:tr>
      <w:tr w:rsidR="001528AA" w:rsidRPr="003B3444" w:rsidTr="00701DCF">
        <w:trPr>
          <w:cantSplit/>
          <w:trHeight w:val="20"/>
          <w:jc w:val="center"/>
        </w:trPr>
        <w:tc>
          <w:tcPr>
            <w:tcW w:w="7223" w:type="dxa"/>
            <w:gridSpan w:val="6"/>
            <w:vAlign w:val="center"/>
          </w:tcPr>
          <w:p w:rsidR="001528AA" w:rsidRPr="003B3444" w:rsidRDefault="001528AA" w:rsidP="00701DCF">
            <w:pPr>
              <w:spacing w:after="0"/>
              <w:jc w:val="left"/>
              <w:rPr>
                <w:rFonts w:cs="Arial"/>
                <w:szCs w:val="24"/>
              </w:rPr>
            </w:pPr>
            <w:r w:rsidRPr="003B3444">
              <w:rPr>
                <w:rFonts w:cs="Arial"/>
                <w:szCs w:val="24"/>
              </w:rPr>
              <w:t>Source: DN 01-026, 2010-2014</w:t>
            </w:r>
          </w:p>
        </w:tc>
      </w:tr>
    </w:tbl>
    <w:p w:rsidR="001528AA" w:rsidRPr="003B3444" w:rsidRDefault="001528AA" w:rsidP="00701DCF">
      <w:pPr>
        <w:pStyle w:val="Normal-aftertable"/>
      </w:pPr>
      <w:r w:rsidRPr="003B3444">
        <w:t>The number and types of contractors included in this metric has varied somewhat but is largely based on primary contract tree trimming crews and line construction crews.  Contractor safety performance has shown relatively steady improvement over the measurement period.  Based on the 2014 surveys noted above, the 2014 contractor DART performance would be below the median, a favorable result.</w:t>
      </w:r>
    </w:p>
    <w:p w:rsidR="001528AA" w:rsidRPr="003B3444" w:rsidRDefault="001528AA" w:rsidP="00B86FA4">
      <w:pPr>
        <w:pStyle w:val="Findings"/>
        <w:numPr>
          <w:ilvl w:val="0"/>
          <w:numId w:val="35"/>
        </w:numPr>
      </w:pPr>
      <w:r w:rsidRPr="003B3444">
        <w:t>The PPL EU Motor Vehicle Accident Rate is high.</w:t>
      </w:r>
    </w:p>
    <w:p w:rsidR="001528AA" w:rsidRPr="003B3444" w:rsidRDefault="001528AA" w:rsidP="00701DCF">
      <w:pPr>
        <w:rPr>
          <w:rFonts w:cs="Arial"/>
          <w:szCs w:val="24"/>
        </w:rPr>
      </w:pPr>
      <w:r w:rsidRPr="003B3444">
        <w:rPr>
          <w:rFonts w:cs="Arial"/>
          <w:szCs w:val="24"/>
        </w:rPr>
        <w:t>The following exhibit shows the number of vehicle accidents normalized for mileage driven.</w:t>
      </w:r>
    </w:p>
    <w:p w:rsidR="001528AA" w:rsidRPr="003B3444" w:rsidRDefault="00ED6D61" w:rsidP="00ED6D61">
      <w:pPr>
        <w:pStyle w:val="Caption"/>
      </w:pPr>
      <w:bookmarkStart w:id="208" w:name="_Toc464553004"/>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4</w:t>
      </w:r>
      <w:r w:rsidR="00CB2B2A">
        <w:rPr>
          <w:noProof/>
        </w:rPr>
        <w:fldChar w:fldCharType="end"/>
      </w:r>
      <w:r w:rsidR="003907AC">
        <w:br/>
      </w:r>
      <w:r w:rsidR="001528AA" w:rsidRPr="003B3444">
        <w:t>PPL EU Motor Vehicle Accident Rate 2011</w:t>
      </w:r>
      <w:r w:rsidR="006458AD">
        <w:t>–</w:t>
      </w:r>
      <w:r w:rsidR="001528AA" w:rsidRPr="003B3444">
        <w:t>2015</w:t>
      </w:r>
      <w:bookmarkEnd w:id="2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69"/>
        <w:gridCol w:w="922"/>
        <w:gridCol w:w="968"/>
        <w:gridCol w:w="990"/>
        <w:gridCol w:w="990"/>
        <w:gridCol w:w="906"/>
      </w:tblGrid>
      <w:tr w:rsidR="001528AA" w:rsidRPr="007370C9" w:rsidTr="00643507">
        <w:trPr>
          <w:cantSplit/>
          <w:trHeight w:val="20"/>
          <w:tblHeader/>
          <w:jc w:val="center"/>
        </w:trPr>
        <w:tc>
          <w:tcPr>
            <w:tcW w:w="2869" w:type="dxa"/>
            <w:shd w:val="clear" w:color="auto" w:fill="A5CD7E"/>
            <w:vAlign w:val="center"/>
          </w:tcPr>
          <w:p w:rsidR="001528AA" w:rsidRPr="007370C9" w:rsidRDefault="001528AA" w:rsidP="007370C9">
            <w:pPr>
              <w:spacing w:before="120"/>
              <w:jc w:val="center"/>
              <w:rPr>
                <w:b/>
              </w:rPr>
            </w:pPr>
            <w:r w:rsidRPr="007370C9">
              <w:rPr>
                <w:b/>
              </w:rPr>
              <w:t>MVA Rate</w:t>
            </w:r>
          </w:p>
        </w:tc>
        <w:tc>
          <w:tcPr>
            <w:tcW w:w="922" w:type="dxa"/>
            <w:shd w:val="clear" w:color="auto" w:fill="A5CD7E"/>
            <w:vAlign w:val="center"/>
          </w:tcPr>
          <w:p w:rsidR="001528AA" w:rsidRPr="007370C9" w:rsidRDefault="001528AA" w:rsidP="007370C9">
            <w:pPr>
              <w:spacing w:before="120"/>
              <w:jc w:val="center"/>
              <w:rPr>
                <w:b/>
              </w:rPr>
            </w:pPr>
            <w:r w:rsidRPr="007370C9">
              <w:rPr>
                <w:b/>
              </w:rPr>
              <w:t>2011</w:t>
            </w:r>
          </w:p>
        </w:tc>
        <w:tc>
          <w:tcPr>
            <w:tcW w:w="968" w:type="dxa"/>
            <w:shd w:val="clear" w:color="auto" w:fill="A5CD7E"/>
            <w:vAlign w:val="center"/>
          </w:tcPr>
          <w:p w:rsidR="001528AA" w:rsidRPr="007370C9" w:rsidRDefault="001528AA" w:rsidP="007370C9">
            <w:pPr>
              <w:spacing w:before="120"/>
              <w:jc w:val="center"/>
              <w:rPr>
                <w:b/>
              </w:rPr>
            </w:pPr>
            <w:r w:rsidRPr="007370C9">
              <w:rPr>
                <w:b/>
              </w:rPr>
              <w:t>2012</w:t>
            </w:r>
          </w:p>
        </w:tc>
        <w:tc>
          <w:tcPr>
            <w:tcW w:w="990" w:type="dxa"/>
            <w:shd w:val="clear" w:color="auto" w:fill="A5CD7E"/>
            <w:vAlign w:val="center"/>
          </w:tcPr>
          <w:p w:rsidR="001528AA" w:rsidRPr="007370C9" w:rsidRDefault="001528AA" w:rsidP="007370C9">
            <w:pPr>
              <w:spacing w:before="120"/>
              <w:jc w:val="center"/>
              <w:rPr>
                <w:b/>
              </w:rPr>
            </w:pPr>
            <w:r w:rsidRPr="007370C9">
              <w:rPr>
                <w:b/>
              </w:rPr>
              <w:t>2013</w:t>
            </w:r>
          </w:p>
        </w:tc>
        <w:tc>
          <w:tcPr>
            <w:tcW w:w="990" w:type="dxa"/>
            <w:shd w:val="clear" w:color="auto" w:fill="A5CD7E"/>
            <w:vAlign w:val="center"/>
          </w:tcPr>
          <w:p w:rsidR="001528AA" w:rsidRPr="007370C9" w:rsidRDefault="001528AA" w:rsidP="007370C9">
            <w:pPr>
              <w:spacing w:before="120"/>
              <w:jc w:val="center"/>
              <w:rPr>
                <w:b/>
              </w:rPr>
            </w:pPr>
            <w:r w:rsidRPr="007370C9">
              <w:rPr>
                <w:b/>
              </w:rPr>
              <w:t>2014</w:t>
            </w:r>
          </w:p>
        </w:tc>
        <w:tc>
          <w:tcPr>
            <w:tcW w:w="906"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3B3444" w:rsidTr="00701DCF">
        <w:trPr>
          <w:cantSplit/>
          <w:trHeight w:val="20"/>
          <w:jc w:val="center"/>
        </w:trPr>
        <w:tc>
          <w:tcPr>
            <w:tcW w:w="286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PPL EU</w:t>
            </w:r>
          </w:p>
        </w:tc>
        <w:tc>
          <w:tcPr>
            <w:tcW w:w="922" w:type="dxa"/>
            <w:vAlign w:val="center"/>
          </w:tcPr>
          <w:p w:rsidR="001528AA" w:rsidRPr="003B3444" w:rsidRDefault="001528AA" w:rsidP="00701DCF">
            <w:pPr>
              <w:spacing w:after="0"/>
              <w:jc w:val="center"/>
              <w:rPr>
                <w:rFonts w:cs="Arial"/>
                <w:szCs w:val="24"/>
              </w:rPr>
            </w:pPr>
            <w:r w:rsidRPr="003B3444">
              <w:rPr>
                <w:rFonts w:cs="Arial"/>
                <w:szCs w:val="24"/>
              </w:rPr>
              <w:t>7.34</w:t>
            </w:r>
          </w:p>
        </w:tc>
        <w:tc>
          <w:tcPr>
            <w:tcW w:w="968" w:type="dxa"/>
            <w:vAlign w:val="center"/>
          </w:tcPr>
          <w:p w:rsidR="001528AA" w:rsidRPr="003B3444" w:rsidRDefault="001528AA" w:rsidP="00701DCF">
            <w:pPr>
              <w:spacing w:after="0"/>
              <w:jc w:val="center"/>
              <w:rPr>
                <w:rFonts w:cs="Arial"/>
                <w:szCs w:val="24"/>
              </w:rPr>
            </w:pPr>
            <w:r w:rsidRPr="003B3444">
              <w:rPr>
                <w:rFonts w:cs="Arial"/>
                <w:szCs w:val="24"/>
              </w:rPr>
              <w:t>10.42</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12.25</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13.75</w:t>
            </w:r>
          </w:p>
        </w:tc>
        <w:tc>
          <w:tcPr>
            <w:tcW w:w="906" w:type="dxa"/>
            <w:vAlign w:val="center"/>
          </w:tcPr>
          <w:p w:rsidR="001528AA" w:rsidRPr="003B3444" w:rsidRDefault="001528AA" w:rsidP="00701DCF">
            <w:pPr>
              <w:spacing w:after="0"/>
              <w:jc w:val="center"/>
              <w:rPr>
                <w:rFonts w:cs="Arial"/>
                <w:szCs w:val="24"/>
              </w:rPr>
            </w:pPr>
            <w:r w:rsidRPr="003B3444">
              <w:rPr>
                <w:rFonts w:cs="Arial"/>
                <w:szCs w:val="24"/>
              </w:rPr>
              <w:t>10.42</w:t>
            </w:r>
          </w:p>
        </w:tc>
      </w:tr>
      <w:tr w:rsidR="001528AA" w:rsidRPr="003B3444" w:rsidTr="00701DCF">
        <w:trPr>
          <w:cantSplit/>
          <w:trHeight w:val="20"/>
          <w:jc w:val="center"/>
        </w:trPr>
        <w:tc>
          <w:tcPr>
            <w:tcW w:w="286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Distribution Operations</w:t>
            </w:r>
          </w:p>
        </w:tc>
        <w:tc>
          <w:tcPr>
            <w:tcW w:w="922" w:type="dxa"/>
            <w:vAlign w:val="center"/>
          </w:tcPr>
          <w:p w:rsidR="001528AA" w:rsidRPr="003B3444" w:rsidRDefault="001528AA" w:rsidP="00701DCF">
            <w:pPr>
              <w:spacing w:after="0"/>
              <w:jc w:val="center"/>
              <w:rPr>
                <w:rFonts w:cs="Arial"/>
                <w:szCs w:val="24"/>
              </w:rPr>
            </w:pPr>
            <w:r w:rsidRPr="003B3444">
              <w:rPr>
                <w:rFonts w:cs="Arial"/>
                <w:szCs w:val="24"/>
              </w:rPr>
              <w:t>7.75</w:t>
            </w:r>
          </w:p>
        </w:tc>
        <w:tc>
          <w:tcPr>
            <w:tcW w:w="968" w:type="dxa"/>
            <w:vAlign w:val="center"/>
          </w:tcPr>
          <w:p w:rsidR="001528AA" w:rsidRPr="003B3444" w:rsidRDefault="001528AA" w:rsidP="00701DCF">
            <w:pPr>
              <w:spacing w:after="0"/>
              <w:jc w:val="center"/>
              <w:rPr>
                <w:rFonts w:cs="Arial"/>
                <w:szCs w:val="24"/>
              </w:rPr>
            </w:pPr>
            <w:r w:rsidRPr="003B3444">
              <w:rPr>
                <w:rFonts w:cs="Arial"/>
                <w:szCs w:val="24"/>
              </w:rPr>
              <w:t>11.68</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13.9</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15.62</w:t>
            </w:r>
          </w:p>
        </w:tc>
        <w:tc>
          <w:tcPr>
            <w:tcW w:w="906" w:type="dxa"/>
            <w:vAlign w:val="center"/>
          </w:tcPr>
          <w:p w:rsidR="001528AA" w:rsidRPr="003B3444" w:rsidRDefault="001528AA" w:rsidP="00701DCF">
            <w:pPr>
              <w:spacing w:after="0"/>
              <w:jc w:val="center"/>
              <w:rPr>
                <w:rFonts w:cs="Arial"/>
                <w:szCs w:val="24"/>
              </w:rPr>
            </w:pPr>
            <w:r w:rsidRPr="003B3444">
              <w:rPr>
                <w:rFonts w:cs="Arial"/>
                <w:szCs w:val="24"/>
              </w:rPr>
              <w:t>10.85</w:t>
            </w:r>
          </w:p>
        </w:tc>
      </w:tr>
      <w:tr w:rsidR="001528AA" w:rsidRPr="003B3444" w:rsidTr="00701DCF">
        <w:trPr>
          <w:cantSplit/>
          <w:trHeight w:val="20"/>
          <w:jc w:val="center"/>
        </w:trPr>
        <w:tc>
          <w:tcPr>
            <w:tcW w:w="2869" w:type="dxa"/>
            <w:shd w:val="clear" w:color="auto" w:fill="auto"/>
            <w:vAlign w:val="center"/>
          </w:tcPr>
          <w:p w:rsidR="001528AA" w:rsidRPr="003B3444" w:rsidRDefault="001528AA" w:rsidP="00701DCF">
            <w:pPr>
              <w:spacing w:after="0"/>
              <w:jc w:val="center"/>
              <w:rPr>
                <w:rFonts w:cs="Arial"/>
                <w:szCs w:val="24"/>
              </w:rPr>
            </w:pPr>
            <w:r w:rsidRPr="003B3444">
              <w:rPr>
                <w:rFonts w:cs="Arial"/>
                <w:szCs w:val="24"/>
              </w:rPr>
              <w:t>Transmission and Substations</w:t>
            </w:r>
          </w:p>
        </w:tc>
        <w:tc>
          <w:tcPr>
            <w:tcW w:w="922" w:type="dxa"/>
            <w:vAlign w:val="center"/>
          </w:tcPr>
          <w:p w:rsidR="001528AA" w:rsidRPr="003B3444" w:rsidRDefault="001528AA" w:rsidP="00701DCF">
            <w:pPr>
              <w:spacing w:after="0"/>
              <w:jc w:val="center"/>
              <w:rPr>
                <w:rFonts w:cs="Arial"/>
                <w:szCs w:val="24"/>
              </w:rPr>
            </w:pPr>
            <w:r w:rsidRPr="003B3444">
              <w:rPr>
                <w:rFonts w:cs="Arial"/>
                <w:szCs w:val="24"/>
              </w:rPr>
              <w:t>1.82</w:t>
            </w:r>
          </w:p>
        </w:tc>
        <w:tc>
          <w:tcPr>
            <w:tcW w:w="968" w:type="dxa"/>
            <w:vAlign w:val="center"/>
          </w:tcPr>
          <w:p w:rsidR="001528AA" w:rsidRPr="003B3444" w:rsidRDefault="001528AA" w:rsidP="00701DCF">
            <w:pPr>
              <w:spacing w:after="0"/>
              <w:jc w:val="center"/>
              <w:rPr>
                <w:rFonts w:cs="Arial"/>
                <w:szCs w:val="24"/>
              </w:rPr>
            </w:pPr>
            <w:r w:rsidRPr="003B3444">
              <w:rPr>
                <w:rFonts w:cs="Arial"/>
                <w:szCs w:val="24"/>
              </w:rPr>
              <w:t>3.5</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5.73</w:t>
            </w:r>
          </w:p>
        </w:tc>
        <w:tc>
          <w:tcPr>
            <w:tcW w:w="990" w:type="dxa"/>
            <w:vAlign w:val="center"/>
          </w:tcPr>
          <w:p w:rsidR="001528AA" w:rsidRPr="003B3444" w:rsidRDefault="001528AA" w:rsidP="00701DCF">
            <w:pPr>
              <w:spacing w:after="0"/>
              <w:jc w:val="center"/>
              <w:rPr>
                <w:rFonts w:cs="Arial"/>
                <w:szCs w:val="24"/>
              </w:rPr>
            </w:pPr>
            <w:r w:rsidRPr="003B3444">
              <w:rPr>
                <w:rFonts w:cs="Arial"/>
                <w:szCs w:val="24"/>
              </w:rPr>
              <w:t>11.71</w:t>
            </w:r>
          </w:p>
        </w:tc>
        <w:tc>
          <w:tcPr>
            <w:tcW w:w="906" w:type="dxa"/>
            <w:vAlign w:val="center"/>
          </w:tcPr>
          <w:p w:rsidR="001528AA" w:rsidRPr="003B3444" w:rsidRDefault="001528AA" w:rsidP="00701DCF">
            <w:pPr>
              <w:spacing w:after="0"/>
              <w:jc w:val="center"/>
              <w:rPr>
                <w:rFonts w:cs="Arial"/>
                <w:szCs w:val="24"/>
              </w:rPr>
            </w:pPr>
            <w:r w:rsidRPr="003B3444">
              <w:rPr>
                <w:rFonts w:cs="Arial"/>
                <w:szCs w:val="24"/>
              </w:rPr>
              <w:t>8.21</w:t>
            </w:r>
          </w:p>
        </w:tc>
      </w:tr>
      <w:tr w:rsidR="001528AA" w:rsidRPr="003B3444" w:rsidTr="00701DCF">
        <w:trPr>
          <w:cantSplit/>
          <w:trHeight w:val="20"/>
          <w:jc w:val="center"/>
        </w:trPr>
        <w:tc>
          <w:tcPr>
            <w:tcW w:w="7645" w:type="dxa"/>
            <w:gridSpan w:val="6"/>
            <w:vAlign w:val="center"/>
          </w:tcPr>
          <w:p w:rsidR="001528AA" w:rsidRPr="003B3444" w:rsidRDefault="001528AA" w:rsidP="00701DCF">
            <w:pPr>
              <w:spacing w:after="0"/>
              <w:jc w:val="left"/>
              <w:rPr>
                <w:rFonts w:cs="Arial"/>
                <w:szCs w:val="24"/>
              </w:rPr>
            </w:pPr>
            <w:r w:rsidRPr="003B3444">
              <w:rPr>
                <w:rFonts w:cs="Arial"/>
                <w:szCs w:val="24"/>
              </w:rPr>
              <w:t>Source: DN 01-073</w:t>
            </w:r>
          </w:p>
        </w:tc>
      </w:tr>
    </w:tbl>
    <w:p w:rsidR="001528AA" w:rsidRPr="003B3444" w:rsidRDefault="001528AA" w:rsidP="00701DCF">
      <w:pPr>
        <w:pStyle w:val="Normal-aftertable"/>
      </w:pPr>
      <w:r w:rsidRPr="003B3444">
        <w:t>PPL EU has historically tracked and reported preventable motor vehicle accidents which represent a subset of the numbers shown above.  PPL EU’s 2014 total motor vehicle accident rate was above the third quartile in the 2014 PSEG Benchmarking Report and the First Quarter 2015 Southeast Electric Exchange survey.  PPL EU’s 2014 preventable accident rate of 4.64 also is above the third quartile in both surveys.</w:t>
      </w:r>
    </w:p>
    <w:p w:rsidR="001528AA" w:rsidRPr="003B3444" w:rsidRDefault="001528AA" w:rsidP="00DD2818">
      <w:pPr>
        <w:pStyle w:val="Findings"/>
        <w:keepNext/>
        <w:numPr>
          <w:ilvl w:val="0"/>
          <w:numId w:val="35"/>
        </w:numPr>
      </w:pPr>
      <w:r w:rsidRPr="003B3444">
        <w:lastRenderedPageBreak/>
        <w:t>The Environmental Compliance group is using a spreadsheet to track permits.</w:t>
      </w:r>
    </w:p>
    <w:p w:rsidR="001528AA" w:rsidRPr="003B3444" w:rsidRDefault="001528AA" w:rsidP="00701DCF">
      <w:pPr>
        <w:rPr>
          <w:rFonts w:cs="Arial"/>
          <w:szCs w:val="24"/>
        </w:rPr>
      </w:pPr>
      <w:r w:rsidRPr="003B3444">
        <w:rPr>
          <w:rFonts w:cs="Arial"/>
          <w:szCs w:val="24"/>
        </w:rPr>
        <w:t>The permits for distribution projects are currently maintained in a spreadsheet.  Development and use of a database for the permits and agreements is a low priority. Spreadsheets tend to be difficult to accurately maintain over time due to the risk of corrupting embedded formulas and macros.  Transition of the responsibility for maintaining the spreadsheet to a new employee can also lead to errors.</w:t>
      </w:r>
    </w:p>
    <w:p w:rsidR="001528AA" w:rsidRPr="003B3444" w:rsidRDefault="001528AA" w:rsidP="00FA30B2">
      <w:pPr>
        <w:pStyle w:val="Heading-forToC"/>
      </w:pPr>
      <w:bookmarkStart w:id="209" w:name="_Toc442617462"/>
      <w:bookmarkStart w:id="210" w:name="_Toc464552056"/>
      <w:r w:rsidRPr="003B3444">
        <w:t>Recommendations</w:t>
      </w:r>
      <w:bookmarkEnd w:id="209"/>
      <w:bookmarkEnd w:id="210"/>
    </w:p>
    <w:p w:rsidR="001528AA" w:rsidRPr="003B3444" w:rsidRDefault="001528AA" w:rsidP="00B86FA4">
      <w:pPr>
        <w:pStyle w:val="Findings"/>
        <w:numPr>
          <w:ilvl w:val="0"/>
          <w:numId w:val="36"/>
        </w:numPr>
      </w:pPr>
      <w:r w:rsidRPr="003B3444">
        <w:t>Analyze the causes of all motor vehicle accidents and develop or modify the defensive driving program to focus on avoidance of all types of vehicle accidents.  (See Finding 5)</w:t>
      </w:r>
    </w:p>
    <w:p w:rsidR="001528AA" w:rsidRDefault="001528AA" w:rsidP="00701DCF">
      <w:pPr>
        <w:rPr>
          <w:rFonts w:cs="Arial"/>
          <w:szCs w:val="24"/>
        </w:rPr>
      </w:pPr>
      <w:r w:rsidRPr="003B3444">
        <w:rPr>
          <w:rFonts w:cs="Arial"/>
          <w:szCs w:val="24"/>
        </w:rPr>
        <w:t>Both preventable and total motor vehicle accident rates were above the third quartile in 2014 and the overall accident rates have been fairly high the past four years.  Achieving median or first quartile performance would likely yield significant savings in accident repairs and a reduction of injuries to employees and the public.  A comprehensive review of accident causes may identify gaps in employee training that can improve defensive driving skills and awareness.  Consider adding a Total Motor Vehicle Accident metric to complement the current preventable metric and monitor performance of both as compared to peers.</w:t>
      </w:r>
    </w:p>
    <w:p w:rsidR="00C12CD7" w:rsidRPr="003B3444" w:rsidRDefault="0065076A" w:rsidP="00701DCF">
      <w:pPr>
        <w:rPr>
          <w:rFonts w:cs="Arial"/>
          <w:szCs w:val="24"/>
        </w:rPr>
      </w:pPr>
      <w:r>
        <w:t>PPL EU estimates that, based upon an average actual cost per MVA in 2014 of $3,000 and a target reduction of 87 MVAs per year, the annual savings would be approximately $261,000.</w:t>
      </w:r>
    </w:p>
    <w:p w:rsidR="001528AA" w:rsidRPr="003B3444" w:rsidRDefault="001528AA" w:rsidP="00B86FA4">
      <w:pPr>
        <w:pStyle w:val="Findings"/>
        <w:numPr>
          <w:ilvl w:val="0"/>
          <w:numId w:val="36"/>
        </w:numPr>
      </w:pPr>
      <w:r w:rsidRPr="003B3444">
        <w:t>Convert the Permits spreadsheet to a database.  (See Finding 6)</w:t>
      </w:r>
    </w:p>
    <w:p w:rsidR="001528AA" w:rsidRDefault="001528AA" w:rsidP="00701DCF">
      <w:pPr>
        <w:rPr>
          <w:rFonts w:cs="Arial"/>
          <w:szCs w:val="24"/>
        </w:rPr>
      </w:pPr>
      <w:r w:rsidRPr="003B3444">
        <w:rPr>
          <w:rFonts w:cs="Arial"/>
          <w:szCs w:val="24"/>
        </w:rPr>
        <w:t>PPL should move forward with development of a database to manage and maintain permits.  A database is a more stable platform for managing records and status and will reduce risk of missing deadlines or losing information.  Permit terms and conditions can also be more efficiently managed during the life of the permit.  The feasibility of incorporating the management of the permits into the asset management application should be explored as a potential solution versus a standalone database.</w:t>
      </w:r>
    </w:p>
    <w:p w:rsidR="001528AA" w:rsidRDefault="001528AA" w:rsidP="004F00E5">
      <w:pPr>
        <w:pStyle w:val="Heading2"/>
        <w:numPr>
          <w:ilvl w:val="0"/>
          <w:numId w:val="100"/>
        </w:numPr>
      </w:pPr>
      <w:bookmarkStart w:id="211" w:name="_Toc464552057"/>
      <w:r>
        <w:t>supply chain</w:t>
      </w:r>
      <w:bookmarkEnd w:id="211"/>
    </w:p>
    <w:p w:rsidR="001528AA" w:rsidRDefault="001528AA" w:rsidP="00FA30B2">
      <w:pPr>
        <w:pStyle w:val="Heading-forToC"/>
      </w:pPr>
      <w:bookmarkStart w:id="212" w:name="_Toc442617433"/>
      <w:bookmarkStart w:id="213" w:name="_Toc464552058"/>
      <w:r>
        <w:t>Background</w:t>
      </w:r>
      <w:bookmarkEnd w:id="212"/>
      <w:bookmarkEnd w:id="213"/>
    </w:p>
    <w:p w:rsidR="001528AA" w:rsidRPr="006D1B9D" w:rsidRDefault="001528AA" w:rsidP="00701DCF">
      <w:pPr>
        <w:rPr>
          <w:rFonts w:cs="Arial"/>
          <w:szCs w:val="24"/>
        </w:rPr>
      </w:pPr>
      <w:r>
        <w:rPr>
          <w:rFonts w:cs="Arial"/>
          <w:szCs w:val="24"/>
        </w:rPr>
        <w:t>Supply Chain previously was a PPL Services Corporation function.  During 2015, it moved to the PPL EU Services Corporation (PPL EUS) and began reporting to the PPL EU President.</w:t>
      </w:r>
    </w:p>
    <w:p w:rsidR="001528AA" w:rsidRDefault="001528AA" w:rsidP="00701DCF">
      <w:pPr>
        <w:rPr>
          <w:rFonts w:cs="Arial"/>
          <w:szCs w:val="24"/>
        </w:rPr>
      </w:pPr>
      <w:r>
        <w:rPr>
          <w:rFonts w:cs="Arial"/>
          <w:szCs w:val="24"/>
        </w:rPr>
        <w:t xml:space="preserve">PPL EUS Supply Chain staff was consolidated in early 2015 to Allentown.  Some of the sourcing staff </w:t>
      </w:r>
      <w:proofErr w:type="gramStart"/>
      <w:r>
        <w:rPr>
          <w:rFonts w:cs="Arial"/>
          <w:szCs w:val="24"/>
        </w:rPr>
        <w:t>were</w:t>
      </w:r>
      <w:proofErr w:type="gramEnd"/>
      <w:r>
        <w:rPr>
          <w:rFonts w:cs="Arial"/>
          <w:szCs w:val="24"/>
        </w:rPr>
        <w:t xml:space="preserve"> previously located in the T&amp;S business line.  The official dissolution date of the PPL Services Corporation Supply Chain group was July 1, 2015. </w:t>
      </w:r>
      <w:r w:rsidRPr="002133D6">
        <w:rPr>
          <w:rFonts w:cs="Arial"/>
          <w:szCs w:val="24"/>
        </w:rPr>
        <w:t xml:space="preserve"> </w:t>
      </w:r>
      <w:r>
        <w:rPr>
          <w:rFonts w:cs="Arial"/>
          <w:szCs w:val="24"/>
        </w:rPr>
        <w:t>The PPL EUS Supply Chain staff supports PPL EU and other PPL Corporation Pennsylvania subsidiaries in Pennsylvania.</w:t>
      </w:r>
    </w:p>
    <w:p w:rsidR="001528AA" w:rsidRDefault="001528AA" w:rsidP="00701DCF">
      <w:pPr>
        <w:rPr>
          <w:rFonts w:cs="Arial"/>
          <w:szCs w:val="24"/>
        </w:rPr>
      </w:pPr>
      <w:r>
        <w:rPr>
          <w:rFonts w:cs="Arial"/>
          <w:szCs w:val="24"/>
        </w:rPr>
        <w:t xml:space="preserve">There are existing supply chain policies and procedures created by PPL Services Corporation Supply Chain including materials and services acquisition, contracting, </w:t>
      </w:r>
      <w:r>
        <w:rPr>
          <w:rFonts w:cs="Arial"/>
          <w:szCs w:val="24"/>
        </w:rPr>
        <w:lastRenderedPageBreak/>
        <w:t>purchasing cards, supplier qualification, and materials management.  PPL EUS Supply Chain is updating and modifying the legacy PPL Services Corporation Supply Chain policies and procedures to reflect the new PPL EUS Supply Chain operation.</w:t>
      </w:r>
    </w:p>
    <w:p w:rsidR="001528AA" w:rsidRDefault="001528AA" w:rsidP="00DD2818">
      <w:pPr>
        <w:pStyle w:val="Heading40"/>
      </w:pPr>
      <w:bookmarkStart w:id="214" w:name="_Toc442617434"/>
      <w:r>
        <w:t>Organization Structure</w:t>
      </w:r>
      <w:bookmarkEnd w:id="214"/>
    </w:p>
    <w:p w:rsidR="001528AA" w:rsidRDefault="001528AA" w:rsidP="00701DCF">
      <w:pPr>
        <w:rPr>
          <w:rFonts w:cs="Arial"/>
          <w:szCs w:val="24"/>
        </w:rPr>
      </w:pPr>
      <w:r w:rsidRPr="00700141">
        <w:rPr>
          <w:rFonts w:cs="Arial"/>
          <w:szCs w:val="24"/>
        </w:rPr>
        <w:t xml:space="preserve">The </w:t>
      </w:r>
      <w:r>
        <w:rPr>
          <w:rFonts w:cs="Arial"/>
          <w:szCs w:val="24"/>
        </w:rPr>
        <w:t xml:space="preserve">PPL EUS </w:t>
      </w:r>
      <w:r w:rsidRPr="00700141">
        <w:rPr>
          <w:rFonts w:cs="Arial"/>
          <w:szCs w:val="24"/>
        </w:rPr>
        <w:t>Supply Chain organization is shown in the following exhibit.</w:t>
      </w:r>
    </w:p>
    <w:p w:rsidR="001528AA" w:rsidRDefault="00ED6D61" w:rsidP="00ED6D61">
      <w:pPr>
        <w:pStyle w:val="Caption"/>
      </w:pPr>
      <w:bookmarkStart w:id="215" w:name="_Toc464553005"/>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5</w:t>
      </w:r>
      <w:r w:rsidR="00CB2B2A">
        <w:rPr>
          <w:noProof/>
        </w:rPr>
        <w:fldChar w:fldCharType="end"/>
      </w:r>
      <w:r w:rsidR="003907AC">
        <w:br/>
      </w:r>
      <w:r w:rsidR="001528AA">
        <w:t>Supply Chain Organization Structure</w:t>
      </w:r>
      <w:bookmarkEnd w:id="215"/>
    </w:p>
    <w:p w:rsidR="001528AA" w:rsidRDefault="00264AB6" w:rsidP="00701DCF">
      <w:pPr>
        <w:rPr>
          <w:rFonts w:cs="Arial"/>
          <w:szCs w:val="24"/>
          <w:highlight w:val="yellow"/>
        </w:rPr>
      </w:pPr>
      <w:r>
        <w:rPr>
          <w:rFonts w:cs="Arial"/>
          <w:noProof/>
          <w:szCs w:val="24"/>
        </w:rPr>
        <w:drawing>
          <wp:inline distT="0" distB="0" distL="0" distR="0">
            <wp:extent cx="5943600" cy="107061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PL-EUS_Supply-Chain_10081_page1_v2.jpg"/>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1070610"/>
                    </a:xfrm>
                    <a:prstGeom prst="rect">
                      <a:avLst/>
                    </a:prstGeom>
                  </pic:spPr>
                </pic:pic>
              </a:graphicData>
            </a:graphic>
          </wp:inline>
        </w:drawing>
      </w:r>
    </w:p>
    <w:p w:rsidR="001528AA" w:rsidRDefault="001528AA" w:rsidP="00701DCF">
      <w:r>
        <w:t>Source: DN 10-081</w:t>
      </w:r>
    </w:p>
    <w:p w:rsidR="001528AA" w:rsidRPr="00174A65" w:rsidRDefault="001528AA" w:rsidP="00701DCF">
      <w:r w:rsidRPr="00174A65">
        <w:t xml:space="preserve">The Supply Chain </w:t>
      </w:r>
      <w:r>
        <w:t>organization consists of Supply Chain Pr</w:t>
      </w:r>
      <w:r w:rsidRPr="00174A65">
        <w:t xml:space="preserve">ograms </w:t>
      </w:r>
      <w:r>
        <w:t>and</w:t>
      </w:r>
      <w:r w:rsidRPr="00174A65">
        <w:t xml:space="preserve"> Administration, a </w:t>
      </w:r>
      <w:r>
        <w:t xml:space="preserve">Supply Chain </w:t>
      </w:r>
      <w:r w:rsidRPr="00174A65">
        <w:t>Project Manager</w:t>
      </w:r>
      <w:r>
        <w:t>,</w:t>
      </w:r>
      <w:r w:rsidRPr="00174A65">
        <w:t xml:space="preserve"> O</w:t>
      </w:r>
      <w:r>
        <w:t>perations</w:t>
      </w:r>
      <w:r w:rsidRPr="00174A65">
        <w:t xml:space="preserve"> Services Supply</w:t>
      </w:r>
      <w:r>
        <w:t xml:space="preserve"> (EU Sourcing)</w:t>
      </w:r>
      <w:r w:rsidRPr="00174A65">
        <w:t xml:space="preserve">, Materials and </w:t>
      </w:r>
      <w:r>
        <w:t>N</w:t>
      </w:r>
      <w:r w:rsidRPr="00174A65">
        <w:t>on-</w:t>
      </w:r>
      <w:r>
        <w:t>Operations</w:t>
      </w:r>
      <w:r w:rsidRPr="00174A65">
        <w:t xml:space="preserve"> Services Supply</w:t>
      </w:r>
      <w:r>
        <w:t xml:space="preserve"> (Corporate Sourcing)</w:t>
      </w:r>
      <w:r w:rsidRPr="00174A65">
        <w:t xml:space="preserve">, </w:t>
      </w:r>
      <w:r>
        <w:t xml:space="preserve">and </w:t>
      </w:r>
      <w:r w:rsidRPr="00174A65">
        <w:t>Logistics Services</w:t>
      </w:r>
      <w:r>
        <w:t>.</w:t>
      </w:r>
    </w:p>
    <w:p w:rsidR="001528AA" w:rsidRPr="002133D6" w:rsidRDefault="001528AA" w:rsidP="00701DCF">
      <w:pPr>
        <w:rPr>
          <w:rFonts w:cs="Arial"/>
          <w:szCs w:val="24"/>
        </w:rPr>
      </w:pPr>
      <w:r w:rsidRPr="002133D6">
        <w:rPr>
          <w:rFonts w:cs="Arial"/>
          <w:szCs w:val="24"/>
        </w:rPr>
        <w:t xml:space="preserve">The </w:t>
      </w:r>
      <w:r>
        <w:rPr>
          <w:rFonts w:cs="Arial"/>
          <w:szCs w:val="24"/>
        </w:rPr>
        <w:t>c</w:t>
      </w:r>
      <w:r w:rsidRPr="002133D6">
        <w:rPr>
          <w:rFonts w:cs="Arial"/>
          <w:szCs w:val="24"/>
        </w:rPr>
        <w:t xml:space="preserve">ore </w:t>
      </w:r>
      <w:r>
        <w:rPr>
          <w:rFonts w:cs="Arial"/>
          <w:szCs w:val="24"/>
        </w:rPr>
        <w:t>w</w:t>
      </w:r>
      <w:r w:rsidRPr="002133D6">
        <w:rPr>
          <w:rFonts w:cs="Arial"/>
          <w:szCs w:val="24"/>
        </w:rPr>
        <w:t xml:space="preserve">ork </w:t>
      </w:r>
      <w:r>
        <w:rPr>
          <w:rFonts w:cs="Arial"/>
          <w:szCs w:val="24"/>
        </w:rPr>
        <w:t>p</w:t>
      </w:r>
      <w:r w:rsidRPr="002133D6">
        <w:rPr>
          <w:rFonts w:cs="Arial"/>
          <w:szCs w:val="24"/>
        </w:rPr>
        <w:t xml:space="preserve">rocesses for </w:t>
      </w:r>
      <w:r>
        <w:rPr>
          <w:rFonts w:cs="Arial"/>
          <w:szCs w:val="24"/>
        </w:rPr>
        <w:t xml:space="preserve">the PPL </w:t>
      </w:r>
      <w:r w:rsidRPr="002133D6">
        <w:rPr>
          <w:rFonts w:cs="Arial"/>
          <w:szCs w:val="24"/>
        </w:rPr>
        <w:t>EU</w:t>
      </w:r>
      <w:r>
        <w:rPr>
          <w:rFonts w:cs="Arial"/>
          <w:szCs w:val="24"/>
        </w:rPr>
        <w:t>S</w:t>
      </w:r>
      <w:r w:rsidRPr="002133D6">
        <w:rPr>
          <w:rFonts w:cs="Arial"/>
          <w:szCs w:val="24"/>
        </w:rPr>
        <w:t xml:space="preserve"> Supply Chain </w:t>
      </w:r>
      <w:r>
        <w:rPr>
          <w:rFonts w:cs="Arial"/>
          <w:szCs w:val="24"/>
        </w:rPr>
        <w:t xml:space="preserve">group </w:t>
      </w:r>
      <w:r w:rsidRPr="002133D6">
        <w:rPr>
          <w:rFonts w:cs="Arial"/>
          <w:szCs w:val="24"/>
        </w:rPr>
        <w:t>are:</w:t>
      </w:r>
    </w:p>
    <w:p w:rsidR="001528AA" w:rsidRPr="002133D6" w:rsidRDefault="001528AA" w:rsidP="00701DCF">
      <w:pPr>
        <w:pStyle w:val="Bullet"/>
      </w:pPr>
      <w:r w:rsidRPr="002133D6">
        <w:t>Sourcing materials and services in support of utility operations and corporate services</w:t>
      </w:r>
    </w:p>
    <w:p w:rsidR="001528AA" w:rsidRPr="002133D6" w:rsidRDefault="001528AA" w:rsidP="00701DCF">
      <w:pPr>
        <w:pStyle w:val="Bullet"/>
      </w:pPr>
      <w:r w:rsidRPr="002133D6">
        <w:t>Inventory management</w:t>
      </w:r>
    </w:p>
    <w:p w:rsidR="001528AA" w:rsidRPr="002133D6" w:rsidRDefault="001528AA" w:rsidP="00701DCF">
      <w:pPr>
        <w:pStyle w:val="Bullet"/>
      </w:pPr>
      <w:r w:rsidRPr="002133D6">
        <w:t>Supply chain pro</w:t>
      </w:r>
      <w:r>
        <w:t>cess re-engineering/improvement</w:t>
      </w:r>
    </w:p>
    <w:p w:rsidR="001528AA" w:rsidRPr="002133D6" w:rsidRDefault="001528AA" w:rsidP="00701DCF">
      <w:pPr>
        <w:pStyle w:val="Bullet"/>
      </w:pPr>
      <w:r>
        <w:t>Supplier performance management</w:t>
      </w:r>
    </w:p>
    <w:p w:rsidR="001528AA" w:rsidRPr="002133D6" w:rsidRDefault="001528AA" w:rsidP="00701DCF">
      <w:pPr>
        <w:pStyle w:val="Bullet"/>
      </w:pPr>
      <w:r>
        <w:t>Supplier diversity development</w:t>
      </w:r>
    </w:p>
    <w:p w:rsidR="001528AA" w:rsidRPr="002133D6" w:rsidRDefault="001528AA" w:rsidP="00701DCF">
      <w:pPr>
        <w:pStyle w:val="Bullet"/>
      </w:pPr>
      <w:r w:rsidRPr="002133D6">
        <w:t>Corporate credit ca</w:t>
      </w:r>
      <w:r>
        <w:t>rd and fuel card administration</w:t>
      </w:r>
    </w:p>
    <w:p w:rsidR="001528AA" w:rsidRDefault="001528AA" w:rsidP="00701DCF">
      <w:pPr>
        <w:pStyle w:val="Bullet"/>
        <w:spacing w:after="120"/>
      </w:pPr>
      <w:r>
        <w:t>Warehousing and logistics</w:t>
      </w:r>
    </w:p>
    <w:p w:rsidR="001528AA" w:rsidRDefault="001528AA" w:rsidP="00701DCF">
      <w:pPr>
        <w:pStyle w:val="Normal-aftertable"/>
      </w:pPr>
      <w:r>
        <w:t xml:space="preserve">Supply Chain Programs and Administration manages </w:t>
      </w:r>
      <w:r>
        <w:rPr>
          <w:rFonts w:cs="Arial"/>
          <w:szCs w:val="24"/>
        </w:rPr>
        <w:t>the asset management application</w:t>
      </w:r>
      <w:r>
        <w:t xml:space="preserve"> permissions to supply chain functions, creates and maintains the materials catalog IDs (CIDs), corporate credit cards, and the supplier diversity program.  The group is also responsible for reporting supplier diversity related information to the PUC, Federal government, and the State PennDOT.</w:t>
      </w:r>
    </w:p>
    <w:p w:rsidR="001528AA" w:rsidRDefault="001528AA" w:rsidP="00701DCF">
      <w:pPr>
        <w:rPr>
          <w:rFonts w:cs="Arial"/>
          <w:szCs w:val="24"/>
        </w:rPr>
      </w:pPr>
      <w:r w:rsidRPr="00174A65">
        <w:rPr>
          <w:rFonts w:cs="Arial"/>
          <w:szCs w:val="24"/>
        </w:rPr>
        <w:t>A Project Manager has been added to the Supply Chain</w:t>
      </w:r>
      <w:r w:rsidRPr="007A7AB0">
        <w:rPr>
          <w:rFonts w:cs="Arial"/>
          <w:szCs w:val="24"/>
        </w:rPr>
        <w:t xml:space="preserve"> staff to focus on improving supply chain processes</w:t>
      </w:r>
      <w:r>
        <w:rPr>
          <w:rFonts w:cs="Arial"/>
          <w:szCs w:val="24"/>
        </w:rPr>
        <w:t xml:space="preserve"> and on increasing the efficiency and effectiveness of supply chain integration with the business line</w:t>
      </w:r>
      <w:r w:rsidRPr="007A7AB0">
        <w:rPr>
          <w:rFonts w:cs="Arial"/>
          <w:szCs w:val="24"/>
        </w:rPr>
        <w:t xml:space="preserve">.  The </w:t>
      </w:r>
      <w:r>
        <w:rPr>
          <w:rFonts w:cs="Arial"/>
          <w:szCs w:val="24"/>
        </w:rPr>
        <w:t xml:space="preserve">project </w:t>
      </w:r>
      <w:r w:rsidRPr="007A7AB0">
        <w:rPr>
          <w:rFonts w:cs="Arial"/>
          <w:szCs w:val="24"/>
        </w:rPr>
        <w:t xml:space="preserve">manager is focusing on </w:t>
      </w:r>
      <w:r>
        <w:rPr>
          <w:rFonts w:cs="Arial"/>
          <w:szCs w:val="24"/>
        </w:rPr>
        <w:t>the asset management application</w:t>
      </w:r>
      <w:r w:rsidRPr="007A7AB0">
        <w:rPr>
          <w:rFonts w:cs="Arial"/>
          <w:szCs w:val="24"/>
        </w:rPr>
        <w:t xml:space="preserve"> process improvements including the CID creation process, contract requisition process, and category management structure.  Additional supply chain process improvements are under review for the warehouses, </w:t>
      </w:r>
      <w:r>
        <w:rPr>
          <w:rFonts w:cs="Arial"/>
          <w:szCs w:val="24"/>
        </w:rPr>
        <w:t>work management integration and inventory reduction</w:t>
      </w:r>
      <w:r w:rsidRPr="007A7AB0">
        <w:rPr>
          <w:rFonts w:cs="Arial"/>
          <w:szCs w:val="24"/>
        </w:rPr>
        <w:t>.</w:t>
      </w:r>
    </w:p>
    <w:p w:rsidR="001528AA" w:rsidRDefault="001528AA" w:rsidP="00701DCF">
      <w:pPr>
        <w:rPr>
          <w:rFonts w:cs="Arial"/>
          <w:szCs w:val="24"/>
        </w:rPr>
      </w:pPr>
      <w:r>
        <w:rPr>
          <w:rFonts w:cs="Arial"/>
          <w:szCs w:val="24"/>
        </w:rPr>
        <w:t xml:space="preserve">Operations Services Supply develops contracts for construction services, engineering, vegetation management, and related operations based procured services.  As noted </w:t>
      </w:r>
      <w:r>
        <w:rPr>
          <w:rFonts w:cs="Arial"/>
          <w:szCs w:val="24"/>
        </w:rPr>
        <w:lastRenderedPageBreak/>
        <w:t>above, Supply Chain is currently working with legacy processes from the PPL Services Corporation Supply Chain organization.  These processes will be realigned to better support the Transmission Operating Model (TOM) and Distribution Operating Model (DOM) processes by year end 2015.</w:t>
      </w:r>
    </w:p>
    <w:p w:rsidR="001528AA" w:rsidRDefault="001528AA" w:rsidP="00701DCF">
      <w:pPr>
        <w:rPr>
          <w:rFonts w:cs="Arial"/>
          <w:szCs w:val="24"/>
        </w:rPr>
      </w:pPr>
      <w:r w:rsidRPr="00174A65">
        <w:rPr>
          <w:rFonts w:cs="Arial"/>
          <w:szCs w:val="24"/>
        </w:rPr>
        <w:t>Materials and non-</w:t>
      </w:r>
      <w:r>
        <w:rPr>
          <w:rFonts w:cs="Arial"/>
          <w:szCs w:val="24"/>
        </w:rPr>
        <w:t>Operations</w:t>
      </w:r>
      <w:r w:rsidRPr="00174A65">
        <w:rPr>
          <w:rFonts w:cs="Arial"/>
          <w:szCs w:val="24"/>
        </w:rPr>
        <w:t xml:space="preserve"> Services Supply</w:t>
      </w:r>
      <w:r>
        <w:rPr>
          <w:rFonts w:cs="Arial"/>
          <w:szCs w:val="24"/>
        </w:rPr>
        <w:t xml:space="preserve"> consists of six full time buyers and 3 full-time contract buyers, all of which are assigned specific product or service categories.  Four material buyers within this group are responsible for: sourcing the PPL EU materials contracts; establishing inventory maximums and minimums for stocked items; and; working with operations on making stock versus non-stock decisions.  The remaining five buyers are responsible for contract services and negotiate terms and services for various commodities including staff augmentation.  Materials and non-Operations Services Supply is also working more closely with vendors to manage deliveries closer to the need date.  There also is an investment recovery manager who is responsible for disposing of or selling scrap, demolition, and obsolete materials.</w:t>
      </w:r>
    </w:p>
    <w:p w:rsidR="001528AA" w:rsidRDefault="001528AA" w:rsidP="00701DCF">
      <w:pPr>
        <w:rPr>
          <w:rFonts w:cs="Arial"/>
          <w:szCs w:val="24"/>
        </w:rPr>
      </w:pPr>
      <w:r w:rsidRPr="00174A65">
        <w:rPr>
          <w:rFonts w:cs="Arial"/>
          <w:szCs w:val="24"/>
        </w:rPr>
        <w:t>Logistics Services</w:t>
      </w:r>
      <w:r>
        <w:rPr>
          <w:rFonts w:cs="Arial"/>
          <w:szCs w:val="24"/>
        </w:rPr>
        <w:t xml:space="preserve"> is responsible for the </w:t>
      </w:r>
      <w:r w:rsidRPr="001A459C">
        <w:rPr>
          <w:rFonts w:cs="Arial"/>
          <w:szCs w:val="24"/>
        </w:rPr>
        <w:t xml:space="preserve">Systems Facility Center </w:t>
      </w:r>
      <w:r>
        <w:rPr>
          <w:rFonts w:cs="Arial"/>
          <w:szCs w:val="24"/>
        </w:rPr>
        <w:t>(SFC), also known as PPL’s central distribution center.  Logistics services had a dotted line relationship to the regional service center store-room operations.  Contract truck drivers are used for materials deliveries from the SFC to the service centers.</w:t>
      </w:r>
    </w:p>
    <w:p w:rsidR="001528AA" w:rsidRPr="00585798" w:rsidRDefault="001528AA" w:rsidP="00DD2818">
      <w:pPr>
        <w:pStyle w:val="Heading40"/>
      </w:pPr>
      <w:bookmarkStart w:id="216" w:name="_Toc442617435"/>
      <w:r w:rsidRPr="00585798">
        <w:t>Procurement</w:t>
      </w:r>
      <w:bookmarkEnd w:id="216"/>
    </w:p>
    <w:p w:rsidR="001528AA" w:rsidRDefault="001528AA" w:rsidP="00701DCF">
      <w:pPr>
        <w:rPr>
          <w:rFonts w:cs="Arial"/>
          <w:szCs w:val="24"/>
        </w:rPr>
      </w:pPr>
      <w:r>
        <w:rPr>
          <w:rFonts w:cs="Arial"/>
          <w:szCs w:val="24"/>
        </w:rPr>
        <w:t>Cost evaluations are used to evaluate potential savings options.  A recent evaluation looked at outsourcing personal protective equipment stocking, testing, and maintenance.  In this case it was decided not to move forward with contracting the services out due to a high level of stranded labor costs related to labor contract terms.</w:t>
      </w:r>
    </w:p>
    <w:p w:rsidR="001528AA" w:rsidRDefault="001528AA" w:rsidP="00701DCF">
      <w:pPr>
        <w:rPr>
          <w:rFonts w:cs="Arial"/>
          <w:szCs w:val="24"/>
        </w:rPr>
      </w:pPr>
      <w:r w:rsidRPr="00E97868">
        <w:rPr>
          <w:rFonts w:cs="Arial"/>
          <w:szCs w:val="24"/>
        </w:rPr>
        <w:t xml:space="preserve">Supply Chain manages the </w:t>
      </w:r>
      <w:r>
        <w:rPr>
          <w:rFonts w:cs="Arial"/>
          <w:szCs w:val="24"/>
        </w:rPr>
        <w:t>CID</w:t>
      </w:r>
      <w:r w:rsidRPr="00E97868">
        <w:rPr>
          <w:rFonts w:cs="Arial"/>
          <w:szCs w:val="24"/>
        </w:rPr>
        <w:t xml:space="preserve"> data to avoid duplication of items and assure proper descriptive information is entered for items</w:t>
      </w:r>
      <w:r>
        <w:rPr>
          <w:rFonts w:cs="Arial"/>
          <w:szCs w:val="24"/>
        </w:rPr>
        <w:t xml:space="preserve"> and plans to more fully utilize the asset management application capabilities to automate the creation of CIDs</w:t>
      </w:r>
      <w:r w:rsidRPr="00E97868">
        <w:rPr>
          <w:rFonts w:cs="Arial"/>
          <w:szCs w:val="24"/>
        </w:rPr>
        <w:t xml:space="preserve">.  Supply Chain has also initiated an effort to train </w:t>
      </w:r>
      <w:r>
        <w:rPr>
          <w:rFonts w:cs="Arial"/>
          <w:szCs w:val="24"/>
        </w:rPr>
        <w:t>PPL EU</w:t>
      </w:r>
      <w:r w:rsidRPr="00E97868">
        <w:rPr>
          <w:rFonts w:cs="Arial"/>
          <w:szCs w:val="24"/>
        </w:rPr>
        <w:t xml:space="preserve"> </w:t>
      </w:r>
      <w:r>
        <w:rPr>
          <w:rFonts w:cs="Arial"/>
          <w:szCs w:val="24"/>
        </w:rPr>
        <w:t xml:space="preserve">groups </w:t>
      </w:r>
      <w:r w:rsidRPr="00E97868">
        <w:rPr>
          <w:rFonts w:cs="Arial"/>
          <w:szCs w:val="24"/>
        </w:rPr>
        <w:t xml:space="preserve">on the use of the contract request module in </w:t>
      </w:r>
      <w:r>
        <w:rPr>
          <w:rFonts w:cs="Arial"/>
          <w:szCs w:val="24"/>
        </w:rPr>
        <w:t>the asset management application</w:t>
      </w:r>
      <w:r w:rsidRPr="00E97868">
        <w:rPr>
          <w:rFonts w:cs="Arial"/>
          <w:szCs w:val="24"/>
        </w:rPr>
        <w:t xml:space="preserve"> so that all contract requests </w:t>
      </w:r>
      <w:r>
        <w:rPr>
          <w:rFonts w:cs="Arial"/>
          <w:szCs w:val="24"/>
        </w:rPr>
        <w:t xml:space="preserve">and contract amendment requests </w:t>
      </w:r>
      <w:r w:rsidRPr="00E97868">
        <w:rPr>
          <w:rFonts w:cs="Arial"/>
          <w:szCs w:val="24"/>
        </w:rPr>
        <w:t>are initiated in the system with the necessary information provided.  Currently many areas</w:t>
      </w:r>
      <w:r>
        <w:rPr>
          <w:rFonts w:cs="Arial"/>
          <w:szCs w:val="24"/>
        </w:rPr>
        <w:t xml:space="preserve"> submit contract requests via a form.</w:t>
      </w:r>
    </w:p>
    <w:p w:rsidR="001528AA" w:rsidRDefault="001528AA" w:rsidP="00DD2818">
      <w:pPr>
        <w:pStyle w:val="Heading40"/>
      </w:pPr>
      <w:bookmarkStart w:id="217" w:name="_Toc442617436"/>
      <w:r>
        <w:t>Contracting</w:t>
      </w:r>
      <w:bookmarkEnd w:id="217"/>
    </w:p>
    <w:p w:rsidR="001528AA" w:rsidRDefault="001528AA" w:rsidP="00701DCF">
      <w:pPr>
        <w:rPr>
          <w:rFonts w:cs="Arial"/>
          <w:szCs w:val="24"/>
        </w:rPr>
      </w:pPr>
      <w:r>
        <w:rPr>
          <w:rFonts w:cs="Arial"/>
          <w:szCs w:val="24"/>
        </w:rPr>
        <w:t>Operations Services Supply engages in projects during the design phase, working with the Project Manager to identify the procurement scope and develop contract packages.  The group also participates in the bidding, selection, and award process with the project manager.  The project managers review planned work generated by the projects and programs in a region and will bundle similar work into one contract in order to improve internal project management and obtain better contract pricing.  The ability to bundle multiple jobs can be limited by available funding and outage windows.  In the future, Operations Services Supply will be engaged during the project development phase under the new model being developed to support the TOM and DOM processes.</w:t>
      </w:r>
    </w:p>
    <w:p w:rsidR="001528AA" w:rsidRDefault="001528AA" w:rsidP="00701DCF">
      <w:pPr>
        <w:rPr>
          <w:rFonts w:cs="Arial"/>
          <w:szCs w:val="24"/>
        </w:rPr>
      </w:pPr>
      <w:r>
        <w:rPr>
          <w:rFonts w:cs="Arial"/>
          <w:szCs w:val="24"/>
        </w:rPr>
        <w:t xml:space="preserve">Contracts are in the form of individual, blanket, three year contractor of choice agreements, or master services agreements with releases.  The contractor of choice </w:t>
      </w:r>
      <w:r>
        <w:rPr>
          <w:rFonts w:cs="Arial"/>
          <w:szCs w:val="24"/>
        </w:rPr>
        <w:lastRenderedPageBreak/>
        <w:t>agreements are set up by region and Operations Services Supply is working with the regional managers to rework and standardize the agreements.</w:t>
      </w:r>
    </w:p>
    <w:p w:rsidR="001528AA" w:rsidRDefault="001528AA" w:rsidP="00701DCF">
      <w:pPr>
        <w:rPr>
          <w:rFonts w:cs="Arial"/>
          <w:szCs w:val="24"/>
        </w:rPr>
      </w:pPr>
      <w:r>
        <w:rPr>
          <w:rFonts w:cs="Arial"/>
          <w:szCs w:val="24"/>
        </w:rPr>
        <w:t>Operations Services Supply meets monthly with operations on project status and contract status.  The core responsibility for contract performance is with the project managers with support from Legal.  Operations Services Supply will get involved in a contract dispute if there is a question on contract terms.  The group will also be involved if there is a significant financial dispute or if the contractor termination process is implemented.</w:t>
      </w:r>
    </w:p>
    <w:p w:rsidR="001528AA" w:rsidRDefault="001528AA" w:rsidP="00701DCF">
      <w:pPr>
        <w:rPr>
          <w:rFonts w:cs="Arial"/>
          <w:szCs w:val="24"/>
        </w:rPr>
      </w:pPr>
      <w:r>
        <w:rPr>
          <w:rFonts w:cs="Arial"/>
          <w:szCs w:val="24"/>
        </w:rPr>
        <w:t>Operations Services Supply implemented a contract abstract tool in 2015 for all contracts over one million dollars. The abstract is a two page summary of the contract with locations of the information most used by the project managers and engineers flagged for quick reference.  The abstract contains contact information, contract pricing structure, scope of work summary, and any special conditions.</w:t>
      </w:r>
    </w:p>
    <w:p w:rsidR="001528AA" w:rsidRDefault="001528AA" w:rsidP="00DD2818">
      <w:pPr>
        <w:pStyle w:val="Heading40"/>
      </w:pPr>
      <w:bookmarkStart w:id="218" w:name="_Toc442617437"/>
      <w:r>
        <w:t>Materials Acquisition</w:t>
      </w:r>
      <w:bookmarkEnd w:id="218"/>
    </w:p>
    <w:p w:rsidR="001528AA" w:rsidRDefault="001528AA" w:rsidP="00701DCF">
      <w:pPr>
        <w:rPr>
          <w:rFonts w:cs="Arial"/>
          <w:szCs w:val="24"/>
        </w:rPr>
      </w:pPr>
      <w:r>
        <w:rPr>
          <w:rFonts w:cs="Arial"/>
          <w:szCs w:val="24"/>
        </w:rPr>
        <w:t>The Operations Services Supply group sourcing specialists formerly supported a specific EU region.  Under the new organization, the specialists are now assigned a category: Overhead, Underground; Substations, Vegetation Management, Engineering Services, and Environmental/Program Management.  Supply Chain is also planning on implementing category management for some product lines such as poles, conductors, and transformers.  The overall workload is expected to increase significantly with the high level of capital spending planned over the next several years.  External contractors may be brought in to help if necessary.</w:t>
      </w:r>
    </w:p>
    <w:p w:rsidR="001528AA" w:rsidRDefault="001528AA" w:rsidP="00701DCF">
      <w:pPr>
        <w:rPr>
          <w:rFonts w:cs="Arial"/>
          <w:szCs w:val="24"/>
        </w:rPr>
      </w:pPr>
      <w:r>
        <w:rPr>
          <w:rFonts w:cs="Arial"/>
          <w:szCs w:val="24"/>
        </w:rPr>
        <w:t>The category buyers are reviewing the products and identifying opportunities to get reduced pricing.  The two supply groups and Logistics Services are coordinating efforts to reduce costs and improve material availability.  Buyers monitor the commodities market and, if metals prices fall significantly after a contract is awarded, the buyer will contact the vendor to request a price adjustment for the outstanding order.  Negotiated savings such as this are tracked and reported in Supply Chain’s performance metrics.  Prior to 2015 there was one metric.  For 2015, three metrics were established with specific criteria to capture cost savings generated by the Operations Services Supply group, the Non-Operations Services Supply group, and Material Cost Savings.  The annual tracking period ended in November 2015 with reported cost savings of $23,603,000 under the three measures.  The primary savings identified related to negotiating the purchase of meters for the smart meter project where savings totaling $15,230,000 were achieved.  The balance was related to savings in materials contracts, metals price adjustments, and services contracts.</w:t>
      </w:r>
    </w:p>
    <w:p w:rsidR="001528AA" w:rsidRDefault="001528AA" w:rsidP="00701DCF">
      <w:pPr>
        <w:rPr>
          <w:rFonts w:cs="Arial"/>
          <w:szCs w:val="24"/>
        </w:rPr>
      </w:pPr>
      <w:r>
        <w:rPr>
          <w:rFonts w:cs="Arial"/>
          <w:szCs w:val="24"/>
        </w:rPr>
        <w:t xml:space="preserve">T&amp;S Standards and Methods works with Supply Chain to determine whether to use up or make obsolete the existing stock as new materials are implemented for construction.  The CID materials are loaded into the materials system by Logistics Services. </w:t>
      </w:r>
      <w:r w:rsidRPr="00291F51">
        <w:rPr>
          <w:rFonts w:cs="Arial"/>
          <w:szCs w:val="24"/>
        </w:rPr>
        <w:t xml:space="preserve"> </w:t>
      </w:r>
      <w:r>
        <w:rPr>
          <w:rFonts w:cs="Arial"/>
          <w:szCs w:val="24"/>
        </w:rPr>
        <w:t>A more formalized materials change process is under development with standards, engineering, and operations to reduce the stranded inventory issue in the future.</w:t>
      </w:r>
      <w:r>
        <w:rPr>
          <w:rStyle w:val="CommentReference"/>
        </w:rPr>
        <w:t xml:space="preserve"> </w:t>
      </w:r>
    </w:p>
    <w:p w:rsidR="001528AA" w:rsidRDefault="001528AA" w:rsidP="00701DCF">
      <w:pPr>
        <w:rPr>
          <w:rFonts w:cs="Arial"/>
          <w:szCs w:val="24"/>
        </w:rPr>
      </w:pPr>
      <w:r>
        <w:rPr>
          <w:rFonts w:cs="Arial"/>
          <w:szCs w:val="24"/>
        </w:rPr>
        <w:t>Materials for large projects, like the 500 kV Susquehanna/Roseland line, are bid separately to obtain the best pricing.</w:t>
      </w:r>
    </w:p>
    <w:p w:rsidR="001528AA" w:rsidRPr="00492242" w:rsidRDefault="001528AA" w:rsidP="00701DCF">
      <w:pPr>
        <w:rPr>
          <w:rFonts w:cs="Arial"/>
          <w:szCs w:val="24"/>
        </w:rPr>
      </w:pPr>
      <w:r>
        <w:rPr>
          <w:rFonts w:cs="Arial"/>
          <w:szCs w:val="24"/>
        </w:rPr>
        <w:lastRenderedPageBreak/>
        <w:t>There is some ongoing collaboration with the KY operation to make joint purchases but the two entities haven’t developed common specifications and award criteria.  The collaboration has the potential for increasing PPL/LKE leverage where the materials being purchased are the same for both companies such as poles or wire and cable.</w:t>
      </w:r>
    </w:p>
    <w:p w:rsidR="001528AA" w:rsidRPr="0016700D" w:rsidRDefault="001528AA" w:rsidP="00DD2818">
      <w:pPr>
        <w:pStyle w:val="Heading40"/>
      </w:pPr>
      <w:bookmarkStart w:id="219" w:name="_Toc442617438"/>
      <w:r w:rsidRPr="0016700D">
        <w:t>Materials Logistics</w:t>
      </w:r>
      <w:bookmarkEnd w:id="219"/>
    </w:p>
    <w:p w:rsidR="001528AA" w:rsidRDefault="001528AA" w:rsidP="00701DCF">
      <w:pPr>
        <w:rPr>
          <w:rFonts w:cs="Arial"/>
          <w:szCs w:val="24"/>
        </w:rPr>
      </w:pPr>
      <w:r>
        <w:rPr>
          <w:rFonts w:cs="Arial"/>
          <w:szCs w:val="24"/>
        </w:rPr>
        <w:t>Supply Chain is looking at additional strategic partnerships and consignment inventories,</w:t>
      </w:r>
      <w:r w:rsidRPr="00504D61">
        <w:rPr>
          <w:rFonts w:cs="Arial"/>
          <w:szCs w:val="24"/>
        </w:rPr>
        <w:t xml:space="preserve"> </w:t>
      </w:r>
      <w:r>
        <w:rPr>
          <w:rFonts w:cs="Arial"/>
          <w:szCs w:val="24"/>
        </w:rPr>
        <w:t>such as the Anixter Solutions and wood pole contracts, to reduce inventory carried on PPL EU books.  Supply Chain has a goal to achieve four turns on inventory on an annualized basis in 2016.  Turnover is computed for each warehouse and service center as a twelve month rolling average based on net inventory issues divided by the twelve month average inventory value.  Pre-capitalized items, emergency stock, and tools are excluded from the calculations.</w:t>
      </w:r>
      <w:r w:rsidRPr="005F6B02">
        <w:rPr>
          <w:rFonts w:cs="Arial"/>
          <w:szCs w:val="24"/>
        </w:rPr>
        <w:t xml:space="preserve"> </w:t>
      </w:r>
      <w:r>
        <w:rPr>
          <w:rFonts w:cs="Arial"/>
          <w:szCs w:val="24"/>
        </w:rPr>
        <w:t xml:space="preserve"> Distribution materials generally experience a higher turnover due to the more commoditized nature of distribution systems while substations materials tend to experience lower turnover due to the longer life-cycle of substation equipment.  A lot of substation material consists of spare parts for capital equipment.  There is an effort underway to tie the spare parts to specific equipment installed in the system so that the parts can be </w:t>
      </w:r>
      <w:proofErr w:type="spellStart"/>
      <w:r>
        <w:rPr>
          <w:rFonts w:cs="Arial"/>
          <w:szCs w:val="24"/>
        </w:rPr>
        <w:t>obsoleted</w:t>
      </w:r>
      <w:proofErr w:type="spellEnd"/>
      <w:r>
        <w:rPr>
          <w:rFonts w:cs="Arial"/>
          <w:szCs w:val="24"/>
        </w:rPr>
        <w:t xml:space="preserve"> when all related equipment is removed from service.</w:t>
      </w:r>
    </w:p>
    <w:p w:rsidR="001528AA" w:rsidRDefault="001528AA" w:rsidP="00DD2818">
      <w:pPr>
        <w:pStyle w:val="Heading40"/>
      </w:pPr>
      <w:bookmarkStart w:id="220" w:name="_Toc442617439"/>
      <w:r>
        <w:t>Warehouses</w:t>
      </w:r>
      <w:bookmarkEnd w:id="220"/>
    </w:p>
    <w:p w:rsidR="001528AA" w:rsidRPr="001A459C" w:rsidRDefault="001528AA" w:rsidP="00701DCF">
      <w:pPr>
        <w:rPr>
          <w:rFonts w:cs="Arial"/>
          <w:szCs w:val="24"/>
        </w:rPr>
      </w:pPr>
      <w:r w:rsidRPr="001A459C">
        <w:rPr>
          <w:rFonts w:cs="Arial"/>
          <w:szCs w:val="24"/>
        </w:rPr>
        <w:t>The Systems Facility Center (SFC), which includes the central warehouse</w:t>
      </w:r>
      <w:r>
        <w:rPr>
          <w:rFonts w:cs="Arial"/>
          <w:szCs w:val="24"/>
        </w:rPr>
        <w:t xml:space="preserve"> with 90,000 square feet of inside space and 13 acres of outside storage</w:t>
      </w:r>
      <w:r w:rsidRPr="001A459C">
        <w:rPr>
          <w:rFonts w:cs="Arial"/>
          <w:szCs w:val="24"/>
        </w:rPr>
        <w:t xml:space="preserve">, is located in </w:t>
      </w:r>
      <w:r>
        <w:rPr>
          <w:rFonts w:cs="Arial"/>
          <w:szCs w:val="24"/>
        </w:rPr>
        <w:t xml:space="preserve">Hazleton. </w:t>
      </w:r>
      <w:r w:rsidRPr="001A459C">
        <w:rPr>
          <w:rFonts w:cs="Arial"/>
          <w:szCs w:val="24"/>
        </w:rPr>
        <w:t xml:space="preserve"> </w:t>
      </w:r>
      <w:r>
        <w:rPr>
          <w:rFonts w:cs="Arial"/>
          <w:szCs w:val="24"/>
        </w:rPr>
        <w:t xml:space="preserve">The central warehouse is also referred to as the SFC.  </w:t>
      </w:r>
      <w:r w:rsidRPr="001A459C">
        <w:rPr>
          <w:rFonts w:cs="Arial"/>
          <w:szCs w:val="24"/>
        </w:rPr>
        <w:t xml:space="preserve">There are five regional warehouses, located in Harrisburg, Lancaster, Lehigh, Montoursville, and Scranton.  The materials handlers in the </w:t>
      </w:r>
      <w:r>
        <w:rPr>
          <w:rFonts w:cs="Arial"/>
          <w:szCs w:val="24"/>
        </w:rPr>
        <w:t xml:space="preserve">27 </w:t>
      </w:r>
      <w:r w:rsidRPr="001A459C">
        <w:rPr>
          <w:rFonts w:cs="Arial"/>
          <w:szCs w:val="24"/>
        </w:rPr>
        <w:t xml:space="preserve">service centers report directly to the service center operations managers rather than </w:t>
      </w:r>
      <w:r>
        <w:rPr>
          <w:rFonts w:cs="Arial"/>
          <w:szCs w:val="24"/>
        </w:rPr>
        <w:t xml:space="preserve">to </w:t>
      </w:r>
      <w:r w:rsidRPr="001A459C">
        <w:rPr>
          <w:rFonts w:cs="Arial"/>
          <w:szCs w:val="24"/>
        </w:rPr>
        <w:t>a central organization.</w:t>
      </w:r>
      <w:r>
        <w:rPr>
          <w:rFonts w:cs="Arial"/>
          <w:szCs w:val="24"/>
        </w:rPr>
        <w:t xml:space="preserve">  The service center materials handlers are responsible for receiving and issuing stock, cycle counting, and other inventory tracking functions.</w:t>
      </w:r>
    </w:p>
    <w:p w:rsidR="001528AA" w:rsidRDefault="001528AA" w:rsidP="00701DCF">
      <w:pPr>
        <w:rPr>
          <w:rFonts w:cs="Arial"/>
        </w:rPr>
      </w:pPr>
      <w:r>
        <w:rPr>
          <w:rFonts w:cs="Arial"/>
          <w:szCs w:val="24"/>
        </w:rPr>
        <w:t xml:space="preserve">The five regional warehouses are being phased out and are expected to be closed by the end of the first quarter of 2016.  Materials are being moved out of the service centers beginning in the fourth quarter of 2015 and the facilities will be converted to store rooms as currently exist at the remaining 22 service centers.  Savings from the closures include the reduction of five full time equivalents from the regional warehouse staff, a reduction in regional inventory levels, and </w:t>
      </w:r>
      <w:r w:rsidRPr="008F22D6">
        <w:rPr>
          <w:color w:val="000000"/>
        </w:rPr>
        <w:t>eliminat</w:t>
      </w:r>
      <w:r>
        <w:rPr>
          <w:color w:val="000000"/>
        </w:rPr>
        <w:t>ion of</w:t>
      </w:r>
      <w:r w:rsidRPr="008F22D6">
        <w:rPr>
          <w:color w:val="000000"/>
        </w:rPr>
        <w:t xml:space="preserve"> the double handling and shipping of materials from the </w:t>
      </w:r>
      <w:r>
        <w:rPr>
          <w:color w:val="000000"/>
        </w:rPr>
        <w:t xml:space="preserve">SFC to </w:t>
      </w:r>
      <w:r w:rsidRPr="008F22D6">
        <w:rPr>
          <w:color w:val="000000"/>
        </w:rPr>
        <w:t xml:space="preserve">regional warehouse locations </w:t>
      </w:r>
      <w:r>
        <w:rPr>
          <w:color w:val="000000"/>
        </w:rPr>
        <w:t>and then to the</w:t>
      </w:r>
      <w:r w:rsidRPr="008F22D6">
        <w:rPr>
          <w:color w:val="000000"/>
        </w:rPr>
        <w:t xml:space="preserve"> satellite service centers.</w:t>
      </w:r>
      <w:r>
        <w:rPr>
          <w:color w:val="000000"/>
        </w:rPr>
        <w:t xml:space="preserve">  Annual labor savings are estimated at approximately $400,000 and the impact on inventory levels was a $130,000 reduction.  Moving forward, </w:t>
      </w:r>
      <w:r w:rsidRPr="00F7236C">
        <w:rPr>
          <w:rFonts w:cs="Arial"/>
        </w:rPr>
        <w:t xml:space="preserve">Supply Chain </w:t>
      </w:r>
      <w:r>
        <w:rPr>
          <w:rFonts w:cs="Arial"/>
        </w:rPr>
        <w:t>will be using the SFC or Anixter Solutions warehouses for the issuance of all materials for planned work.</w:t>
      </w:r>
    </w:p>
    <w:p w:rsidR="001528AA" w:rsidRDefault="001528AA" w:rsidP="00701DCF">
      <w:pPr>
        <w:rPr>
          <w:rFonts w:cs="Arial"/>
          <w:szCs w:val="24"/>
        </w:rPr>
      </w:pPr>
      <w:r>
        <w:rPr>
          <w:rFonts w:cs="Arial"/>
          <w:szCs w:val="24"/>
        </w:rPr>
        <w:t xml:space="preserve">The service centers also receive direct shipments of poles, cross arms, and some wire (large cable orders for specific jobs) from vendors.  Transformers are usually shipped from the SFC to the service centers.  </w:t>
      </w:r>
      <w:r>
        <w:rPr>
          <w:rFonts w:cs="Arial"/>
        </w:rPr>
        <w:t xml:space="preserve">The service center stores locations will maintain sufficient stock for </w:t>
      </w:r>
      <w:r>
        <w:rPr>
          <w:rFonts w:cs="Arial"/>
          <w:szCs w:val="24"/>
        </w:rPr>
        <w:t>emergent (unplanned repairs) work</w:t>
      </w:r>
      <w:r w:rsidRPr="00F7236C">
        <w:rPr>
          <w:rFonts w:cs="Arial"/>
        </w:rPr>
        <w:t>.</w:t>
      </w:r>
    </w:p>
    <w:p w:rsidR="001528AA" w:rsidRDefault="001528AA" w:rsidP="00701DCF">
      <w:pPr>
        <w:rPr>
          <w:rFonts w:cs="Arial"/>
          <w:szCs w:val="24"/>
        </w:rPr>
      </w:pPr>
      <w:r>
        <w:rPr>
          <w:rFonts w:cs="Arial"/>
          <w:szCs w:val="24"/>
        </w:rPr>
        <w:lastRenderedPageBreak/>
        <w:t>The SFC does not support transmission and transmission substation capital construction work but does stock transmission emergency and some O&amp;M materials.  The SFC provides materials for most distribution work which is mostly smaller capital jobs, maintenance, and restoration activities.</w:t>
      </w:r>
    </w:p>
    <w:p w:rsidR="001528AA" w:rsidRDefault="001528AA" w:rsidP="00701DCF">
      <w:pPr>
        <w:rPr>
          <w:rFonts w:cs="Arial"/>
          <w:szCs w:val="24"/>
        </w:rPr>
      </w:pPr>
      <w:r>
        <w:t xml:space="preserve">In 2010, PPL EU forecast a doubling of capital spending in the </w:t>
      </w:r>
      <w:r w:rsidRPr="00397F0F">
        <w:t xml:space="preserve">transmission </w:t>
      </w:r>
      <w:r>
        <w:t>and</w:t>
      </w:r>
      <w:r w:rsidRPr="00397F0F">
        <w:t xml:space="preserve"> substation</w:t>
      </w:r>
      <w:r>
        <w:t xml:space="preserve"> infrastructure area</w:t>
      </w:r>
      <w:r w:rsidRPr="00397F0F">
        <w:t>s</w:t>
      </w:r>
      <w:r>
        <w:t xml:space="preserve"> for the next five years.</w:t>
      </w:r>
      <w:r w:rsidRPr="00397F0F">
        <w:t xml:space="preserve">  PPL EU management did not want to increase permanent warehousing and logistics staff to support this temporary increase in capital spending.  A high-level business case was performed in 2010, and the decision was made to </w:t>
      </w:r>
      <w:r>
        <w:t xml:space="preserve">issue a request for proposal and </w:t>
      </w:r>
      <w:r w:rsidRPr="00397F0F">
        <w:t xml:space="preserve">evaluate </w:t>
      </w:r>
      <w:r>
        <w:t>third party solutions to provide warehousing and material management services</w:t>
      </w:r>
      <w:r w:rsidRPr="00397F0F">
        <w:t xml:space="preserve">.  </w:t>
      </w:r>
      <w:r>
        <w:t xml:space="preserve">Home Depot Supply (now Anixter Solutions) was awarded the contract in late 2010.  </w:t>
      </w:r>
      <w:r>
        <w:rPr>
          <w:rFonts w:cs="Arial"/>
          <w:szCs w:val="24"/>
        </w:rPr>
        <w:t>The Anixter warehouse solely supports PPL EU.</w:t>
      </w:r>
    </w:p>
    <w:p w:rsidR="001528AA" w:rsidRDefault="001528AA" w:rsidP="00701DCF">
      <w:pPr>
        <w:rPr>
          <w:rFonts w:cs="Arial"/>
          <w:szCs w:val="24"/>
        </w:rPr>
      </w:pPr>
      <w:r>
        <w:rPr>
          <w:rFonts w:cs="Arial"/>
          <w:szCs w:val="24"/>
        </w:rPr>
        <w:t xml:space="preserve">Anixter Solutions operates its own warehouse in Mountain Top, PA and purchases and stocks materials based on work orders and project bills of materials.  Anixter buys materials off of PPL EU pricing agreements.  PPL EU is invoiced for the materials when the items are issued to the job.  PPL EU is obligated to pay Anixter for </w:t>
      </w:r>
      <w:proofErr w:type="spellStart"/>
      <w:r>
        <w:rPr>
          <w:rFonts w:cs="Arial"/>
          <w:szCs w:val="24"/>
        </w:rPr>
        <w:t>obsoleted</w:t>
      </w:r>
      <w:proofErr w:type="spellEnd"/>
      <w:r>
        <w:rPr>
          <w:rFonts w:cs="Arial"/>
          <w:szCs w:val="24"/>
        </w:rPr>
        <w:t xml:space="preserve"> materials that are in stock.  There has been an effort over the past year and a half to clean up stranded inventory due to changing specifications.</w:t>
      </w:r>
    </w:p>
    <w:p w:rsidR="001528AA" w:rsidRPr="00DA1538" w:rsidRDefault="001528AA" w:rsidP="00DD2818">
      <w:pPr>
        <w:pStyle w:val="Heading40"/>
      </w:pPr>
      <w:bookmarkStart w:id="221" w:name="_Toc442617440"/>
      <w:r w:rsidRPr="00DA1538">
        <w:t>Materials Requests</w:t>
      </w:r>
      <w:bookmarkEnd w:id="221"/>
    </w:p>
    <w:p w:rsidR="001528AA" w:rsidRDefault="001528AA" w:rsidP="00701DCF">
      <w:pPr>
        <w:rPr>
          <w:rFonts w:cs="Arial"/>
          <w:szCs w:val="24"/>
        </w:rPr>
      </w:pPr>
      <w:r>
        <w:rPr>
          <w:rFonts w:cs="Arial"/>
          <w:szCs w:val="24"/>
        </w:rPr>
        <w:t>The requested lead time for transmission and substations project materials is 15 weeks.  Transmission contractors request job materials from Anixter Solutions via a web portal and also use the portal to request unused material returns.  The requested materials are delivered to the job sites or to the contractor’s staging areas.</w:t>
      </w:r>
    </w:p>
    <w:p w:rsidR="001528AA" w:rsidRDefault="001528AA" w:rsidP="00701DCF">
      <w:pPr>
        <w:rPr>
          <w:rFonts w:cs="Arial"/>
          <w:szCs w:val="24"/>
        </w:rPr>
      </w:pPr>
      <w:r>
        <w:rPr>
          <w:rFonts w:cs="Arial"/>
          <w:szCs w:val="24"/>
        </w:rPr>
        <w:t>The goal is to receive the bill of materials (BOMs) for distribution work at least seven days prior to need date.  Material needs for larger jobs are requested at least five weeks in advance.  Emergent work will have less advance notice since it is unplanned work.  When a job is approved, Logistics Services will get a notice of the material need date from the asset management application.  Engineering works with Logistics Services on the longer lead time items for special needs or bigger jobs.</w:t>
      </w:r>
    </w:p>
    <w:p w:rsidR="001528AA" w:rsidRDefault="001528AA" w:rsidP="00701DCF">
      <w:pPr>
        <w:rPr>
          <w:rFonts w:cs="Arial"/>
          <w:szCs w:val="24"/>
        </w:rPr>
      </w:pPr>
      <w:r>
        <w:rPr>
          <w:rFonts w:cs="Arial"/>
          <w:szCs w:val="24"/>
        </w:rPr>
        <w:t>A new contracting approach is being piloted with the LED Street Lighting contractor.  The contractor will be responsible for forecasting material needs and informing PPL EU.  Supply Chain will purchase the items and arrange for their release and delivery to the contractor directly from the supplier without first processing the materials through the SFC.</w:t>
      </w:r>
    </w:p>
    <w:p w:rsidR="001528AA" w:rsidRDefault="001528AA" w:rsidP="00DD2818">
      <w:pPr>
        <w:pStyle w:val="Heading40"/>
      </w:pPr>
      <w:bookmarkStart w:id="222" w:name="_Toc442617441"/>
      <w:r>
        <w:t>PPL EU Inventory</w:t>
      </w:r>
      <w:bookmarkEnd w:id="222"/>
    </w:p>
    <w:p w:rsidR="001528AA" w:rsidRDefault="001528AA" w:rsidP="00701DCF">
      <w:pPr>
        <w:rPr>
          <w:rFonts w:cs="Arial"/>
          <w:szCs w:val="24"/>
        </w:rPr>
      </w:pPr>
      <w:r>
        <w:rPr>
          <w:rFonts w:cs="Arial"/>
          <w:szCs w:val="24"/>
        </w:rPr>
        <w:t xml:space="preserve">Logistics Services </w:t>
      </w:r>
      <w:r w:rsidRPr="00E114DC">
        <w:rPr>
          <w:rFonts w:cs="Arial"/>
          <w:szCs w:val="24"/>
        </w:rPr>
        <w:t>is responsible for the physical inventory.  The group evaluated the spare parts inventory in 2013 with maintenance engineering and adjusted the maximum and minimum inventory levels.  Non-stocked short shelf life items can be a challenge when maintenance usage increases.  An example is specialized gaskets that are used during repairs or major maintenance with a shelf life as short as three to five years.  An upsurge in use can create a stock shortage due to the order lead time being longer than the typical material request lead time.  T&amp;S Maintenance also periodically receives an inactive parts list for review from Logistics</w:t>
      </w:r>
      <w:r>
        <w:rPr>
          <w:rFonts w:cs="Arial"/>
          <w:szCs w:val="24"/>
        </w:rPr>
        <w:t xml:space="preserve"> Services.  The stock minimums occasionally </w:t>
      </w:r>
      <w:r>
        <w:rPr>
          <w:rFonts w:cs="Arial"/>
          <w:szCs w:val="24"/>
        </w:rPr>
        <w:lastRenderedPageBreak/>
        <w:t>need to be adjusted based on lengthening lead times for certain items.</w:t>
      </w:r>
      <w:r w:rsidRPr="00195D27">
        <w:rPr>
          <w:rFonts w:cs="Arial"/>
          <w:szCs w:val="24"/>
        </w:rPr>
        <w:t xml:space="preserve"> </w:t>
      </w:r>
      <w:r>
        <w:rPr>
          <w:rFonts w:cs="Arial"/>
          <w:szCs w:val="24"/>
        </w:rPr>
        <w:t xml:space="preserve"> Logistics Services is also working with engineering on evaluating inactive inventory, emergency stores (storms), and emergency stock (maintenance repairs).  Safety stock items and levels are reviewed every three years.</w:t>
      </w:r>
    </w:p>
    <w:p w:rsidR="001528AA" w:rsidRDefault="001528AA" w:rsidP="00701DCF">
      <w:pPr>
        <w:rPr>
          <w:rFonts w:cs="Arial"/>
          <w:szCs w:val="24"/>
        </w:rPr>
      </w:pPr>
      <w:r>
        <w:rPr>
          <w:rFonts w:cs="Arial"/>
          <w:szCs w:val="24"/>
        </w:rPr>
        <w:t>A snapshot of the current inventory composition is shown in the following table.</w:t>
      </w:r>
    </w:p>
    <w:p w:rsidR="001528AA" w:rsidRPr="007D7B1B" w:rsidRDefault="00ED6D61" w:rsidP="00ED6D61">
      <w:pPr>
        <w:pStyle w:val="Caption"/>
      </w:pPr>
      <w:bookmarkStart w:id="223" w:name="_Toc464553006"/>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6</w:t>
      </w:r>
      <w:r w:rsidR="00CB2B2A">
        <w:rPr>
          <w:noProof/>
        </w:rPr>
        <w:fldChar w:fldCharType="end"/>
      </w:r>
      <w:r w:rsidR="003907AC">
        <w:br/>
      </w:r>
      <w:r w:rsidR="001528AA">
        <w:t>PPL EU Inventory Composition – November 2015</w:t>
      </w:r>
      <w:bookmarkEnd w:id="2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29"/>
        <w:gridCol w:w="1551"/>
        <w:gridCol w:w="1487"/>
      </w:tblGrid>
      <w:tr w:rsidR="001528AA" w:rsidRPr="007370C9" w:rsidTr="00643507">
        <w:trPr>
          <w:cantSplit/>
          <w:trHeight w:val="20"/>
          <w:tblHeader/>
          <w:jc w:val="center"/>
        </w:trPr>
        <w:tc>
          <w:tcPr>
            <w:tcW w:w="3729" w:type="dxa"/>
            <w:shd w:val="clear" w:color="auto" w:fill="A5CD7E"/>
            <w:vAlign w:val="center"/>
          </w:tcPr>
          <w:p w:rsidR="001528AA" w:rsidRPr="007370C9" w:rsidRDefault="001528AA" w:rsidP="007370C9">
            <w:pPr>
              <w:spacing w:before="120"/>
              <w:jc w:val="center"/>
              <w:rPr>
                <w:b/>
              </w:rPr>
            </w:pPr>
            <w:r w:rsidRPr="007370C9">
              <w:rPr>
                <w:b/>
              </w:rPr>
              <w:t>Factor</w:t>
            </w:r>
          </w:p>
        </w:tc>
        <w:tc>
          <w:tcPr>
            <w:tcW w:w="1551" w:type="dxa"/>
            <w:shd w:val="clear" w:color="auto" w:fill="A5CD7E"/>
            <w:vAlign w:val="center"/>
          </w:tcPr>
          <w:p w:rsidR="001528AA" w:rsidRPr="007370C9" w:rsidRDefault="001528AA" w:rsidP="007370C9">
            <w:pPr>
              <w:spacing w:before="120"/>
              <w:jc w:val="center"/>
              <w:rPr>
                <w:b/>
              </w:rPr>
            </w:pPr>
            <w:r w:rsidRPr="007370C9">
              <w:rPr>
                <w:b/>
              </w:rPr>
              <w:t>Dollars</w:t>
            </w:r>
          </w:p>
        </w:tc>
        <w:tc>
          <w:tcPr>
            <w:tcW w:w="1487" w:type="dxa"/>
            <w:shd w:val="clear" w:color="auto" w:fill="A5CD7E"/>
            <w:vAlign w:val="center"/>
          </w:tcPr>
          <w:p w:rsidR="001528AA" w:rsidRPr="007370C9" w:rsidRDefault="001528AA" w:rsidP="007370C9">
            <w:pPr>
              <w:spacing w:before="120"/>
              <w:jc w:val="center"/>
              <w:rPr>
                <w:b/>
              </w:rPr>
            </w:pPr>
            <w:r w:rsidRPr="007370C9">
              <w:rPr>
                <w:b/>
              </w:rPr>
              <w:t>Percent of total</w:t>
            </w:r>
          </w:p>
        </w:tc>
      </w:tr>
      <w:tr w:rsidR="001528AA" w:rsidRPr="00094B43" w:rsidTr="00701DCF">
        <w:trPr>
          <w:cantSplit/>
          <w:trHeight w:val="20"/>
          <w:jc w:val="center"/>
        </w:trPr>
        <w:tc>
          <w:tcPr>
            <w:tcW w:w="3729" w:type="dxa"/>
            <w:shd w:val="clear" w:color="auto" w:fill="auto"/>
            <w:vAlign w:val="center"/>
          </w:tcPr>
          <w:p w:rsidR="001528AA" w:rsidRPr="00094B43" w:rsidRDefault="001528AA" w:rsidP="00701DCF">
            <w:pPr>
              <w:pStyle w:val="Tabletext"/>
              <w:rPr>
                <w:rFonts w:cs="Arial"/>
              </w:rPr>
            </w:pPr>
            <w:r>
              <w:rPr>
                <w:rFonts w:cs="Arial"/>
              </w:rPr>
              <w:t>Active Inventory</w:t>
            </w:r>
          </w:p>
        </w:tc>
        <w:tc>
          <w:tcPr>
            <w:tcW w:w="1551" w:type="dxa"/>
            <w:vAlign w:val="center"/>
          </w:tcPr>
          <w:p w:rsidR="001528AA" w:rsidRPr="00094B43" w:rsidRDefault="001528AA" w:rsidP="006458AD">
            <w:pPr>
              <w:pStyle w:val="Tabletext"/>
              <w:rPr>
                <w:rFonts w:cs="Arial"/>
              </w:rPr>
            </w:pPr>
            <w:r w:rsidRPr="00032112">
              <w:t>$</w:t>
            </w:r>
            <w:r>
              <w:t>22,676,228</w:t>
            </w:r>
          </w:p>
        </w:tc>
        <w:tc>
          <w:tcPr>
            <w:tcW w:w="1487" w:type="dxa"/>
            <w:vAlign w:val="center"/>
          </w:tcPr>
          <w:p w:rsidR="001528AA" w:rsidRPr="00094B43" w:rsidRDefault="001528AA" w:rsidP="00701DCF">
            <w:pPr>
              <w:pStyle w:val="Tabletext"/>
              <w:rPr>
                <w:rFonts w:cs="Arial"/>
              </w:rPr>
            </w:pPr>
            <w:r>
              <w:rPr>
                <w:rFonts w:cs="Arial"/>
              </w:rPr>
              <w:t>61.6%</w:t>
            </w:r>
          </w:p>
        </w:tc>
      </w:tr>
      <w:tr w:rsidR="001528AA" w:rsidRPr="00094B43" w:rsidTr="00701DCF">
        <w:trPr>
          <w:cantSplit/>
          <w:trHeight w:val="20"/>
          <w:jc w:val="center"/>
        </w:trPr>
        <w:tc>
          <w:tcPr>
            <w:tcW w:w="3729" w:type="dxa"/>
            <w:shd w:val="clear" w:color="auto" w:fill="auto"/>
            <w:vAlign w:val="center"/>
          </w:tcPr>
          <w:p w:rsidR="001528AA" w:rsidRPr="00094B43" w:rsidRDefault="001528AA" w:rsidP="00701DCF">
            <w:pPr>
              <w:pStyle w:val="Tabletext"/>
              <w:rPr>
                <w:rFonts w:cs="Arial"/>
              </w:rPr>
            </w:pPr>
            <w:r>
              <w:rPr>
                <w:rFonts w:cs="Arial"/>
              </w:rPr>
              <w:t>Emergency Stock &amp; Spares</w:t>
            </w:r>
          </w:p>
        </w:tc>
        <w:tc>
          <w:tcPr>
            <w:tcW w:w="1551" w:type="dxa"/>
            <w:vAlign w:val="center"/>
          </w:tcPr>
          <w:p w:rsidR="001528AA" w:rsidRPr="00094B43" w:rsidRDefault="001528AA" w:rsidP="006458AD">
            <w:pPr>
              <w:pStyle w:val="Tabletext"/>
              <w:rPr>
                <w:rFonts w:cs="Arial"/>
              </w:rPr>
            </w:pPr>
            <w:r>
              <w:t>$</w:t>
            </w:r>
            <w:r w:rsidRPr="00D605D0">
              <w:t>10,462,126</w:t>
            </w:r>
          </w:p>
        </w:tc>
        <w:tc>
          <w:tcPr>
            <w:tcW w:w="1487" w:type="dxa"/>
            <w:vAlign w:val="center"/>
          </w:tcPr>
          <w:p w:rsidR="001528AA" w:rsidRPr="00094B43" w:rsidRDefault="001528AA" w:rsidP="00701DCF">
            <w:pPr>
              <w:pStyle w:val="Tabletext"/>
              <w:rPr>
                <w:rFonts w:cs="Arial"/>
              </w:rPr>
            </w:pPr>
            <w:r>
              <w:rPr>
                <w:rFonts w:cs="Arial"/>
              </w:rPr>
              <w:t>28.4%</w:t>
            </w:r>
          </w:p>
        </w:tc>
      </w:tr>
      <w:tr w:rsidR="001528AA" w:rsidRPr="00094B43" w:rsidTr="00701DCF">
        <w:trPr>
          <w:cantSplit/>
          <w:trHeight w:val="20"/>
          <w:jc w:val="center"/>
        </w:trPr>
        <w:tc>
          <w:tcPr>
            <w:tcW w:w="3729" w:type="dxa"/>
            <w:shd w:val="clear" w:color="auto" w:fill="auto"/>
            <w:vAlign w:val="center"/>
          </w:tcPr>
          <w:p w:rsidR="001528AA" w:rsidRPr="00094B43" w:rsidRDefault="001528AA" w:rsidP="00701DCF">
            <w:pPr>
              <w:pStyle w:val="Tabletext"/>
              <w:rPr>
                <w:rFonts w:cs="Arial"/>
              </w:rPr>
            </w:pPr>
            <w:r>
              <w:rPr>
                <w:rFonts w:cs="Arial"/>
              </w:rPr>
              <w:t>Inactive 12-24 months</w:t>
            </w:r>
          </w:p>
        </w:tc>
        <w:tc>
          <w:tcPr>
            <w:tcW w:w="1551" w:type="dxa"/>
            <w:vAlign w:val="center"/>
          </w:tcPr>
          <w:p w:rsidR="001528AA" w:rsidRPr="00B84863" w:rsidRDefault="001528AA" w:rsidP="006458AD">
            <w:pPr>
              <w:pStyle w:val="Tabletext"/>
            </w:pPr>
            <w:r w:rsidRPr="00032112">
              <w:t>$</w:t>
            </w:r>
            <w:r w:rsidRPr="00D605D0">
              <w:t>1,630</w:t>
            </w:r>
            <w:r>
              <w:t>,</w:t>
            </w:r>
            <w:r w:rsidRPr="00D605D0">
              <w:t>137</w:t>
            </w:r>
          </w:p>
        </w:tc>
        <w:tc>
          <w:tcPr>
            <w:tcW w:w="1487" w:type="dxa"/>
            <w:vAlign w:val="center"/>
          </w:tcPr>
          <w:p w:rsidR="001528AA" w:rsidRDefault="001528AA" w:rsidP="00701DCF">
            <w:pPr>
              <w:pStyle w:val="Tabletext"/>
              <w:rPr>
                <w:rFonts w:cs="Arial"/>
              </w:rPr>
            </w:pPr>
            <w:r>
              <w:rPr>
                <w:rFonts w:cs="Arial"/>
              </w:rPr>
              <w:t>4.4%</w:t>
            </w:r>
          </w:p>
        </w:tc>
      </w:tr>
      <w:tr w:rsidR="001528AA" w:rsidRPr="00094B43" w:rsidTr="00701DCF">
        <w:trPr>
          <w:cantSplit/>
          <w:trHeight w:val="20"/>
          <w:jc w:val="center"/>
        </w:trPr>
        <w:tc>
          <w:tcPr>
            <w:tcW w:w="3729" w:type="dxa"/>
            <w:shd w:val="clear" w:color="auto" w:fill="auto"/>
            <w:vAlign w:val="center"/>
          </w:tcPr>
          <w:p w:rsidR="001528AA" w:rsidRPr="00094B43" w:rsidRDefault="001528AA" w:rsidP="00701DCF">
            <w:pPr>
              <w:pStyle w:val="Tabletext"/>
              <w:rPr>
                <w:rFonts w:cs="Arial"/>
              </w:rPr>
            </w:pPr>
            <w:r>
              <w:rPr>
                <w:rFonts w:cs="Arial"/>
              </w:rPr>
              <w:t>Inactive more than 24 months</w:t>
            </w:r>
          </w:p>
        </w:tc>
        <w:tc>
          <w:tcPr>
            <w:tcW w:w="1551" w:type="dxa"/>
            <w:vAlign w:val="center"/>
          </w:tcPr>
          <w:p w:rsidR="001528AA" w:rsidRPr="00094B43" w:rsidRDefault="001528AA" w:rsidP="006458AD">
            <w:pPr>
              <w:pStyle w:val="Tabletext"/>
              <w:rPr>
                <w:rFonts w:cs="Arial"/>
              </w:rPr>
            </w:pPr>
            <w:r>
              <w:t>$</w:t>
            </w:r>
            <w:r w:rsidRPr="00D605D0">
              <w:t>2,015,236</w:t>
            </w:r>
          </w:p>
        </w:tc>
        <w:tc>
          <w:tcPr>
            <w:tcW w:w="1487" w:type="dxa"/>
            <w:vAlign w:val="center"/>
          </w:tcPr>
          <w:p w:rsidR="001528AA" w:rsidRPr="00094B43" w:rsidRDefault="001528AA" w:rsidP="00701DCF">
            <w:pPr>
              <w:pStyle w:val="Tabletext"/>
              <w:rPr>
                <w:rFonts w:cs="Arial"/>
              </w:rPr>
            </w:pPr>
            <w:r>
              <w:rPr>
                <w:rFonts w:cs="Arial"/>
              </w:rPr>
              <w:t>5.5%</w:t>
            </w:r>
          </w:p>
        </w:tc>
      </w:tr>
      <w:tr w:rsidR="001528AA" w:rsidRPr="00094B43" w:rsidTr="00701DCF">
        <w:trPr>
          <w:cantSplit/>
          <w:trHeight w:val="20"/>
          <w:jc w:val="center"/>
        </w:trPr>
        <w:tc>
          <w:tcPr>
            <w:tcW w:w="3729" w:type="dxa"/>
            <w:shd w:val="clear" w:color="auto" w:fill="auto"/>
            <w:vAlign w:val="center"/>
          </w:tcPr>
          <w:p w:rsidR="001528AA" w:rsidRPr="00094B43" w:rsidRDefault="001528AA" w:rsidP="00701DCF">
            <w:pPr>
              <w:pStyle w:val="Tabletext"/>
              <w:rPr>
                <w:rFonts w:cs="Arial"/>
              </w:rPr>
            </w:pPr>
            <w:r>
              <w:rPr>
                <w:rFonts w:cs="Arial"/>
              </w:rPr>
              <w:t>Total Inventory</w:t>
            </w:r>
          </w:p>
        </w:tc>
        <w:tc>
          <w:tcPr>
            <w:tcW w:w="1551" w:type="dxa"/>
            <w:vAlign w:val="center"/>
          </w:tcPr>
          <w:p w:rsidR="001528AA" w:rsidRPr="00094B43" w:rsidRDefault="001528AA" w:rsidP="006458AD">
            <w:pPr>
              <w:pStyle w:val="Tabletext"/>
              <w:rPr>
                <w:rFonts w:cs="Arial"/>
              </w:rPr>
            </w:pPr>
            <w:r>
              <w:rPr>
                <w:rFonts w:cs="Arial"/>
              </w:rPr>
              <w:t>$36,783,727</w:t>
            </w:r>
          </w:p>
        </w:tc>
        <w:tc>
          <w:tcPr>
            <w:tcW w:w="1487" w:type="dxa"/>
            <w:vAlign w:val="center"/>
          </w:tcPr>
          <w:p w:rsidR="001528AA" w:rsidRPr="00094B43" w:rsidRDefault="001528AA" w:rsidP="00701DCF">
            <w:pPr>
              <w:pStyle w:val="Tabletext"/>
              <w:rPr>
                <w:rFonts w:cs="Arial"/>
              </w:rPr>
            </w:pPr>
            <w:r>
              <w:rPr>
                <w:rFonts w:cs="Arial"/>
              </w:rPr>
              <w:t>--</w:t>
            </w:r>
          </w:p>
        </w:tc>
      </w:tr>
      <w:tr w:rsidR="001528AA" w:rsidRPr="00094B43" w:rsidTr="00701DCF">
        <w:trPr>
          <w:cantSplit/>
          <w:trHeight w:val="20"/>
          <w:jc w:val="center"/>
        </w:trPr>
        <w:tc>
          <w:tcPr>
            <w:tcW w:w="6767" w:type="dxa"/>
            <w:gridSpan w:val="3"/>
            <w:shd w:val="clear" w:color="auto" w:fill="auto"/>
            <w:vAlign w:val="center"/>
          </w:tcPr>
          <w:p w:rsidR="001528AA" w:rsidRPr="00094B43" w:rsidRDefault="001528AA" w:rsidP="00701DCF">
            <w:pPr>
              <w:pStyle w:val="Tabletext"/>
              <w:jc w:val="left"/>
              <w:rPr>
                <w:rFonts w:cs="Arial"/>
              </w:rPr>
            </w:pPr>
            <w:r w:rsidRPr="00094B43">
              <w:rPr>
                <w:rFonts w:cs="Arial"/>
              </w:rPr>
              <w:t>Source: DN 10-0</w:t>
            </w:r>
            <w:r>
              <w:rPr>
                <w:rFonts w:cs="Arial"/>
              </w:rPr>
              <w:t>76</w:t>
            </w:r>
          </w:p>
        </w:tc>
      </w:tr>
    </w:tbl>
    <w:p w:rsidR="001528AA" w:rsidRDefault="001528AA" w:rsidP="00701DCF">
      <w:pPr>
        <w:pStyle w:val="Normal-aftertable"/>
      </w:pPr>
      <w:r>
        <w:t>Wire and cable used in distribution line projects is the largest part of inventory value.  Emergency stock is expensed and is stored in a separate area at the service centers.  Logistics will issue the stock during a storm event.</w:t>
      </w:r>
    </w:p>
    <w:p w:rsidR="001528AA" w:rsidRDefault="001528AA" w:rsidP="00701DCF">
      <w:pPr>
        <w:rPr>
          <w:rFonts w:cs="Arial"/>
          <w:szCs w:val="24"/>
        </w:rPr>
      </w:pPr>
      <w:r>
        <w:rPr>
          <w:rFonts w:cs="Arial"/>
          <w:szCs w:val="24"/>
        </w:rPr>
        <w:t xml:space="preserve">Pre-capitalized inventory items are included in the above inventory valuation.  </w:t>
      </w:r>
      <w:r w:rsidRPr="00516709">
        <w:t>Pre-</w:t>
      </w:r>
      <w:r>
        <w:t>capitalized categories include t</w:t>
      </w:r>
      <w:r w:rsidRPr="00516709">
        <w:t xml:space="preserve">ools </w:t>
      </w:r>
      <w:r>
        <w:t>a</w:t>
      </w:r>
      <w:r w:rsidRPr="00516709">
        <w:t xml:space="preserve">nd </w:t>
      </w:r>
      <w:r>
        <w:t>e</w:t>
      </w:r>
      <w:r w:rsidRPr="00516709">
        <w:t>quipment</w:t>
      </w:r>
      <w:r>
        <w:t xml:space="preserve"> over $500 in value, telecommunications hardware, transformers, network protectors, meters, computer equipment (modems, personal computers, scanners, </w:t>
      </w:r>
      <w:proofErr w:type="gramStart"/>
      <w:r>
        <w:t>printers</w:t>
      </w:r>
      <w:proofErr w:type="gramEnd"/>
      <w:r>
        <w:t>) and chemicals and gases.  As of November 2015, the value of the pre-capitalized inventory was approximately $4.3 million.</w:t>
      </w:r>
      <w:r w:rsidRPr="006A3649">
        <w:rPr>
          <w:rFonts w:cs="Arial"/>
          <w:szCs w:val="24"/>
        </w:rPr>
        <w:t xml:space="preserve"> </w:t>
      </w:r>
      <w:r>
        <w:rPr>
          <w:rFonts w:cs="Arial"/>
          <w:szCs w:val="24"/>
        </w:rPr>
        <w:t xml:space="preserve"> Supply Chain monitors transformer inventory and turnover separately from the overall inventory value and turnover metrics.</w:t>
      </w:r>
    </w:p>
    <w:p w:rsidR="001528AA" w:rsidRDefault="001528AA" w:rsidP="00701DCF">
      <w:pPr>
        <w:rPr>
          <w:rFonts w:cs="Arial"/>
          <w:szCs w:val="24"/>
        </w:rPr>
      </w:pPr>
      <w:r>
        <w:rPr>
          <w:rFonts w:cs="Arial"/>
          <w:szCs w:val="24"/>
        </w:rPr>
        <w:t xml:space="preserve">Cycle counts are conducted for all </w:t>
      </w:r>
      <w:proofErr w:type="gramStart"/>
      <w:r>
        <w:rPr>
          <w:rFonts w:cs="Arial"/>
          <w:szCs w:val="24"/>
        </w:rPr>
        <w:t>A</w:t>
      </w:r>
      <w:proofErr w:type="gramEnd"/>
      <w:r>
        <w:rPr>
          <w:rFonts w:cs="Arial"/>
          <w:szCs w:val="24"/>
        </w:rPr>
        <w:t xml:space="preserve"> items at least annually, B items at least every two years.  The “A” category represents the top 20% of higher value or higher use items.  The “B” category represents the medium and lower value or usage items, the remaining 80%.</w:t>
      </w:r>
    </w:p>
    <w:p w:rsidR="001528AA" w:rsidRDefault="001528AA" w:rsidP="00701DCF">
      <w:pPr>
        <w:rPr>
          <w:rFonts w:cs="Arial"/>
          <w:szCs w:val="24"/>
        </w:rPr>
      </w:pPr>
      <w:r>
        <w:rPr>
          <w:rFonts w:cs="Arial"/>
          <w:szCs w:val="24"/>
        </w:rPr>
        <w:t>Material returns to PPL EU stores are from distribution jobs.  Inventory returns are largely driven by wire and cable which is normally issued on a reel rather than cutting the exact length needed for a job.  The material is charged to the job when issued and returns are subsequently credited to the job</w:t>
      </w:r>
      <w:r w:rsidRPr="00E82FC1">
        <w:rPr>
          <w:rFonts w:cs="Arial"/>
          <w:szCs w:val="24"/>
        </w:rPr>
        <w:t>.</w:t>
      </w:r>
    </w:p>
    <w:p w:rsidR="001528AA" w:rsidRDefault="001528AA" w:rsidP="00701DCF">
      <w:pPr>
        <w:rPr>
          <w:rFonts w:cs="Arial"/>
          <w:szCs w:val="24"/>
        </w:rPr>
      </w:pPr>
      <w:r>
        <w:rPr>
          <w:rFonts w:cs="Arial"/>
          <w:szCs w:val="24"/>
        </w:rPr>
        <w:t>The CIDs specify materials for a subassembly.  The crew may find that the existing cross arm can be reused and return the new cross arm to the warehouse.  Material handlers at the SFC can adjust the material picks for a job to block unneeded materials that are identified before the job starts.  There has also been an effort to standardize on what materials are local pick items at all service centers so that duplicate materials aren’t issued for the job.  The materials for jobs are usually picked five to seven days before the material need date.  The material need date is five to ten days before the job is scheduled to start.  Deliveries from the SFC are made at least every other day to the service centers.  The planned deliveries are made by contracted trucking companies.</w:t>
      </w:r>
    </w:p>
    <w:p w:rsidR="001528AA" w:rsidRDefault="001528AA" w:rsidP="00701DCF">
      <w:pPr>
        <w:rPr>
          <w:rFonts w:cs="Arial"/>
          <w:szCs w:val="24"/>
        </w:rPr>
      </w:pPr>
      <w:r>
        <w:rPr>
          <w:rFonts w:cs="Arial"/>
          <w:szCs w:val="24"/>
        </w:rPr>
        <w:lastRenderedPageBreak/>
        <w:t>Each service center stocks high volume materials and prepares materials for issue to crews based on the material lists.  These materials include conduit, service wire, poles, transformers, distribution hardware, and tools.  The materials are used to provide materials for short notice emergent work, new service installations, and high priority repairs.  The SFC replenishes this stock when items hit the reorder point.</w:t>
      </w:r>
    </w:p>
    <w:p w:rsidR="001528AA" w:rsidRDefault="001528AA" w:rsidP="00701DCF">
      <w:pPr>
        <w:rPr>
          <w:rFonts w:cs="Arial"/>
          <w:szCs w:val="24"/>
        </w:rPr>
      </w:pPr>
      <w:r>
        <w:rPr>
          <w:rFonts w:cs="Arial"/>
          <w:szCs w:val="24"/>
        </w:rPr>
        <w:t xml:space="preserve">The materials buyers are looking for ways to reduce inventory levels.  Supply Chain has been working with engineering to review items with zero use for three or more years and to streamline specifications to reduce the number of unique items where it is cost effective.  An effort was initiated in the third quarter of 2015 to review safety stock levels and maximum and minimum stock levels. </w:t>
      </w:r>
      <w:r w:rsidRPr="00500634">
        <w:rPr>
          <w:rFonts w:cs="Arial"/>
          <w:szCs w:val="24"/>
        </w:rPr>
        <w:t xml:space="preserve"> </w:t>
      </w:r>
      <w:r>
        <w:rPr>
          <w:rFonts w:cs="Arial"/>
          <w:szCs w:val="24"/>
        </w:rPr>
        <w:t>The Transmission Maintenance group is currently reviewing 125 CIDs for accuracy.  Distribution CIDs are being reviewed as well.</w:t>
      </w:r>
    </w:p>
    <w:p w:rsidR="001528AA" w:rsidRDefault="001528AA" w:rsidP="00701DCF">
      <w:pPr>
        <w:rPr>
          <w:rFonts w:cs="Arial"/>
          <w:szCs w:val="24"/>
        </w:rPr>
      </w:pPr>
      <w:r>
        <w:rPr>
          <w:rFonts w:cs="Arial"/>
          <w:szCs w:val="24"/>
        </w:rPr>
        <w:t xml:space="preserve">Anixter Solutions and PPL EU warehouse materials are tracked separately. </w:t>
      </w:r>
      <w:r w:rsidRPr="00462255">
        <w:rPr>
          <w:rFonts w:cs="Arial"/>
          <w:szCs w:val="24"/>
        </w:rPr>
        <w:t xml:space="preserve"> </w:t>
      </w:r>
      <w:r>
        <w:rPr>
          <w:rFonts w:cs="Arial"/>
          <w:szCs w:val="24"/>
        </w:rPr>
        <w:t>As of November 2015, the value of inventory held by Anixter for PPL was $30.4 million with year to date issues of $54.6 million, and returns of $2.9 million.</w:t>
      </w:r>
    </w:p>
    <w:p w:rsidR="001528AA" w:rsidRDefault="001528AA" w:rsidP="00DD2818">
      <w:pPr>
        <w:pStyle w:val="Heading40"/>
      </w:pPr>
      <w:bookmarkStart w:id="224" w:name="_Toc442617442"/>
      <w:r>
        <w:t>Materials Delivery</w:t>
      </w:r>
      <w:bookmarkEnd w:id="224"/>
    </w:p>
    <w:p w:rsidR="001528AA" w:rsidRDefault="001528AA" w:rsidP="00701DCF">
      <w:pPr>
        <w:rPr>
          <w:rFonts w:cs="Arial"/>
          <w:szCs w:val="24"/>
        </w:rPr>
      </w:pPr>
      <w:r>
        <w:rPr>
          <w:rFonts w:cs="Arial"/>
          <w:szCs w:val="24"/>
        </w:rPr>
        <w:t>Anixter Power Solutions (formerly HD Supply Power Solutions) provides materials directly to EU contractor job sites for transmission and substations capital work</w:t>
      </w:r>
      <w:r w:rsidRPr="00027525">
        <w:rPr>
          <w:rFonts w:cs="Arial"/>
          <w:szCs w:val="24"/>
        </w:rPr>
        <w:t xml:space="preserve"> </w:t>
      </w:r>
      <w:r>
        <w:rPr>
          <w:rFonts w:cs="Arial"/>
          <w:szCs w:val="24"/>
        </w:rPr>
        <w:t>and also provides materials to contractors for major distribution jobs.  Materials for most distribution jobs are managed through the PPL EU SFC warehouse.  The SFC pre-kits materials on pallets for the planned distribution jobs and delivery to the service centers or to the job site.  Poles are delivered directly to the job site by the pole supplier.</w:t>
      </w:r>
    </w:p>
    <w:p w:rsidR="001528AA" w:rsidRDefault="001528AA" w:rsidP="00701DCF">
      <w:pPr>
        <w:rPr>
          <w:rFonts w:cs="Arial"/>
          <w:szCs w:val="24"/>
        </w:rPr>
      </w:pPr>
      <w:r>
        <w:rPr>
          <w:rFonts w:cs="Arial"/>
          <w:szCs w:val="24"/>
        </w:rPr>
        <w:t>The pole vendor provides poles to PPL EU from a yard in Clear Spring, Maryland.  The wood poles are shipped to the service centers or job site and paid for on receipt.  The vendor also stores spare steel transmission poles owned by PPL.  Wood poles are not stocked at the SFC.</w:t>
      </w:r>
    </w:p>
    <w:p w:rsidR="001528AA" w:rsidRDefault="001528AA" w:rsidP="00701DCF">
      <w:pPr>
        <w:rPr>
          <w:rFonts w:cs="Arial"/>
          <w:szCs w:val="24"/>
        </w:rPr>
      </w:pPr>
      <w:r>
        <w:rPr>
          <w:rFonts w:cs="Arial"/>
          <w:szCs w:val="24"/>
        </w:rPr>
        <w:t>Anixter precuts wire for substation jobs to reduce the handling expense of large reels of control cable, grounding conductor, and jumpers.</w:t>
      </w:r>
    </w:p>
    <w:p w:rsidR="001528AA" w:rsidRDefault="001528AA" w:rsidP="00701DCF">
      <w:pPr>
        <w:rPr>
          <w:rFonts w:cs="Arial"/>
          <w:szCs w:val="24"/>
        </w:rPr>
      </w:pPr>
      <w:r>
        <w:rPr>
          <w:rFonts w:cs="Arial"/>
          <w:szCs w:val="24"/>
        </w:rPr>
        <w:t>Supply Chain is tracking lead times from materials request to material need date and monitoring Anixter inventory levels.  Anixter’s inventory turns have improved lately to approximately 2.8 times on an annual basis and Supply Chain expects that the annualized turnover ratio will be close to four times in 2016.</w:t>
      </w:r>
    </w:p>
    <w:p w:rsidR="001528AA" w:rsidRDefault="001528AA" w:rsidP="00FA30B2">
      <w:pPr>
        <w:pStyle w:val="Heading-forToC"/>
      </w:pPr>
      <w:bookmarkStart w:id="225" w:name="_Toc442617443"/>
      <w:bookmarkStart w:id="226" w:name="_Toc464552059"/>
      <w:r>
        <w:t>Findings</w:t>
      </w:r>
      <w:bookmarkEnd w:id="225"/>
      <w:bookmarkEnd w:id="226"/>
    </w:p>
    <w:p w:rsidR="001528AA" w:rsidRDefault="001528AA" w:rsidP="00B86FA4">
      <w:pPr>
        <w:pStyle w:val="Findings"/>
        <w:numPr>
          <w:ilvl w:val="0"/>
          <w:numId w:val="37"/>
        </w:numPr>
      </w:pPr>
      <w:r>
        <w:t xml:space="preserve">Although </w:t>
      </w:r>
      <w:r w:rsidRPr="00A25994">
        <w:t>Supply Chain has established a comprehensive set of Performance Indicators for 2015</w:t>
      </w:r>
      <w:r>
        <w:t>, it has not participated in any recent benchmarking studies to assess its performance with peers</w:t>
      </w:r>
      <w:r w:rsidRPr="00A25994">
        <w:t>.</w:t>
      </w:r>
    </w:p>
    <w:p w:rsidR="001528AA" w:rsidRDefault="001528AA" w:rsidP="00701DCF">
      <w:r>
        <w:t>Supply Chain maintains a</w:t>
      </w:r>
      <w:r w:rsidRPr="00A25994">
        <w:t xml:space="preserve"> total of 37 indicators covering Sourcing </w:t>
      </w:r>
      <w:r>
        <w:t>and</w:t>
      </w:r>
      <w:r w:rsidRPr="00A25994">
        <w:t xml:space="preserve"> Procurement, Programs, Logistics </w:t>
      </w:r>
      <w:r>
        <w:t>and</w:t>
      </w:r>
      <w:r w:rsidRPr="00A25994">
        <w:t xml:space="preserve"> Warehousing, and </w:t>
      </w:r>
      <w:r>
        <w:t>Anixter</w:t>
      </w:r>
      <w:r w:rsidRPr="00A25994">
        <w:t xml:space="preserve"> S</w:t>
      </w:r>
      <w:r>
        <w:t>olutions</w:t>
      </w:r>
      <w:r w:rsidRPr="00A25994">
        <w:t>.</w:t>
      </w:r>
      <w:r>
        <w:t xml:space="preserve">  The fourteen Anixter metrics include safety, cycle count accuracy, inventory turns, and returns volume.  Supply Chain did not provide results for any recent benchmarking studies.</w:t>
      </w:r>
    </w:p>
    <w:p w:rsidR="001528AA" w:rsidRDefault="001528AA" w:rsidP="00DD2818">
      <w:pPr>
        <w:pStyle w:val="Findings"/>
        <w:keepNext/>
        <w:numPr>
          <w:ilvl w:val="0"/>
          <w:numId w:val="37"/>
        </w:numPr>
      </w:pPr>
      <w:r>
        <w:lastRenderedPageBreak/>
        <w:t>Supply Chain has contracted with third party logistics providers for selected products.</w:t>
      </w:r>
    </w:p>
    <w:p w:rsidR="001528AA" w:rsidRDefault="001528AA" w:rsidP="00701DCF">
      <w:r>
        <w:t>Supply Chain utilizes a third party logistics provider for wood poles and for transmission project materials which adds flexibility in responding to upswings in demand for materials.  The wood pole supplier maintains an inventory of wood poles that meets PPL’s normal demand and is capable of supplying additional poles for service restoration after storms.  The contract with Anixter Solutions provided a rapid means to gear up for the surge in transmission capital spending in 2011 without spending additional upfront capital for facilities and inventory and is meeting ongoing needs for transmission and major distribution projects.</w:t>
      </w:r>
    </w:p>
    <w:p w:rsidR="001528AA" w:rsidRPr="004D1595" w:rsidRDefault="001528AA" w:rsidP="00B86FA4">
      <w:pPr>
        <w:pStyle w:val="Findings"/>
        <w:numPr>
          <w:ilvl w:val="0"/>
          <w:numId w:val="37"/>
        </w:numPr>
      </w:pPr>
      <w:r w:rsidRPr="004D1595">
        <w:t xml:space="preserve">PPL inventory turnover was over 3.0 times on an annual basis for 2013 </w:t>
      </w:r>
      <w:r>
        <w:t>and</w:t>
      </w:r>
      <w:r w:rsidRPr="004D1595">
        <w:t xml:space="preserve"> 2014 and 2.46 in 2015.</w:t>
      </w:r>
    </w:p>
    <w:p w:rsidR="001528AA" w:rsidRDefault="001528AA" w:rsidP="00701DCF">
      <w:r>
        <w:t>As of November 2015 the annualized inventory turnover ratio was reported to be 2.46.  This is above the 2015 performance goal of 2.4 turns but is below the performance of the past two years.</w:t>
      </w:r>
    </w:p>
    <w:p w:rsidR="001528AA" w:rsidRDefault="001528AA" w:rsidP="00701DCF">
      <w:pPr>
        <w:rPr>
          <w:rFonts w:cs="Arial"/>
          <w:szCs w:val="24"/>
        </w:rPr>
      </w:pPr>
      <w:r>
        <w:rPr>
          <w:rFonts w:cs="Arial"/>
          <w:szCs w:val="24"/>
        </w:rPr>
        <w:t>PPL EU inventory value and annual inventory turnover ratios are provided in the following table.</w:t>
      </w:r>
    </w:p>
    <w:p w:rsidR="001528AA" w:rsidRPr="007D7B1B" w:rsidRDefault="00ED6D61" w:rsidP="00ED6D61">
      <w:pPr>
        <w:pStyle w:val="Caption"/>
      </w:pPr>
      <w:bookmarkStart w:id="227" w:name="_Toc464553007"/>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7</w:t>
      </w:r>
      <w:r w:rsidR="00CB2B2A">
        <w:rPr>
          <w:noProof/>
        </w:rPr>
        <w:fldChar w:fldCharType="end"/>
      </w:r>
      <w:r w:rsidR="003907AC">
        <w:br/>
      </w:r>
      <w:r w:rsidR="001528AA">
        <w:t>PPL EU Year End Inventory Levels and Annual Turns Ratios 2011–2015</w:t>
      </w:r>
      <w:bookmarkEnd w:id="2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9"/>
        <w:gridCol w:w="1489"/>
        <w:gridCol w:w="1490"/>
        <w:gridCol w:w="1490"/>
        <w:gridCol w:w="1490"/>
        <w:gridCol w:w="1490"/>
      </w:tblGrid>
      <w:tr w:rsidR="001528AA" w:rsidRPr="007370C9" w:rsidTr="00643507">
        <w:trPr>
          <w:cantSplit/>
          <w:trHeight w:val="20"/>
          <w:tblHeader/>
          <w:jc w:val="center"/>
        </w:trPr>
        <w:tc>
          <w:tcPr>
            <w:tcW w:w="1839" w:type="dxa"/>
            <w:shd w:val="clear" w:color="auto" w:fill="A5CD7E"/>
            <w:vAlign w:val="center"/>
          </w:tcPr>
          <w:p w:rsidR="001528AA" w:rsidRPr="007370C9" w:rsidRDefault="001528AA" w:rsidP="007370C9">
            <w:pPr>
              <w:spacing w:before="120"/>
              <w:jc w:val="center"/>
              <w:rPr>
                <w:b/>
              </w:rPr>
            </w:pPr>
            <w:r w:rsidRPr="007370C9">
              <w:rPr>
                <w:b/>
              </w:rPr>
              <w:t>Factor</w:t>
            </w:r>
          </w:p>
        </w:tc>
        <w:tc>
          <w:tcPr>
            <w:tcW w:w="1489" w:type="dxa"/>
            <w:shd w:val="clear" w:color="auto" w:fill="A5CD7E"/>
            <w:vAlign w:val="center"/>
          </w:tcPr>
          <w:p w:rsidR="001528AA" w:rsidRPr="007370C9" w:rsidRDefault="001528AA" w:rsidP="007370C9">
            <w:pPr>
              <w:spacing w:before="120"/>
              <w:jc w:val="center"/>
              <w:rPr>
                <w:b/>
              </w:rPr>
            </w:pPr>
            <w:r w:rsidRPr="007370C9">
              <w:rPr>
                <w:b/>
              </w:rPr>
              <w:t>2011</w:t>
            </w:r>
          </w:p>
        </w:tc>
        <w:tc>
          <w:tcPr>
            <w:tcW w:w="1490" w:type="dxa"/>
            <w:shd w:val="clear" w:color="auto" w:fill="A5CD7E"/>
            <w:vAlign w:val="center"/>
          </w:tcPr>
          <w:p w:rsidR="001528AA" w:rsidRPr="007370C9" w:rsidRDefault="001528AA" w:rsidP="007370C9">
            <w:pPr>
              <w:spacing w:before="120"/>
              <w:jc w:val="center"/>
              <w:rPr>
                <w:b/>
              </w:rPr>
            </w:pPr>
            <w:r w:rsidRPr="007370C9">
              <w:rPr>
                <w:b/>
              </w:rPr>
              <w:t>2012</w:t>
            </w:r>
          </w:p>
        </w:tc>
        <w:tc>
          <w:tcPr>
            <w:tcW w:w="1490" w:type="dxa"/>
            <w:shd w:val="clear" w:color="auto" w:fill="A5CD7E"/>
            <w:vAlign w:val="center"/>
          </w:tcPr>
          <w:p w:rsidR="001528AA" w:rsidRPr="007370C9" w:rsidRDefault="001528AA" w:rsidP="007370C9">
            <w:pPr>
              <w:spacing w:before="120"/>
              <w:jc w:val="center"/>
              <w:rPr>
                <w:b/>
              </w:rPr>
            </w:pPr>
            <w:r w:rsidRPr="007370C9">
              <w:rPr>
                <w:b/>
              </w:rPr>
              <w:t>2013</w:t>
            </w:r>
          </w:p>
        </w:tc>
        <w:tc>
          <w:tcPr>
            <w:tcW w:w="1490" w:type="dxa"/>
            <w:shd w:val="clear" w:color="auto" w:fill="A5CD7E"/>
            <w:vAlign w:val="center"/>
          </w:tcPr>
          <w:p w:rsidR="001528AA" w:rsidRPr="007370C9" w:rsidRDefault="001528AA" w:rsidP="007370C9">
            <w:pPr>
              <w:spacing w:before="120"/>
              <w:jc w:val="center"/>
              <w:rPr>
                <w:b/>
              </w:rPr>
            </w:pPr>
            <w:r w:rsidRPr="007370C9">
              <w:rPr>
                <w:b/>
              </w:rPr>
              <w:t>2014</w:t>
            </w:r>
          </w:p>
        </w:tc>
        <w:tc>
          <w:tcPr>
            <w:tcW w:w="1490" w:type="dxa"/>
            <w:shd w:val="clear" w:color="auto" w:fill="A5CD7E"/>
            <w:vAlign w:val="center"/>
          </w:tcPr>
          <w:p w:rsidR="001528AA" w:rsidRPr="007370C9" w:rsidRDefault="001528AA" w:rsidP="007370C9">
            <w:pPr>
              <w:spacing w:before="120"/>
              <w:jc w:val="center"/>
              <w:rPr>
                <w:b/>
              </w:rPr>
            </w:pPr>
            <w:r w:rsidRPr="007370C9">
              <w:rPr>
                <w:b/>
              </w:rPr>
              <w:t xml:space="preserve">2015 </w:t>
            </w:r>
          </w:p>
        </w:tc>
      </w:tr>
      <w:tr w:rsidR="001528AA" w:rsidRPr="00453EB3" w:rsidTr="00701DCF">
        <w:trPr>
          <w:trHeight w:val="20"/>
          <w:jc w:val="center"/>
        </w:trPr>
        <w:tc>
          <w:tcPr>
            <w:tcW w:w="1839" w:type="dxa"/>
            <w:shd w:val="clear" w:color="auto" w:fill="auto"/>
            <w:vAlign w:val="center"/>
          </w:tcPr>
          <w:p w:rsidR="001528AA" w:rsidRPr="00453EB3" w:rsidRDefault="001528AA" w:rsidP="00701DCF">
            <w:pPr>
              <w:pStyle w:val="Tabletext"/>
              <w:rPr>
                <w:rFonts w:cs="Arial"/>
                <w:sz w:val="22"/>
                <w:szCs w:val="22"/>
              </w:rPr>
            </w:pPr>
            <w:r w:rsidRPr="00453EB3">
              <w:rPr>
                <w:rFonts w:cs="Arial"/>
                <w:sz w:val="22"/>
                <w:szCs w:val="22"/>
              </w:rPr>
              <w:t>Inventory Value</w:t>
            </w:r>
          </w:p>
        </w:tc>
        <w:tc>
          <w:tcPr>
            <w:tcW w:w="1489" w:type="dxa"/>
            <w:vAlign w:val="center"/>
          </w:tcPr>
          <w:p w:rsidR="001528AA" w:rsidRPr="00453EB3" w:rsidRDefault="001528AA" w:rsidP="00701DCF">
            <w:pPr>
              <w:pStyle w:val="Tabletext"/>
              <w:rPr>
                <w:rFonts w:cs="Arial"/>
                <w:sz w:val="22"/>
                <w:szCs w:val="22"/>
              </w:rPr>
            </w:pPr>
            <w:r w:rsidRPr="00453EB3">
              <w:rPr>
                <w:rFonts w:cs="Arial"/>
                <w:sz w:val="22"/>
                <w:szCs w:val="22"/>
              </w:rPr>
              <w:t>$33,970,793</w:t>
            </w:r>
          </w:p>
        </w:tc>
        <w:tc>
          <w:tcPr>
            <w:tcW w:w="1490" w:type="dxa"/>
            <w:vAlign w:val="center"/>
          </w:tcPr>
          <w:p w:rsidR="001528AA" w:rsidRPr="00453EB3" w:rsidRDefault="001528AA" w:rsidP="00701DCF">
            <w:pPr>
              <w:pStyle w:val="Tabletext"/>
              <w:rPr>
                <w:rFonts w:cs="Arial"/>
                <w:sz w:val="22"/>
                <w:szCs w:val="22"/>
              </w:rPr>
            </w:pPr>
            <w:r w:rsidRPr="00453EB3">
              <w:rPr>
                <w:rFonts w:cs="Arial"/>
                <w:sz w:val="22"/>
                <w:szCs w:val="22"/>
              </w:rPr>
              <w:t>$33,889,261</w:t>
            </w:r>
          </w:p>
        </w:tc>
        <w:tc>
          <w:tcPr>
            <w:tcW w:w="1490" w:type="dxa"/>
            <w:vAlign w:val="center"/>
          </w:tcPr>
          <w:p w:rsidR="001528AA" w:rsidRPr="00453EB3" w:rsidRDefault="001528AA" w:rsidP="00701DCF">
            <w:pPr>
              <w:pStyle w:val="Tabletext"/>
              <w:rPr>
                <w:rFonts w:cs="Arial"/>
                <w:sz w:val="22"/>
                <w:szCs w:val="22"/>
              </w:rPr>
            </w:pPr>
            <w:r w:rsidRPr="00453EB3">
              <w:rPr>
                <w:rFonts w:cs="Arial"/>
                <w:sz w:val="22"/>
                <w:szCs w:val="22"/>
              </w:rPr>
              <w:t>$31,349,802</w:t>
            </w:r>
          </w:p>
        </w:tc>
        <w:tc>
          <w:tcPr>
            <w:tcW w:w="1490" w:type="dxa"/>
            <w:vAlign w:val="center"/>
          </w:tcPr>
          <w:p w:rsidR="001528AA" w:rsidRPr="00453EB3" w:rsidRDefault="001528AA" w:rsidP="00701DCF">
            <w:pPr>
              <w:pStyle w:val="Tabletext"/>
              <w:rPr>
                <w:rFonts w:cs="Arial"/>
                <w:sz w:val="22"/>
                <w:szCs w:val="22"/>
              </w:rPr>
            </w:pPr>
            <w:r w:rsidRPr="00453EB3">
              <w:rPr>
                <w:rFonts w:cs="Arial"/>
                <w:sz w:val="22"/>
                <w:szCs w:val="22"/>
              </w:rPr>
              <w:t>$38,506,885</w:t>
            </w:r>
          </w:p>
        </w:tc>
        <w:tc>
          <w:tcPr>
            <w:tcW w:w="1490" w:type="dxa"/>
            <w:vAlign w:val="center"/>
          </w:tcPr>
          <w:p w:rsidR="001528AA" w:rsidRPr="00453EB3" w:rsidRDefault="001528AA" w:rsidP="00701DCF">
            <w:pPr>
              <w:pStyle w:val="Tabletext"/>
              <w:rPr>
                <w:rFonts w:cs="Arial"/>
                <w:sz w:val="22"/>
                <w:szCs w:val="22"/>
              </w:rPr>
            </w:pPr>
            <w:r w:rsidRPr="00453EB3">
              <w:rPr>
                <w:rFonts w:cs="Arial"/>
                <w:sz w:val="22"/>
                <w:szCs w:val="22"/>
              </w:rPr>
              <w:t>$36,783,727</w:t>
            </w:r>
          </w:p>
        </w:tc>
      </w:tr>
      <w:tr w:rsidR="001528AA" w:rsidRPr="00453EB3" w:rsidTr="00701DCF">
        <w:trPr>
          <w:trHeight w:val="20"/>
          <w:jc w:val="center"/>
        </w:trPr>
        <w:tc>
          <w:tcPr>
            <w:tcW w:w="1839" w:type="dxa"/>
            <w:shd w:val="clear" w:color="auto" w:fill="auto"/>
            <w:vAlign w:val="center"/>
          </w:tcPr>
          <w:p w:rsidR="001528AA" w:rsidRPr="00453EB3" w:rsidRDefault="001528AA" w:rsidP="00701DCF">
            <w:pPr>
              <w:pStyle w:val="Tabletext"/>
              <w:rPr>
                <w:rFonts w:cs="Arial"/>
                <w:sz w:val="22"/>
              </w:rPr>
            </w:pPr>
            <w:r w:rsidRPr="00453EB3">
              <w:rPr>
                <w:rFonts w:cs="Arial"/>
                <w:sz w:val="22"/>
              </w:rPr>
              <w:t>Inventory Turns</w:t>
            </w:r>
          </w:p>
        </w:tc>
        <w:tc>
          <w:tcPr>
            <w:tcW w:w="1489" w:type="dxa"/>
            <w:vAlign w:val="center"/>
          </w:tcPr>
          <w:p w:rsidR="001528AA" w:rsidRPr="00453EB3" w:rsidRDefault="001528AA" w:rsidP="00701DCF">
            <w:pPr>
              <w:pStyle w:val="Tabletext"/>
              <w:rPr>
                <w:rFonts w:cs="Arial"/>
                <w:sz w:val="22"/>
              </w:rPr>
            </w:pPr>
            <w:r w:rsidRPr="00453EB3">
              <w:rPr>
                <w:rFonts w:cs="Arial"/>
                <w:sz w:val="22"/>
              </w:rPr>
              <w:t>3.18</w:t>
            </w:r>
          </w:p>
        </w:tc>
        <w:tc>
          <w:tcPr>
            <w:tcW w:w="1490" w:type="dxa"/>
            <w:vAlign w:val="center"/>
          </w:tcPr>
          <w:p w:rsidR="001528AA" w:rsidRPr="00453EB3" w:rsidRDefault="001528AA" w:rsidP="00701DCF">
            <w:pPr>
              <w:pStyle w:val="Tabletext"/>
              <w:rPr>
                <w:rFonts w:cs="Arial"/>
                <w:sz w:val="22"/>
              </w:rPr>
            </w:pPr>
            <w:r w:rsidRPr="00453EB3">
              <w:rPr>
                <w:rFonts w:cs="Arial"/>
                <w:sz w:val="22"/>
              </w:rPr>
              <w:t>2.87</w:t>
            </w:r>
          </w:p>
        </w:tc>
        <w:tc>
          <w:tcPr>
            <w:tcW w:w="1490" w:type="dxa"/>
            <w:vAlign w:val="center"/>
          </w:tcPr>
          <w:p w:rsidR="001528AA" w:rsidRPr="00453EB3" w:rsidRDefault="001528AA" w:rsidP="00701DCF">
            <w:pPr>
              <w:pStyle w:val="Tabletext"/>
              <w:rPr>
                <w:rFonts w:cs="Arial"/>
                <w:sz w:val="22"/>
              </w:rPr>
            </w:pPr>
            <w:r w:rsidRPr="00453EB3">
              <w:rPr>
                <w:rFonts w:cs="Arial"/>
                <w:sz w:val="22"/>
              </w:rPr>
              <w:t>3.06</w:t>
            </w:r>
          </w:p>
        </w:tc>
        <w:tc>
          <w:tcPr>
            <w:tcW w:w="1490" w:type="dxa"/>
            <w:vAlign w:val="center"/>
          </w:tcPr>
          <w:p w:rsidR="001528AA" w:rsidRPr="00453EB3" w:rsidRDefault="001528AA" w:rsidP="00701DCF">
            <w:pPr>
              <w:pStyle w:val="Tabletext"/>
              <w:rPr>
                <w:rFonts w:cs="Arial"/>
                <w:sz w:val="22"/>
              </w:rPr>
            </w:pPr>
            <w:r w:rsidRPr="00453EB3">
              <w:rPr>
                <w:rFonts w:cs="Arial"/>
                <w:sz w:val="22"/>
              </w:rPr>
              <w:t>3.42</w:t>
            </w:r>
          </w:p>
        </w:tc>
        <w:tc>
          <w:tcPr>
            <w:tcW w:w="1490" w:type="dxa"/>
            <w:vAlign w:val="center"/>
          </w:tcPr>
          <w:p w:rsidR="001528AA" w:rsidRPr="00453EB3" w:rsidRDefault="001528AA" w:rsidP="00701DCF">
            <w:pPr>
              <w:pStyle w:val="Tabletext"/>
              <w:rPr>
                <w:rFonts w:cs="Arial"/>
                <w:sz w:val="22"/>
              </w:rPr>
            </w:pPr>
            <w:r w:rsidRPr="00453EB3">
              <w:rPr>
                <w:rFonts w:cs="Arial"/>
                <w:sz w:val="22"/>
              </w:rPr>
              <w:t>2.46</w:t>
            </w:r>
          </w:p>
        </w:tc>
      </w:tr>
      <w:tr w:rsidR="001528AA" w:rsidRPr="00453EB3" w:rsidTr="00701DCF">
        <w:trPr>
          <w:trHeight w:val="20"/>
          <w:jc w:val="center"/>
        </w:trPr>
        <w:tc>
          <w:tcPr>
            <w:tcW w:w="9288" w:type="dxa"/>
            <w:gridSpan w:val="6"/>
            <w:shd w:val="clear" w:color="auto" w:fill="auto"/>
            <w:vAlign w:val="center"/>
          </w:tcPr>
          <w:p w:rsidR="001528AA" w:rsidRPr="00453EB3" w:rsidRDefault="001528AA" w:rsidP="00701DCF">
            <w:pPr>
              <w:pStyle w:val="Tabletext"/>
              <w:jc w:val="left"/>
              <w:rPr>
                <w:sz w:val="22"/>
              </w:rPr>
            </w:pPr>
            <w:r w:rsidRPr="00453EB3">
              <w:rPr>
                <w:sz w:val="22"/>
              </w:rPr>
              <w:t>Source: DN 10-067; DN 10-078</w:t>
            </w:r>
          </w:p>
        </w:tc>
      </w:tr>
    </w:tbl>
    <w:p w:rsidR="001528AA" w:rsidRDefault="001528AA" w:rsidP="00701DCF">
      <w:pPr>
        <w:pStyle w:val="Normal-aftertable"/>
      </w:pPr>
      <w:r>
        <w:t>An annualized turnover ratio above 2.5 is a good result for PPL EU.  High performing utilities are in the 2.5 to 3.0 plus range for inventory turns, excluding emergency stock.</w:t>
      </w:r>
    </w:p>
    <w:p w:rsidR="001528AA" w:rsidRDefault="001528AA" w:rsidP="00701DCF">
      <w:r>
        <w:t xml:space="preserve">PPL has proposed a goal of achieving a 4.0 </w:t>
      </w:r>
      <w:proofErr w:type="gramStart"/>
      <w:r>
        <w:t>turns</w:t>
      </w:r>
      <w:proofErr w:type="gramEnd"/>
      <w:r>
        <w:t xml:space="preserve"> ratio in 2016 for both PPL EU and Anixter Solutions.</w:t>
      </w:r>
    </w:p>
    <w:p w:rsidR="001528AA" w:rsidRPr="00221EB7" w:rsidRDefault="001528AA" w:rsidP="00701DCF">
      <w:r>
        <w:t>Anixter Solutions reported annualized inventory turnover results as of November 2015 of 2.79.  These results exclude m</w:t>
      </w:r>
      <w:r w:rsidRPr="00221EB7">
        <w:t>aterial directly charged to a specific account</w:t>
      </w:r>
      <w:r>
        <w:t>, non-stock (special order), pre-capitalized, and emergency stock items.</w:t>
      </w:r>
    </w:p>
    <w:p w:rsidR="001528AA" w:rsidRPr="007B332B" w:rsidRDefault="001528AA" w:rsidP="00B86FA4">
      <w:pPr>
        <w:pStyle w:val="Findings"/>
        <w:numPr>
          <w:ilvl w:val="0"/>
          <w:numId w:val="37"/>
        </w:numPr>
      </w:pPr>
      <w:r w:rsidRPr="007B332B">
        <w:t>The level of inventory returns has improved.</w:t>
      </w:r>
    </w:p>
    <w:p w:rsidR="001528AA" w:rsidRDefault="001528AA" w:rsidP="00701DCF">
      <w:r w:rsidRPr="007B332B">
        <w:t>The following exhibit summarizes the total annual volume of issues, returns, and percent returns for the PPL EU Supply Chain from 2011 to November 2015.</w:t>
      </w:r>
    </w:p>
    <w:p w:rsidR="00DD2818" w:rsidRDefault="00DD2818">
      <w:pPr>
        <w:spacing w:after="0"/>
        <w:jc w:val="left"/>
        <w:rPr>
          <w:b/>
          <w:bCs/>
          <w:szCs w:val="18"/>
        </w:rPr>
      </w:pPr>
      <w:r>
        <w:br w:type="page"/>
      </w:r>
    </w:p>
    <w:p w:rsidR="001528AA" w:rsidRPr="007D7B1B" w:rsidRDefault="00ED6D61" w:rsidP="00ED6D61">
      <w:pPr>
        <w:pStyle w:val="Caption"/>
      </w:pPr>
      <w:bookmarkStart w:id="228" w:name="_Toc464553008"/>
      <w:r>
        <w:lastRenderedPageBreak/>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8</w:t>
      </w:r>
      <w:r w:rsidR="00CB2B2A">
        <w:rPr>
          <w:noProof/>
        </w:rPr>
        <w:fldChar w:fldCharType="end"/>
      </w:r>
      <w:r w:rsidR="003907AC">
        <w:br/>
      </w:r>
      <w:r w:rsidR="001528AA">
        <w:t>PPL EU Annual Issues and Returns 2011–2015</w:t>
      </w:r>
      <w:bookmarkEnd w:id="2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8"/>
        <w:gridCol w:w="1604"/>
        <w:gridCol w:w="1604"/>
        <w:gridCol w:w="1604"/>
        <w:gridCol w:w="1604"/>
        <w:gridCol w:w="1604"/>
      </w:tblGrid>
      <w:tr w:rsidR="001528AA" w:rsidRPr="007370C9" w:rsidTr="00643507">
        <w:trPr>
          <w:cantSplit/>
          <w:trHeight w:val="20"/>
          <w:tblHeader/>
          <w:jc w:val="center"/>
        </w:trPr>
        <w:tc>
          <w:tcPr>
            <w:tcW w:w="1268" w:type="dxa"/>
            <w:shd w:val="clear" w:color="auto" w:fill="A5CD7E"/>
            <w:vAlign w:val="center"/>
          </w:tcPr>
          <w:p w:rsidR="001528AA" w:rsidRPr="007370C9" w:rsidRDefault="001528AA" w:rsidP="007370C9">
            <w:pPr>
              <w:spacing w:before="120"/>
              <w:jc w:val="center"/>
              <w:rPr>
                <w:b/>
              </w:rPr>
            </w:pPr>
            <w:r w:rsidRPr="007370C9">
              <w:rPr>
                <w:b/>
              </w:rPr>
              <w:t>Factor</w:t>
            </w:r>
          </w:p>
        </w:tc>
        <w:tc>
          <w:tcPr>
            <w:tcW w:w="1604" w:type="dxa"/>
            <w:shd w:val="clear" w:color="auto" w:fill="A5CD7E"/>
            <w:vAlign w:val="center"/>
          </w:tcPr>
          <w:p w:rsidR="001528AA" w:rsidRPr="007370C9" w:rsidRDefault="001528AA" w:rsidP="007370C9">
            <w:pPr>
              <w:spacing w:before="120"/>
              <w:jc w:val="center"/>
              <w:rPr>
                <w:b/>
              </w:rPr>
            </w:pPr>
            <w:r w:rsidRPr="007370C9">
              <w:rPr>
                <w:b/>
              </w:rPr>
              <w:t>2011</w:t>
            </w:r>
          </w:p>
        </w:tc>
        <w:tc>
          <w:tcPr>
            <w:tcW w:w="1604" w:type="dxa"/>
            <w:shd w:val="clear" w:color="auto" w:fill="A5CD7E"/>
            <w:vAlign w:val="center"/>
          </w:tcPr>
          <w:p w:rsidR="001528AA" w:rsidRPr="007370C9" w:rsidRDefault="001528AA" w:rsidP="007370C9">
            <w:pPr>
              <w:spacing w:before="120"/>
              <w:jc w:val="center"/>
              <w:rPr>
                <w:b/>
              </w:rPr>
            </w:pPr>
            <w:r w:rsidRPr="007370C9">
              <w:rPr>
                <w:b/>
              </w:rPr>
              <w:t>2012</w:t>
            </w:r>
          </w:p>
        </w:tc>
        <w:tc>
          <w:tcPr>
            <w:tcW w:w="1604" w:type="dxa"/>
            <w:shd w:val="clear" w:color="auto" w:fill="A5CD7E"/>
            <w:vAlign w:val="center"/>
          </w:tcPr>
          <w:p w:rsidR="001528AA" w:rsidRPr="007370C9" w:rsidRDefault="001528AA" w:rsidP="007370C9">
            <w:pPr>
              <w:spacing w:before="120"/>
              <w:jc w:val="center"/>
              <w:rPr>
                <w:b/>
              </w:rPr>
            </w:pPr>
            <w:r w:rsidRPr="007370C9">
              <w:rPr>
                <w:b/>
              </w:rPr>
              <w:t>2013</w:t>
            </w:r>
          </w:p>
        </w:tc>
        <w:tc>
          <w:tcPr>
            <w:tcW w:w="1604" w:type="dxa"/>
            <w:shd w:val="clear" w:color="auto" w:fill="A5CD7E"/>
            <w:vAlign w:val="center"/>
          </w:tcPr>
          <w:p w:rsidR="001528AA" w:rsidRPr="007370C9" w:rsidRDefault="001528AA" w:rsidP="007370C9">
            <w:pPr>
              <w:spacing w:before="120"/>
              <w:jc w:val="center"/>
              <w:rPr>
                <w:b/>
              </w:rPr>
            </w:pPr>
            <w:r w:rsidRPr="007370C9">
              <w:rPr>
                <w:b/>
              </w:rPr>
              <w:t>2014</w:t>
            </w:r>
          </w:p>
        </w:tc>
        <w:tc>
          <w:tcPr>
            <w:tcW w:w="1604"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462255" w:rsidTr="00701DCF">
        <w:trPr>
          <w:trHeight w:val="20"/>
          <w:jc w:val="center"/>
        </w:trPr>
        <w:tc>
          <w:tcPr>
            <w:tcW w:w="1268" w:type="dxa"/>
            <w:shd w:val="clear" w:color="auto" w:fill="auto"/>
            <w:vAlign w:val="center"/>
          </w:tcPr>
          <w:p w:rsidR="001528AA" w:rsidRPr="00462255" w:rsidRDefault="001528AA" w:rsidP="00701DCF">
            <w:pPr>
              <w:pStyle w:val="Tabletext"/>
              <w:rPr>
                <w:rFonts w:cs="Arial"/>
                <w:sz w:val="22"/>
                <w:szCs w:val="22"/>
              </w:rPr>
            </w:pPr>
            <w:r w:rsidRPr="00462255">
              <w:rPr>
                <w:rFonts w:cs="Arial"/>
                <w:sz w:val="22"/>
                <w:szCs w:val="22"/>
              </w:rPr>
              <w:t>Issues</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$148,637,336</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$123,917,714</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$131,786,664</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$138,084,268</w:t>
            </w:r>
          </w:p>
        </w:tc>
        <w:tc>
          <w:tcPr>
            <w:tcW w:w="1604" w:type="dxa"/>
            <w:vAlign w:val="center"/>
          </w:tcPr>
          <w:p w:rsidR="001528AA" w:rsidRPr="00462255" w:rsidRDefault="001528AA" w:rsidP="00701DCF">
            <w:pPr>
              <w:pStyle w:val="Tabletext"/>
              <w:rPr>
                <w:rFonts w:cs="Arial"/>
                <w:sz w:val="22"/>
                <w:szCs w:val="22"/>
              </w:rPr>
            </w:pPr>
            <w:r w:rsidRPr="00462255">
              <w:rPr>
                <w:sz w:val="22"/>
                <w:szCs w:val="22"/>
              </w:rPr>
              <w:t>$71,366,723</w:t>
            </w:r>
          </w:p>
        </w:tc>
      </w:tr>
      <w:tr w:rsidR="001528AA" w:rsidRPr="00462255" w:rsidTr="00701DCF">
        <w:trPr>
          <w:trHeight w:val="20"/>
          <w:jc w:val="center"/>
        </w:trPr>
        <w:tc>
          <w:tcPr>
            <w:tcW w:w="1268" w:type="dxa"/>
            <w:shd w:val="clear" w:color="auto" w:fill="auto"/>
            <w:vAlign w:val="center"/>
          </w:tcPr>
          <w:p w:rsidR="001528AA" w:rsidRPr="00462255" w:rsidRDefault="001528AA" w:rsidP="00701DCF">
            <w:pPr>
              <w:pStyle w:val="Tabletext"/>
              <w:rPr>
                <w:rFonts w:cs="Arial"/>
                <w:sz w:val="22"/>
                <w:szCs w:val="22"/>
              </w:rPr>
            </w:pPr>
            <w:r w:rsidRPr="00462255">
              <w:rPr>
                <w:rFonts w:cs="Arial"/>
                <w:sz w:val="22"/>
                <w:szCs w:val="22"/>
              </w:rPr>
              <w:t>Returns</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$34,170,833</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$31,242,791</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$27,894,261</w:t>
            </w:r>
          </w:p>
        </w:tc>
        <w:tc>
          <w:tcPr>
            <w:tcW w:w="1604" w:type="dxa"/>
            <w:vAlign w:val="center"/>
          </w:tcPr>
          <w:p w:rsidR="001528AA" w:rsidRPr="00462255" w:rsidRDefault="001528AA" w:rsidP="00701DCF">
            <w:pPr>
              <w:pStyle w:val="Tabletext"/>
              <w:rPr>
                <w:rFonts w:cs="Arial"/>
                <w:sz w:val="22"/>
                <w:szCs w:val="22"/>
              </w:rPr>
            </w:pPr>
            <w:r w:rsidRPr="00462255">
              <w:rPr>
                <w:rFonts w:cs="Arial"/>
                <w:sz w:val="22"/>
                <w:szCs w:val="22"/>
              </w:rPr>
              <w:t>$29,551,320</w:t>
            </w:r>
          </w:p>
        </w:tc>
        <w:tc>
          <w:tcPr>
            <w:tcW w:w="1604" w:type="dxa"/>
            <w:vAlign w:val="center"/>
          </w:tcPr>
          <w:p w:rsidR="001528AA" w:rsidRPr="00462255" w:rsidRDefault="001528AA" w:rsidP="00701DCF">
            <w:pPr>
              <w:pStyle w:val="Tabletext"/>
              <w:rPr>
                <w:rFonts w:cs="Arial"/>
                <w:sz w:val="22"/>
                <w:szCs w:val="22"/>
              </w:rPr>
            </w:pPr>
            <w:r w:rsidRPr="00462255">
              <w:rPr>
                <w:sz w:val="22"/>
                <w:szCs w:val="22"/>
              </w:rPr>
              <w:t>$8,422,177</w:t>
            </w:r>
          </w:p>
        </w:tc>
      </w:tr>
      <w:tr w:rsidR="001528AA" w:rsidRPr="00453EB3" w:rsidTr="00701DCF">
        <w:trPr>
          <w:trHeight w:val="20"/>
          <w:jc w:val="center"/>
        </w:trPr>
        <w:tc>
          <w:tcPr>
            <w:tcW w:w="1268" w:type="dxa"/>
            <w:shd w:val="clear" w:color="auto" w:fill="auto"/>
            <w:vAlign w:val="center"/>
          </w:tcPr>
          <w:p w:rsidR="001528AA" w:rsidRPr="00453EB3" w:rsidRDefault="001528AA" w:rsidP="00701DCF">
            <w:pPr>
              <w:pStyle w:val="Tabletext"/>
              <w:rPr>
                <w:rFonts w:cs="Arial"/>
                <w:sz w:val="22"/>
              </w:rPr>
            </w:pPr>
            <w:r w:rsidRPr="00453EB3">
              <w:rPr>
                <w:rFonts w:cs="Arial"/>
                <w:sz w:val="22"/>
              </w:rPr>
              <w:t>Percent Returns</w:t>
            </w:r>
          </w:p>
        </w:tc>
        <w:tc>
          <w:tcPr>
            <w:tcW w:w="1604" w:type="dxa"/>
            <w:vAlign w:val="center"/>
          </w:tcPr>
          <w:p w:rsidR="001528AA" w:rsidRPr="00453EB3" w:rsidRDefault="001528AA" w:rsidP="00701DCF">
            <w:pPr>
              <w:pStyle w:val="Tabletext"/>
              <w:rPr>
                <w:rFonts w:cs="Arial"/>
                <w:sz w:val="22"/>
              </w:rPr>
            </w:pPr>
            <w:r w:rsidRPr="00453EB3">
              <w:rPr>
                <w:rFonts w:cs="Arial"/>
                <w:sz w:val="22"/>
              </w:rPr>
              <w:t>23.0%</w:t>
            </w:r>
          </w:p>
        </w:tc>
        <w:tc>
          <w:tcPr>
            <w:tcW w:w="1604" w:type="dxa"/>
            <w:vAlign w:val="center"/>
          </w:tcPr>
          <w:p w:rsidR="001528AA" w:rsidRPr="00453EB3" w:rsidRDefault="001528AA" w:rsidP="00701DCF">
            <w:pPr>
              <w:pStyle w:val="Tabletext"/>
              <w:rPr>
                <w:rFonts w:cs="Arial"/>
                <w:sz w:val="22"/>
              </w:rPr>
            </w:pPr>
            <w:r w:rsidRPr="00453EB3">
              <w:rPr>
                <w:rFonts w:cs="Arial"/>
                <w:sz w:val="22"/>
              </w:rPr>
              <w:t>25.2%</w:t>
            </w:r>
          </w:p>
        </w:tc>
        <w:tc>
          <w:tcPr>
            <w:tcW w:w="1604" w:type="dxa"/>
            <w:vAlign w:val="center"/>
          </w:tcPr>
          <w:p w:rsidR="001528AA" w:rsidRPr="00453EB3" w:rsidRDefault="001528AA" w:rsidP="00701DCF">
            <w:pPr>
              <w:pStyle w:val="Tabletext"/>
              <w:rPr>
                <w:rFonts w:cs="Arial"/>
                <w:sz w:val="22"/>
              </w:rPr>
            </w:pPr>
            <w:r w:rsidRPr="00453EB3">
              <w:rPr>
                <w:rFonts w:cs="Arial"/>
                <w:sz w:val="22"/>
              </w:rPr>
              <w:t>21.2%</w:t>
            </w:r>
          </w:p>
        </w:tc>
        <w:tc>
          <w:tcPr>
            <w:tcW w:w="1604" w:type="dxa"/>
            <w:vAlign w:val="center"/>
          </w:tcPr>
          <w:p w:rsidR="001528AA" w:rsidRPr="00453EB3" w:rsidRDefault="001528AA" w:rsidP="00701DCF">
            <w:pPr>
              <w:pStyle w:val="Tabletext"/>
              <w:rPr>
                <w:rFonts w:cs="Arial"/>
                <w:sz w:val="22"/>
              </w:rPr>
            </w:pPr>
            <w:r w:rsidRPr="00453EB3">
              <w:rPr>
                <w:rFonts w:cs="Arial"/>
                <w:sz w:val="22"/>
              </w:rPr>
              <w:t>21.4%</w:t>
            </w:r>
          </w:p>
        </w:tc>
        <w:tc>
          <w:tcPr>
            <w:tcW w:w="1604" w:type="dxa"/>
            <w:vAlign w:val="center"/>
          </w:tcPr>
          <w:p w:rsidR="001528AA" w:rsidRPr="00453EB3" w:rsidRDefault="001528AA" w:rsidP="00701DCF">
            <w:pPr>
              <w:pStyle w:val="Tabletext"/>
              <w:rPr>
                <w:rFonts w:cs="Arial"/>
                <w:sz w:val="22"/>
              </w:rPr>
            </w:pPr>
            <w:r>
              <w:rPr>
                <w:rFonts w:cs="Arial"/>
                <w:sz w:val="22"/>
              </w:rPr>
              <w:t>11.8%</w:t>
            </w:r>
          </w:p>
        </w:tc>
      </w:tr>
      <w:tr w:rsidR="001528AA" w:rsidRPr="00453EB3" w:rsidTr="00701DCF">
        <w:trPr>
          <w:trHeight w:val="20"/>
          <w:jc w:val="center"/>
        </w:trPr>
        <w:tc>
          <w:tcPr>
            <w:tcW w:w="9288" w:type="dxa"/>
            <w:gridSpan w:val="6"/>
            <w:shd w:val="clear" w:color="auto" w:fill="auto"/>
            <w:vAlign w:val="center"/>
          </w:tcPr>
          <w:p w:rsidR="001528AA" w:rsidRPr="00453EB3" w:rsidRDefault="001528AA" w:rsidP="00701DCF">
            <w:pPr>
              <w:pStyle w:val="Tabletext"/>
              <w:jc w:val="left"/>
              <w:rPr>
                <w:rFonts w:cs="Arial"/>
                <w:sz w:val="22"/>
              </w:rPr>
            </w:pPr>
            <w:r w:rsidRPr="00453EB3">
              <w:rPr>
                <w:rFonts w:cs="Arial"/>
                <w:sz w:val="22"/>
              </w:rPr>
              <w:t>Source: DN 10-067; DN 10-07</w:t>
            </w:r>
            <w:r>
              <w:rPr>
                <w:rFonts w:cs="Arial"/>
                <w:sz w:val="22"/>
              </w:rPr>
              <w:t>7</w:t>
            </w:r>
          </w:p>
        </w:tc>
      </w:tr>
    </w:tbl>
    <w:p w:rsidR="001528AA" w:rsidRPr="008A7346" w:rsidRDefault="001528AA" w:rsidP="00701DCF">
      <w:pPr>
        <w:pStyle w:val="Normal-aftertable"/>
      </w:pPr>
      <w:r>
        <w:t>The dollar volume of issues declined in 2015 and there was also a significant improvement in the percentage of returns.  Inventory returns are largely driven by wire and cable which is normally issued on a reel rather than cutting the exact length needed for a job.  The material is charged to the job when issued and returns are subsequently credited to the job.  The lower return rate in 2015 may be due to a reduction in wire and cable issuance from the SFC.</w:t>
      </w:r>
    </w:p>
    <w:p w:rsidR="001528AA" w:rsidRDefault="001528AA" w:rsidP="00D856BA">
      <w:pPr>
        <w:pStyle w:val="Findings"/>
        <w:keepNext/>
        <w:numPr>
          <w:ilvl w:val="0"/>
          <w:numId w:val="37"/>
        </w:numPr>
      </w:pPr>
      <w:r>
        <w:t>Several materials locations underperformed the 2015 Cycle Count Accuracy target.</w:t>
      </w:r>
    </w:p>
    <w:p w:rsidR="001528AA" w:rsidRDefault="001528AA" w:rsidP="00701DCF">
      <w:r>
        <w:t>Prior to 2015, PPL EU was exceeding 99% on an annual basis for items with an average unit value over $100 as shown in the following table.</w:t>
      </w:r>
    </w:p>
    <w:p w:rsidR="001528AA" w:rsidRPr="007D7B1B" w:rsidRDefault="00ED6D61" w:rsidP="00ED6D61">
      <w:pPr>
        <w:pStyle w:val="Caption"/>
      </w:pPr>
      <w:bookmarkStart w:id="229" w:name="_Toc464553009"/>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9</w:t>
      </w:r>
      <w:r w:rsidR="00CB2B2A">
        <w:rPr>
          <w:noProof/>
        </w:rPr>
        <w:fldChar w:fldCharType="end"/>
      </w:r>
      <w:r w:rsidR="003907AC">
        <w:br/>
      </w:r>
      <w:r w:rsidR="001528AA">
        <w:t>PPL EU Annual Cycle Count Accuracy 2011–2014</w:t>
      </w:r>
      <w:bookmarkEnd w:id="2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24"/>
        <w:gridCol w:w="1401"/>
        <w:gridCol w:w="1402"/>
        <w:gridCol w:w="1401"/>
        <w:gridCol w:w="1402"/>
      </w:tblGrid>
      <w:tr w:rsidR="001528AA" w:rsidRPr="007370C9" w:rsidTr="00643507">
        <w:trPr>
          <w:cantSplit/>
          <w:trHeight w:val="20"/>
          <w:tblHeader/>
          <w:jc w:val="center"/>
        </w:trPr>
        <w:tc>
          <w:tcPr>
            <w:tcW w:w="2824" w:type="dxa"/>
            <w:shd w:val="clear" w:color="auto" w:fill="A5CD7E"/>
            <w:vAlign w:val="center"/>
          </w:tcPr>
          <w:p w:rsidR="001528AA" w:rsidRPr="007370C9" w:rsidRDefault="001528AA" w:rsidP="007370C9">
            <w:pPr>
              <w:spacing w:before="120"/>
              <w:jc w:val="center"/>
              <w:rPr>
                <w:b/>
              </w:rPr>
            </w:pPr>
            <w:r w:rsidRPr="007370C9">
              <w:rPr>
                <w:b/>
              </w:rPr>
              <w:t>Factor</w:t>
            </w:r>
          </w:p>
        </w:tc>
        <w:tc>
          <w:tcPr>
            <w:tcW w:w="1401" w:type="dxa"/>
            <w:shd w:val="clear" w:color="auto" w:fill="A5CD7E"/>
            <w:vAlign w:val="center"/>
          </w:tcPr>
          <w:p w:rsidR="001528AA" w:rsidRPr="007370C9" w:rsidRDefault="001528AA" w:rsidP="007370C9">
            <w:pPr>
              <w:spacing w:before="120"/>
              <w:jc w:val="center"/>
              <w:rPr>
                <w:b/>
              </w:rPr>
            </w:pPr>
            <w:r w:rsidRPr="007370C9">
              <w:rPr>
                <w:b/>
              </w:rPr>
              <w:t>2011</w:t>
            </w:r>
          </w:p>
        </w:tc>
        <w:tc>
          <w:tcPr>
            <w:tcW w:w="1402" w:type="dxa"/>
            <w:shd w:val="clear" w:color="auto" w:fill="A5CD7E"/>
            <w:vAlign w:val="center"/>
          </w:tcPr>
          <w:p w:rsidR="001528AA" w:rsidRPr="007370C9" w:rsidRDefault="001528AA" w:rsidP="007370C9">
            <w:pPr>
              <w:spacing w:before="120"/>
              <w:jc w:val="center"/>
              <w:rPr>
                <w:b/>
              </w:rPr>
            </w:pPr>
            <w:r w:rsidRPr="007370C9">
              <w:rPr>
                <w:b/>
              </w:rPr>
              <w:t>2012</w:t>
            </w:r>
          </w:p>
        </w:tc>
        <w:tc>
          <w:tcPr>
            <w:tcW w:w="1401" w:type="dxa"/>
            <w:shd w:val="clear" w:color="auto" w:fill="A5CD7E"/>
            <w:vAlign w:val="center"/>
          </w:tcPr>
          <w:p w:rsidR="001528AA" w:rsidRPr="007370C9" w:rsidRDefault="001528AA" w:rsidP="007370C9">
            <w:pPr>
              <w:spacing w:before="120"/>
              <w:jc w:val="center"/>
              <w:rPr>
                <w:b/>
              </w:rPr>
            </w:pPr>
            <w:r w:rsidRPr="007370C9">
              <w:rPr>
                <w:b/>
              </w:rPr>
              <w:t>2013</w:t>
            </w:r>
          </w:p>
        </w:tc>
        <w:tc>
          <w:tcPr>
            <w:tcW w:w="1402" w:type="dxa"/>
            <w:shd w:val="clear" w:color="auto" w:fill="A5CD7E"/>
            <w:vAlign w:val="center"/>
          </w:tcPr>
          <w:p w:rsidR="001528AA" w:rsidRPr="007370C9" w:rsidRDefault="001528AA" w:rsidP="007370C9">
            <w:pPr>
              <w:spacing w:before="120"/>
              <w:jc w:val="center"/>
              <w:rPr>
                <w:b/>
              </w:rPr>
            </w:pPr>
            <w:r w:rsidRPr="007370C9">
              <w:rPr>
                <w:b/>
              </w:rPr>
              <w:t>2014</w:t>
            </w:r>
          </w:p>
        </w:tc>
      </w:tr>
      <w:tr w:rsidR="001528AA" w:rsidRPr="00094B43" w:rsidTr="00701DCF">
        <w:trPr>
          <w:cantSplit/>
          <w:trHeight w:val="20"/>
          <w:jc w:val="center"/>
        </w:trPr>
        <w:tc>
          <w:tcPr>
            <w:tcW w:w="2824" w:type="dxa"/>
            <w:shd w:val="clear" w:color="auto" w:fill="auto"/>
            <w:vAlign w:val="center"/>
          </w:tcPr>
          <w:p w:rsidR="001528AA" w:rsidRPr="00094B43" w:rsidRDefault="001528AA" w:rsidP="00701DCF">
            <w:pPr>
              <w:pStyle w:val="Tabletext"/>
            </w:pPr>
            <w:r>
              <w:t>Cycle Count Accuracy (dollar value)</w:t>
            </w:r>
          </w:p>
        </w:tc>
        <w:tc>
          <w:tcPr>
            <w:tcW w:w="1401" w:type="dxa"/>
            <w:vAlign w:val="center"/>
          </w:tcPr>
          <w:p w:rsidR="001528AA" w:rsidRPr="00094B43" w:rsidRDefault="001528AA" w:rsidP="00701DCF">
            <w:pPr>
              <w:pStyle w:val="Tabletext"/>
            </w:pPr>
            <w:r w:rsidRPr="005439C4">
              <w:t>99.21</w:t>
            </w:r>
            <w:r>
              <w:t>%</w:t>
            </w:r>
          </w:p>
        </w:tc>
        <w:tc>
          <w:tcPr>
            <w:tcW w:w="1402" w:type="dxa"/>
            <w:vAlign w:val="center"/>
          </w:tcPr>
          <w:p w:rsidR="001528AA" w:rsidRPr="00094B43" w:rsidRDefault="001528AA" w:rsidP="00701DCF">
            <w:pPr>
              <w:pStyle w:val="Tabletext"/>
            </w:pPr>
            <w:r>
              <w:t>99.44%</w:t>
            </w:r>
          </w:p>
        </w:tc>
        <w:tc>
          <w:tcPr>
            <w:tcW w:w="1401" w:type="dxa"/>
            <w:vAlign w:val="center"/>
          </w:tcPr>
          <w:p w:rsidR="001528AA" w:rsidRPr="00094B43" w:rsidRDefault="001528AA" w:rsidP="00701DCF">
            <w:pPr>
              <w:pStyle w:val="Tabletext"/>
            </w:pPr>
            <w:r w:rsidRPr="005439C4">
              <w:t>99.49</w:t>
            </w:r>
            <w:r>
              <w:t>%</w:t>
            </w:r>
          </w:p>
        </w:tc>
        <w:tc>
          <w:tcPr>
            <w:tcW w:w="1402" w:type="dxa"/>
            <w:vAlign w:val="center"/>
          </w:tcPr>
          <w:p w:rsidR="001528AA" w:rsidRPr="00094B43" w:rsidRDefault="001528AA" w:rsidP="00701DCF">
            <w:pPr>
              <w:pStyle w:val="Tabletext"/>
            </w:pPr>
            <w:r w:rsidRPr="005439C4">
              <w:t>99.53</w:t>
            </w:r>
            <w:r>
              <w:t>%</w:t>
            </w:r>
          </w:p>
        </w:tc>
      </w:tr>
      <w:tr w:rsidR="001528AA" w:rsidRPr="00094B43" w:rsidTr="00701DCF">
        <w:trPr>
          <w:cantSplit/>
          <w:trHeight w:val="20"/>
          <w:jc w:val="center"/>
        </w:trPr>
        <w:tc>
          <w:tcPr>
            <w:tcW w:w="8430" w:type="dxa"/>
            <w:gridSpan w:val="5"/>
            <w:shd w:val="clear" w:color="auto" w:fill="auto"/>
            <w:vAlign w:val="center"/>
          </w:tcPr>
          <w:p w:rsidR="001528AA" w:rsidRPr="00094B43" w:rsidRDefault="001528AA" w:rsidP="00701DCF">
            <w:pPr>
              <w:pStyle w:val="Tabletext"/>
              <w:jc w:val="left"/>
            </w:pPr>
            <w:r w:rsidRPr="00094B43">
              <w:t>Source: DN 10-067</w:t>
            </w:r>
          </w:p>
        </w:tc>
      </w:tr>
    </w:tbl>
    <w:p w:rsidR="001528AA" w:rsidRDefault="001528AA" w:rsidP="00701DCF">
      <w:pPr>
        <w:pStyle w:val="Normal-aftertable"/>
      </w:pPr>
      <w:r>
        <w:t>The results for 2015 are not directly comparable to previous years.  The metric was changed in April 2015 to include all items counted, not just those over $100 in value.  The 2015 target for all items was 96% with a final result of 91.64%.  In March 2015, the SFC cycle count accuracy was 99.64%.  In December 2015, SFC cycle count accuracy was 88.51% under the new metric.  Another 25 locations performed at least 200 cycle counts during the year and nine of those locations reported performance below the goal for 2015 under the revised metric based on cycle count accuracy for all items.</w:t>
      </w:r>
    </w:p>
    <w:p w:rsidR="001528AA" w:rsidRDefault="001528AA" w:rsidP="00701DCF">
      <w:r>
        <w:t>Anixter Solutions reported cycle count accuracy results as of November 2015 of 97.7%.  These results include all counted items.</w:t>
      </w:r>
    </w:p>
    <w:p w:rsidR="001528AA" w:rsidRDefault="001528AA" w:rsidP="003907AC">
      <w:pPr>
        <w:pStyle w:val="Findings"/>
        <w:keepNext/>
        <w:numPr>
          <w:ilvl w:val="0"/>
          <w:numId w:val="37"/>
        </w:numPr>
      </w:pPr>
      <w:r>
        <w:t>Emergency stock and spares are a significant percentage of PPL inventory.</w:t>
      </w:r>
    </w:p>
    <w:p w:rsidR="001528AA" w:rsidRDefault="001528AA" w:rsidP="00701DCF">
      <w:r w:rsidRPr="00394731">
        <w:t xml:space="preserve">Emergency stock and spares </w:t>
      </w:r>
      <w:r>
        <w:t xml:space="preserve">represent </w:t>
      </w:r>
      <w:r w:rsidRPr="00394731">
        <w:t>approximately 28</w:t>
      </w:r>
      <w:r>
        <w:t>% of total PPL EU inventory value</w:t>
      </w:r>
      <w:r w:rsidRPr="00394731">
        <w:t>.</w:t>
      </w:r>
      <w:r>
        <w:t xml:space="preserve">  This level is higher than usually seen at electric utilities, which is closer to 20%.  The initiative to link spare parts to specific in-service equipment should help the future identification of obsolete parts for disposal.</w:t>
      </w:r>
    </w:p>
    <w:p w:rsidR="001528AA" w:rsidRPr="00394731" w:rsidRDefault="001528AA" w:rsidP="00DD2818">
      <w:pPr>
        <w:pStyle w:val="Findings"/>
        <w:keepNext/>
        <w:numPr>
          <w:ilvl w:val="0"/>
          <w:numId w:val="37"/>
        </w:numPr>
      </w:pPr>
      <w:r>
        <w:lastRenderedPageBreak/>
        <w:t>Reviews of inventory items with zero usage are not conducted frequently enough.</w:t>
      </w:r>
      <w:r w:rsidDel="00E77841">
        <w:t xml:space="preserve"> </w:t>
      </w:r>
    </w:p>
    <w:p w:rsidR="001528AA" w:rsidRDefault="001528AA" w:rsidP="00701DCF">
      <w:r w:rsidRPr="00394731">
        <w:t>Supply Chain has recently completed a review of items with zero use for three or more years with the T&amp;S Engineering and Distribution Engineering groups.  Inventory for items with zero use for two or more years is approximately five and one-half percent of inventory value</w:t>
      </w:r>
      <w:r>
        <w:t>.</w:t>
      </w:r>
    </w:p>
    <w:p w:rsidR="001528AA" w:rsidRDefault="001528AA" w:rsidP="00FA30B2">
      <w:pPr>
        <w:pStyle w:val="Heading-forToC"/>
      </w:pPr>
      <w:bookmarkStart w:id="230" w:name="_Toc442617444"/>
      <w:bookmarkStart w:id="231" w:name="_Toc464552060"/>
      <w:r>
        <w:t>Recommendations</w:t>
      </w:r>
      <w:bookmarkEnd w:id="230"/>
      <w:bookmarkEnd w:id="231"/>
    </w:p>
    <w:p w:rsidR="001528AA" w:rsidRDefault="001528AA" w:rsidP="00B86FA4">
      <w:pPr>
        <w:pStyle w:val="Findings"/>
        <w:numPr>
          <w:ilvl w:val="0"/>
          <w:numId w:val="38"/>
        </w:numPr>
      </w:pPr>
      <w:r>
        <w:t>Participate in a Supply Chain benchmarking study at least every other year.  (See Finding 1)</w:t>
      </w:r>
    </w:p>
    <w:p w:rsidR="001528AA" w:rsidRDefault="001528AA" w:rsidP="00701DCF">
      <w:r w:rsidRPr="004F750A">
        <w:t xml:space="preserve">Benchmarking provides a relative assessment of performance against key metrics that can help participants to identify areas of focus for improvement. </w:t>
      </w:r>
      <w:r>
        <w:t xml:space="preserve"> Supply Chain</w:t>
      </w:r>
      <w:r w:rsidRPr="004F750A">
        <w:t xml:space="preserve"> should participate in regular benchmarking with peers. </w:t>
      </w:r>
      <w:r>
        <w:t xml:space="preserve"> </w:t>
      </w:r>
      <w:r w:rsidRPr="004F750A">
        <w:t xml:space="preserve">Potential benchmarking providers include the Electric Utility Benchmarking Association, Utility Materials Management Benchmarking Consortium, or a peer utility conducting a periodic </w:t>
      </w:r>
      <w:r>
        <w:t xml:space="preserve">supply chain focused </w:t>
      </w:r>
      <w:r w:rsidRPr="004F750A">
        <w:t>benchmarking survey.</w:t>
      </w:r>
    </w:p>
    <w:p w:rsidR="001528AA" w:rsidRPr="00FF3C78" w:rsidRDefault="001528AA" w:rsidP="00D856BA">
      <w:pPr>
        <w:pStyle w:val="Findings"/>
        <w:keepNext/>
        <w:numPr>
          <w:ilvl w:val="0"/>
          <w:numId w:val="38"/>
        </w:numPr>
      </w:pPr>
      <w:r>
        <w:t xml:space="preserve">Improve the consistency in materials controls implementation and tracking </w:t>
      </w:r>
      <w:r w:rsidRPr="00FF3C78">
        <w:t>of materials activity.  (</w:t>
      </w:r>
      <w:r>
        <w:t xml:space="preserve">See </w:t>
      </w:r>
      <w:r w:rsidRPr="00FF3C78">
        <w:t xml:space="preserve">Finding </w:t>
      </w:r>
      <w:r>
        <w:t>5</w:t>
      </w:r>
      <w:r w:rsidRPr="00FF3C78">
        <w:t>)</w:t>
      </w:r>
    </w:p>
    <w:p w:rsidR="001528AA" w:rsidRDefault="001528AA" w:rsidP="00701DCF">
      <w:r>
        <w:t>The change in tracking of cycle count accuracy from items over $100 in value to all items highlighted significant differences in performance between materials storage locations.  These differences may be due to differing processes or differing execution of those processes at these locations.  The overall target of 96% is a reasonable one.  Supply Chain should evaluate the reasons for below target performance and implement any necessary changes to processes and procedures in order to achieve the target at all materials locations.</w:t>
      </w:r>
    </w:p>
    <w:p w:rsidR="001528AA" w:rsidRPr="00FF3C78" w:rsidRDefault="001528AA" w:rsidP="00B86FA4">
      <w:pPr>
        <w:pStyle w:val="Findings"/>
        <w:numPr>
          <w:ilvl w:val="0"/>
          <w:numId w:val="38"/>
        </w:numPr>
      </w:pPr>
      <w:r>
        <w:t xml:space="preserve">Conduct a comprehensive review of emergency stock and spares at least </w:t>
      </w:r>
      <w:r w:rsidRPr="00FF3C78">
        <w:t>every two years.</w:t>
      </w:r>
      <w:r>
        <w:t xml:space="preserve"> </w:t>
      </w:r>
      <w:r w:rsidRPr="00FF3C78">
        <w:t xml:space="preserve"> (</w:t>
      </w:r>
      <w:r>
        <w:t xml:space="preserve">See </w:t>
      </w:r>
      <w:r w:rsidRPr="00FF3C78">
        <w:t xml:space="preserve">Finding </w:t>
      </w:r>
      <w:r>
        <w:t>6</w:t>
      </w:r>
      <w:r w:rsidRPr="00FF3C78">
        <w:t>)</w:t>
      </w:r>
    </w:p>
    <w:p w:rsidR="001528AA" w:rsidRDefault="001528AA" w:rsidP="00701DCF">
      <w:r>
        <w:t>Emergency stock needs can be affected by design changes and new equipment introduction.  Both Transmission Standards and Distribution Standards should communicate all such modifications to Supply Chain, including Anixter Solutions, along with the implications on future emergency stock levels.  PPL EU reported that a</w:t>
      </w:r>
      <w:r>
        <w:rPr>
          <w:rFonts w:cs="Arial"/>
          <w:szCs w:val="24"/>
        </w:rPr>
        <w:t xml:space="preserve"> more formalized materials change process is under development with standards, engineering, and operations to reduce stranded inventory issues in the future.  This process should also include considerations for addressing emergency stock needs related to the changes.</w:t>
      </w:r>
    </w:p>
    <w:p w:rsidR="001528AA" w:rsidRDefault="001528AA" w:rsidP="00701DCF">
      <w:r>
        <w:t xml:space="preserve">The initiative to link spare parts to equipment in </w:t>
      </w:r>
      <w:r>
        <w:rPr>
          <w:rFonts w:cs="Arial"/>
          <w:szCs w:val="24"/>
        </w:rPr>
        <w:t>the asset management application</w:t>
      </w:r>
      <w:r>
        <w:t xml:space="preserve"> and the substation maintenance management application should help in the identification of obsolete spare parts.</w:t>
      </w:r>
    </w:p>
    <w:p w:rsidR="001528AA" w:rsidRDefault="001528AA" w:rsidP="00701DCF">
      <w:r>
        <w:t>A comprehensive review of all emergency stock and spare parts should also be conducted at least every two years to validate the materials reserved for these purposes.  The most recent comprehensive review was completed in 2013.</w:t>
      </w:r>
    </w:p>
    <w:p w:rsidR="00C12CD7" w:rsidRPr="00A25994" w:rsidRDefault="0065076A" w:rsidP="00701DCF">
      <w:r>
        <w:t>PPL EU estimates that r</w:t>
      </w:r>
      <w:r w:rsidRPr="00E93D5E">
        <w:t xml:space="preserve">educing the emergency stock by $3.0 million </w:t>
      </w:r>
      <w:r>
        <w:t>at an annual carrying cost of 8% would save $240</w:t>
      </w:r>
      <w:r w:rsidRPr="00E93D5E">
        <w:t>,000 per year.</w:t>
      </w:r>
    </w:p>
    <w:p w:rsidR="001528AA" w:rsidRPr="00FF3C78" w:rsidRDefault="001528AA" w:rsidP="00B86FA4">
      <w:pPr>
        <w:pStyle w:val="Findings"/>
        <w:numPr>
          <w:ilvl w:val="0"/>
          <w:numId w:val="38"/>
        </w:numPr>
      </w:pPr>
      <w:r>
        <w:lastRenderedPageBreak/>
        <w:t xml:space="preserve">Decrease the threshold for review of zero use items from three years to no </w:t>
      </w:r>
      <w:r w:rsidRPr="00FF3C78">
        <w:t>more than two years.  (</w:t>
      </w:r>
      <w:r>
        <w:t xml:space="preserve">See </w:t>
      </w:r>
      <w:r w:rsidRPr="00FF3C78">
        <w:t xml:space="preserve">Finding </w:t>
      </w:r>
      <w:r>
        <w:t>7</w:t>
      </w:r>
      <w:r w:rsidRPr="00FF3C78">
        <w:t>)</w:t>
      </w:r>
    </w:p>
    <w:p w:rsidR="001528AA" w:rsidRDefault="001528AA" w:rsidP="00652B0E">
      <w:r>
        <w:t>In conjunction with the recommended two year cycle for review of emergency stock and spares, zero use items falling outside of these categories should be reviewed after two years of inactivity.  Supply Chain recently completed a review of stores items showing zero use for three or more years with the engineering groups.  Going forward, items showing zero use for more than 24 months should be reviewed for retention or disposal.</w:t>
      </w:r>
    </w:p>
    <w:p w:rsidR="00C12CD7" w:rsidRDefault="0065076A" w:rsidP="00652B0E">
      <w:r>
        <w:t xml:space="preserve">PPL EU estimates that a $1.2 million reduction in inventory at </w:t>
      </w:r>
      <w:proofErr w:type="gramStart"/>
      <w:r>
        <w:t>a</w:t>
      </w:r>
      <w:proofErr w:type="gramEnd"/>
      <w:r>
        <w:t xml:space="preserve"> 8% carrying cost would save $96,000 per year.</w:t>
      </w:r>
    </w:p>
    <w:p w:rsidR="001528AA" w:rsidRDefault="001528AA" w:rsidP="004F00E5">
      <w:pPr>
        <w:pStyle w:val="Heading2"/>
        <w:numPr>
          <w:ilvl w:val="0"/>
          <w:numId w:val="100"/>
        </w:numPr>
      </w:pPr>
      <w:bookmarkStart w:id="232" w:name="_Toc464552061"/>
      <w:r>
        <w:t>transportation</w:t>
      </w:r>
      <w:bookmarkEnd w:id="232"/>
    </w:p>
    <w:p w:rsidR="001528AA" w:rsidRDefault="001528AA" w:rsidP="00FA30B2">
      <w:pPr>
        <w:pStyle w:val="Heading-forToC"/>
      </w:pPr>
      <w:bookmarkStart w:id="233" w:name="_Toc442617446"/>
      <w:bookmarkStart w:id="234" w:name="_Toc464552062"/>
      <w:r>
        <w:t>Background</w:t>
      </w:r>
      <w:bookmarkEnd w:id="233"/>
      <w:bookmarkEnd w:id="234"/>
    </w:p>
    <w:p w:rsidR="001528AA" w:rsidRDefault="001528AA" w:rsidP="00701DCF">
      <w:pPr>
        <w:rPr>
          <w:rFonts w:cs="Arial"/>
          <w:szCs w:val="24"/>
        </w:rPr>
      </w:pPr>
      <w:r>
        <w:rPr>
          <w:rFonts w:cs="Arial"/>
          <w:szCs w:val="24"/>
        </w:rPr>
        <w:t>Transportation Services is responsible for all vehicles and equipment in the PPL EU fleet in Pennsylvania (PA).  The fleet consists of approximately 1,330 vehicles and 500 non-motorized pieces of equipment.</w:t>
      </w:r>
    </w:p>
    <w:p w:rsidR="001528AA" w:rsidRDefault="001528AA" w:rsidP="00DD2818">
      <w:pPr>
        <w:pStyle w:val="Heading40"/>
      </w:pPr>
      <w:bookmarkStart w:id="235" w:name="_Toc442617447"/>
      <w:r>
        <w:t>Organization Structure</w:t>
      </w:r>
      <w:bookmarkEnd w:id="235"/>
    </w:p>
    <w:p w:rsidR="001528AA" w:rsidRDefault="001528AA" w:rsidP="00701DCF">
      <w:pPr>
        <w:rPr>
          <w:rFonts w:cs="Arial"/>
          <w:szCs w:val="24"/>
        </w:rPr>
      </w:pPr>
      <w:r>
        <w:rPr>
          <w:rFonts w:cs="Arial"/>
          <w:szCs w:val="24"/>
        </w:rPr>
        <w:t>The PPL EU Transportation Services organization, which reports to the PPL EU Distribution Asset Management group, is shown in the following exhibit.</w:t>
      </w:r>
    </w:p>
    <w:p w:rsidR="001528AA" w:rsidRDefault="00ED6D61" w:rsidP="00ED6D61">
      <w:pPr>
        <w:pStyle w:val="Caption"/>
      </w:pPr>
      <w:bookmarkStart w:id="236" w:name="_Toc464553010"/>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10</w:t>
      </w:r>
      <w:r w:rsidR="00CB2B2A">
        <w:rPr>
          <w:noProof/>
        </w:rPr>
        <w:fldChar w:fldCharType="end"/>
      </w:r>
      <w:r w:rsidR="003907AC">
        <w:br/>
      </w:r>
      <w:r w:rsidR="001528AA">
        <w:t>Transportation Services Organization Structure</w:t>
      </w:r>
      <w:bookmarkEnd w:id="236"/>
    </w:p>
    <w:p w:rsidR="001528AA" w:rsidRDefault="00264AB6" w:rsidP="00701DCF">
      <w:pPr>
        <w:jc w:val="center"/>
        <w:rPr>
          <w:rFonts w:cs="Arial"/>
          <w:szCs w:val="24"/>
        </w:rPr>
      </w:pPr>
      <w:r>
        <w:rPr>
          <w:rFonts w:cs="Arial"/>
          <w:noProof/>
          <w:szCs w:val="24"/>
        </w:rPr>
        <w:drawing>
          <wp:inline distT="0" distB="0" distL="0" distR="0">
            <wp:extent cx="5943600" cy="2781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PL-EU_Transport_01009_page5_v2.jpg"/>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781300"/>
                    </a:xfrm>
                    <a:prstGeom prst="rect">
                      <a:avLst/>
                    </a:prstGeom>
                  </pic:spPr>
                </pic:pic>
              </a:graphicData>
            </a:graphic>
          </wp:inline>
        </w:drawing>
      </w:r>
    </w:p>
    <w:p w:rsidR="001528AA" w:rsidRDefault="001528AA" w:rsidP="00701DCF">
      <w:r>
        <w:t>Source: DN 01-071</w:t>
      </w:r>
    </w:p>
    <w:p w:rsidR="001528AA" w:rsidRDefault="001528AA" w:rsidP="00701DCF">
      <w:r>
        <w:t xml:space="preserve">Transportation Services includes four </w:t>
      </w:r>
      <w:r w:rsidRPr="00B5528A">
        <w:t>Transportation</w:t>
      </w:r>
      <w:r>
        <w:t xml:space="preserve"> Area Supervisors and a Transportation </w:t>
      </w:r>
      <w:r w:rsidRPr="00B5528A">
        <w:t xml:space="preserve">Senior </w:t>
      </w:r>
      <w:r>
        <w:t>Technical Specialist.</w:t>
      </w:r>
    </w:p>
    <w:p w:rsidR="001528AA" w:rsidRDefault="001528AA" w:rsidP="00701DCF">
      <w:pPr>
        <w:rPr>
          <w:rFonts w:cs="Arial"/>
          <w:szCs w:val="24"/>
        </w:rPr>
      </w:pPr>
      <w:r>
        <w:rPr>
          <w:rFonts w:cs="Arial"/>
          <w:szCs w:val="24"/>
        </w:rPr>
        <w:t>The Transportation Services mission is to acquire, maintain, and dispose of all PPL EU vehicles and equipment, including licensing and registration.</w:t>
      </w:r>
    </w:p>
    <w:p w:rsidR="001528AA" w:rsidRDefault="001528AA" w:rsidP="00701DCF">
      <w:r>
        <w:t>The core work processes for PPL EU Transportation Services are:</w:t>
      </w:r>
    </w:p>
    <w:p w:rsidR="001528AA" w:rsidRDefault="001528AA" w:rsidP="00701DCF">
      <w:pPr>
        <w:pStyle w:val="Bullet"/>
      </w:pPr>
      <w:r>
        <w:lastRenderedPageBreak/>
        <w:t>Manage a graduated preventative maintenance (PM) program</w:t>
      </w:r>
    </w:p>
    <w:p w:rsidR="001528AA" w:rsidRDefault="001528AA" w:rsidP="00701DCF">
      <w:pPr>
        <w:pStyle w:val="Bullet"/>
      </w:pPr>
      <w:r>
        <w:t>Identify, track, and report maintenance and repair activities</w:t>
      </w:r>
    </w:p>
    <w:p w:rsidR="001528AA" w:rsidRDefault="001528AA" w:rsidP="00701DCF">
      <w:pPr>
        <w:pStyle w:val="Bullet"/>
      </w:pPr>
      <w:r>
        <w:t>Authorize, direct, and control maintenance activities and cost</w:t>
      </w:r>
    </w:p>
    <w:p w:rsidR="001528AA" w:rsidRDefault="001528AA" w:rsidP="00701DCF">
      <w:pPr>
        <w:pStyle w:val="Bullet"/>
      </w:pPr>
      <w:r>
        <w:t>Oversee work done by contractors</w:t>
      </w:r>
    </w:p>
    <w:p w:rsidR="001528AA" w:rsidRDefault="001528AA" w:rsidP="00701DCF">
      <w:pPr>
        <w:pStyle w:val="Bullet"/>
      </w:pPr>
      <w:r>
        <w:t>Warranty recovery</w:t>
      </w:r>
    </w:p>
    <w:p w:rsidR="001528AA" w:rsidRPr="006D1B9D" w:rsidRDefault="001528AA" w:rsidP="00701DCF">
      <w:pPr>
        <w:pStyle w:val="Normal-aftertable"/>
      </w:pPr>
      <w:r>
        <w:t xml:space="preserve">A </w:t>
      </w:r>
      <w:r w:rsidRPr="00B5528A">
        <w:t>Transportation</w:t>
      </w:r>
      <w:r>
        <w:t xml:space="preserve"> Area Supervisor is assigned to each of the super regions, with the fourth supervisor </w:t>
      </w:r>
      <w:r>
        <w:rPr>
          <w:rFonts w:cs="Arial"/>
          <w:szCs w:val="24"/>
        </w:rPr>
        <w:t>providing central support and floating coverage for the three super region supervisors</w:t>
      </w:r>
      <w:r>
        <w:t>.  The supervisors coordinate maintenance activities with the service center operations managers in the region.  All together the five supervisors oversee 16 PPL EU manned garage locations plus an additional e</w:t>
      </w:r>
      <w:r>
        <w:rPr>
          <w:rFonts w:cs="Arial"/>
          <w:szCs w:val="24"/>
        </w:rPr>
        <w:t xml:space="preserve">ight service centers that do not have full-time fleet staff.  </w:t>
      </w:r>
      <w:r>
        <w:t xml:space="preserve">The total number of PPL EU mechanic full time equivalents (FTEs) is 47.  SERCO has operated two garage locations in the Hazleton area, Frackville, and Marion Heights since 2014 and currently has four FTE mechanics. </w:t>
      </w:r>
      <w:r w:rsidRPr="00526FD3">
        <w:rPr>
          <w:rFonts w:cs="Arial"/>
          <w:szCs w:val="24"/>
        </w:rPr>
        <w:t xml:space="preserve"> </w:t>
      </w:r>
      <w:r>
        <w:rPr>
          <w:rFonts w:cs="Arial"/>
          <w:szCs w:val="24"/>
        </w:rPr>
        <w:t>Contracting is increasingly used and PPL EU transportation staff has declined from 107 employees in 2009 to about 67 in 2015</w:t>
      </w:r>
      <w:r>
        <w:t>.</w:t>
      </w:r>
    </w:p>
    <w:p w:rsidR="001528AA" w:rsidRDefault="001528AA" w:rsidP="00DD2818">
      <w:pPr>
        <w:pStyle w:val="Heading40"/>
      </w:pPr>
      <w:bookmarkStart w:id="237" w:name="_Toc442617448"/>
      <w:r>
        <w:t>Garage Operations</w:t>
      </w:r>
      <w:bookmarkEnd w:id="237"/>
    </w:p>
    <w:p w:rsidR="001528AA" w:rsidRDefault="001528AA" w:rsidP="00701DCF">
      <w:pPr>
        <w:rPr>
          <w:rFonts w:cs="Arial"/>
          <w:szCs w:val="24"/>
        </w:rPr>
      </w:pPr>
      <w:r>
        <w:rPr>
          <w:rFonts w:cs="Arial"/>
          <w:szCs w:val="24"/>
        </w:rPr>
        <w:t xml:space="preserve">Approximately 20% of the overall maintenance is outsourced.  </w:t>
      </w:r>
      <w:proofErr w:type="gramStart"/>
      <w:r>
        <w:rPr>
          <w:rFonts w:cs="Arial"/>
          <w:szCs w:val="24"/>
        </w:rPr>
        <w:t>Besides the two garage locations operated by SERCO, most light duty vehicle maintenance is also outsourced.</w:t>
      </w:r>
      <w:proofErr w:type="gramEnd"/>
      <w:r>
        <w:rPr>
          <w:rFonts w:cs="Arial"/>
          <w:szCs w:val="24"/>
        </w:rPr>
        <w:t xml:space="preserve">  In the long term, Transportation Services expects to outsource maintenance work at additional service centers.</w:t>
      </w:r>
    </w:p>
    <w:p w:rsidR="001528AA" w:rsidRDefault="001528AA" w:rsidP="00701DCF">
      <w:pPr>
        <w:rPr>
          <w:rFonts w:cs="Arial"/>
          <w:szCs w:val="24"/>
        </w:rPr>
      </w:pPr>
      <w:r>
        <w:rPr>
          <w:rFonts w:cs="Arial"/>
          <w:szCs w:val="24"/>
        </w:rPr>
        <w:t xml:space="preserve">The </w:t>
      </w:r>
      <w:r w:rsidRPr="00B5528A">
        <w:t>Transportation</w:t>
      </w:r>
      <w:r>
        <w:t xml:space="preserve"> Area </w:t>
      </w:r>
      <w:r>
        <w:rPr>
          <w:rFonts w:cs="Arial"/>
          <w:szCs w:val="24"/>
        </w:rPr>
        <w:t>Supervisors provide contractor oversight by reviewing invoices, hours charged, and by spot checking work performed.  Major repair or maintenance work is pre-approved.</w:t>
      </w:r>
    </w:p>
    <w:p w:rsidR="001528AA" w:rsidRDefault="001528AA" w:rsidP="00701DCF">
      <w:pPr>
        <w:rPr>
          <w:rFonts w:cs="Arial"/>
          <w:szCs w:val="24"/>
        </w:rPr>
      </w:pPr>
      <w:r>
        <w:rPr>
          <w:rFonts w:cs="Arial"/>
          <w:szCs w:val="24"/>
        </w:rPr>
        <w:t>The in-house fleet mechanics also will be sent to the eight unmanned service center garages to perform scheduled maintenance in addition to performing work at the 16 manned garage locations.  Two shifts are run for maintenance with about an even workload split.</w:t>
      </w:r>
      <w:r w:rsidRPr="00440B39">
        <w:t xml:space="preserve"> </w:t>
      </w:r>
    </w:p>
    <w:p w:rsidR="001528AA" w:rsidRDefault="001528AA" w:rsidP="00701DCF">
      <w:pPr>
        <w:rPr>
          <w:rFonts w:cs="Arial"/>
          <w:szCs w:val="24"/>
        </w:rPr>
      </w:pPr>
      <w:r>
        <w:rPr>
          <w:rFonts w:cs="Arial"/>
          <w:szCs w:val="24"/>
        </w:rPr>
        <w:t xml:space="preserve">A fleet management application </w:t>
      </w:r>
      <w:r w:rsidRPr="00703F64">
        <w:rPr>
          <w:rFonts w:cs="Arial"/>
          <w:szCs w:val="24"/>
        </w:rPr>
        <w:t xml:space="preserve">is used for </w:t>
      </w:r>
      <w:r>
        <w:rPr>
          <w:rFonts w:cs="Arial"/>
          <w:szCs w:val="24"/>
        </w:rPr>
        <w:t>PPL EU</w:t>
      </w:r>
      <w:r w:rsidRPr="00703F64">
        <w:rPr>
          <w:rFonts w:cs="Arial"/>
          <w:szCs w:val="24"/>
        </w:rPr>
        <w:t xml:space="preserve"> fleet asset management, maintenance scheduling, and recording of maintenance performed.  The software </w:t>
      </w:r>
      <w:r>
        <w:rPr>
          <w:rFonts w:cs="Arial"/>
          <w:szCs w:val="24"/>
        </w:rPr>
        <w:t>was</w:t>
      </w:r>
      <w:r w:rsidRPr="00703F64">
        <w:rPr>
          <w:rFonts w:cs="Arial"/>
          <w:szCs w:val="24"/>
        </w:rPr>
        <w:t xml:space="preserve"> upgraded in the fourth quarter 2015 to </w:t>
      </w:r>
      <w:r>
        <w:rPr>
          <w:rFonts w:cs="Arial"/>
          <w:szCs w:val="24"/>
        </w:rPr>
        <w:t>a</w:t>
      </w:r>
      <w:r w:rsidRPr="00703F64">
        <w:rPr>
          <w:rFonts w:cs="Arial"/>
          <w:szCs w:val="24"/>
        </w:rPr>
        <w:t xml:space="preserve"> web</w:t>
      </w:r>
      <w:r>
        <w:rPr>
          <w:rFonts w:cs="Arial"/>
          <w:szCs w:val="24"/>
        </w:rPr>
        <w:t>-</w:t>
      </w:r>
      <w:r w:rsidRPr="00703F64">
        <w:rPr>
          <w:rFonts w:cs="Arial"/>
          <w:szCs w:val="24"/>
        </w:rPr>
        <w:t xml:space="preserve">based version </w:t>
      </w:r>
      <w:r>
        <w:rPr>
          <w:rFonts w:cs="Arial"/>
          <w:szCs w:val="24"/>
        </w:rPr>
        <w:t>which</w:t>
      </w:r>
      <w:r w:rsidRPr="00703F64">
        <w:rPr>
          <w:rFonts w:cs="Arial"/>
          <w:szCs w:val="24"/>
        </w:rPr>
        <w:t xml:space="preserve"> will also be used by the Kentucky operating company.</w:t>
      </w:r>
    </w:p>
    <w:p w:rsidR="001528AA" w:rsidRDefault="001528AA" w:rsidP="00701DCF">
      <w:pPr>
        <w:rPr>
          <w:rFonts w:cs="Arial"/>
          <w:szCs w:val="24"/>
        </w:rPr>
      </w:pPr>
      <w:r w:rsidRPr="00703F64">
        <w:rPr>
          <w:rFonts w:cs="Arial"/>
          <w:szCs w:val="24"/>
        </w:rPr>
        <w:t xml:space="preserve">The new version is expected to enable the automated generation of work orders for maintenance activities and associate individual work orders with a specific PM event.  The work orders will also be </w:t>
      </w:r>
      <w:proofErr w:type="spellStart"/>
      <w:r w:rsidRPr="00703F64">
        <w:rPr>
          <w:rFonts w:cs="Arial"/>
          <w:szCs w:val="24"/>
        </w:rPr>
        <w:t>prepopulated</w:t>
      </w:r>
      <w:proofErr w:type="spellEnd"/>
      <w:r w:rsidRPr="00703F64">
        <w:rPr>
          <w:rFonts w:cs="Arial"/>
          <w:szCs w:val="24"/>
        </w:rPr>
        <w:t xml:space="preserve"> with standard parts and instructions for the specific PM activity.</w:t>
      </w:r>
    </w:p>
    <w:p w:rsidR="001528AA" w:rsidRDefault="001528AA" w:rsidP="00701DCF">
      <w:pPr>
        <w:rPr>
          <w:rFonts w:cs="Arial"/>
          <w:szCs w:val="24"/>
        </w:rPr>
      </w:pPr>
      <w:r>
        <w:rPr>
          <w:rFonts w:cs="Arial"/>
          <w:szCs w:val="24"/>
        </w:rPr>
        <w:t>The maintenance budget is developed from daily rates and applied to the maintenance schedule for each vehicle class to develop the budget.  The following table summarizes the annual PPL EU fleet operations and maintenance (O&amp;M) spending.</w:t>
      </w:r>
    </w:p>
    <w:p w:rsidR="001528AA" w:rsidRPr="007D7B1B" w:rsidRDefault="00ED6D61" w:rsidP="00ED6D61">
      <w:pPr>
        <w:pStyle w:val="Caption"/>
      </w:pPr>
      <w:bookmarkStart w:id="238" w:name="_Toc464553011"/>
      <w:r>
        <w:lastRenderedPageBreak/>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11</w:t>
      </w:r>
      <w:r w:rsidR="00CB2B2A">
        <w:rPr>
          <w:noProof/>
        </w:rPr>
        <w:fldChar w:fldCharType="end"/>
      </w:r>
      <w:r w:rsidR="003907AC">
        <w:br/>
      </w:r>
      <w:r w:rsidR="001528AA">
        <w:t>PPL EU Annual Fleet O&amp;M Spending 2011–2015</w:t>
      </w:r>
      <w:bookmarkEnd w:id="2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04"/>
        <w:gridCol w:w="992"/>
        <w:gridCol w:w="993"/>
        <w:gridCol w:w="992"/>
        <w:gridCol w:w="993"/>
        <w:gridCol w:w="993"/>
      </w:tblGrid>
      <w:tr w:rsidR="001528AA" w:rsidRPr="007370C9" w:rsidTr="006458AD">
        <w:trPr>
          <w:cantSplit/>
          <w:trHeight w:val="20"/>
          <w:tblHeader/>
          <w:jc w:val="center"/>
        </w:trPr>
        <w:tc>
          <w:tcPr>
            <w:tcW w:w="3704" w:type="dxa"/>
            <w:shd w:val="clear" w:color="auto" w:fill="A5CD7E"/>
            <w:vAlign w:val="center"/>
          </w:tcPr>
          <w:p w:rsidR="001528AA" w:rsidRPr="007370C9" w:rsidRDefault="001528AA" w:rsidP="007370C9">
            <w:pPr>
              <w:spacing w:before="120"/>
              <w:jc w:val="center"/>
              <w:rPr>
                <w:b/>
              </w:rPr>
            </w:pPr>
            <w:r w:rsidRPr="007370C9">
              <w:rPr>
                <w:b/>
              </w:rPr>
              <w:t>Factor</w:t>
            </w:r>
          </w:p>
        </w:tc>
        <w:tc>
          <w:tcPr>
            <w:tcW w:w="992" w:type="dxa"/>
            <w:shd w:val="clear" w:color="auto" w:fill="A5CD7E"/>
            <w:vAlign w:val="center"/>
          </w:tcPr>
          <w:p w:rsidR="001528AA" w:rsidRPr="007370C9" w:rsidRDefault="001528AA" w:rsidP="007370C9">
            <w:pPr>
              <w:spacing w:before="120"/>
              <w:jc w:val="center"/>
              <w:rPr>
                <w:b/>
              </w:rPr>
            </w:pPr>
            <w:r w:rsidRPr="007370C9">
              <w:rPr>
                <w:b/>
              </w:rPr>
              <w:t>2011</w:t>
            </w:r>
          </w:p>
        </w:tc>
        <w:tc>
          <w:tcPr>
            <w:tcW w:w="993" w:type="dxa"/>
            <w:shd w:val="clear" w:color="auto" w:fill="A5CD7E"/>
            <w:vAlign w:val="center"/>
          </w:tcPr>
          <w:p w:rsidR="001528AA" w:rsidRPr="007370C9" w:rsidRDefault="001528AA" w:rsidP="007370C9">
            <w:pPr>
              <w:spacing w:before="120"/>
              <w:jc w:val="center"/>
              <w:rPr>
                <w:b/>
              </w:rPr>
            </w:pPr>
            <w:r w:rsidRPr="007370C9">
              <w:rPr>
                <w:b/>
              </w:rPr>
              <w:t>2012</w:t>
            </w:r>
          </w:p>
        </w:tc>
        <w:tc>
          <w:tcPr>
            <w:tcW w:w="992" w:type="dxa"/>
            <w:shd w:val="clear" w:color="auto" w:fill="A5CD7E"/>
            <w:vAlign w:val="center"/>
          </w:tcPr>
          <w:p w:rsidR="001528AA" w:rsidRPr="007370C9" w:rsidRDefault="001528AA" w:rsidP="007370C9">
            <w:pPr>
              <w:spacing w:before="120"/>
              <w:jc w:val="center"/>
              <w:rPr>
                <w:b/>
              </w:rPr>
            </w:pPr>
            <w:r w:rsidRPr="007370C9">
              <w:rPr>
                <w:b/>
              </w:rPr>
              <w:t>2013</w:t>
            </w:r>
          </w:p>
        </w:tc>
        <w:tc>
          <w:tcPr>
            <w:tcW w:w="993" w:type="dxa"/>
            <w:shd w:val="clear" w:color="auto" w:fill="A5CD7E"/>
            <w:vAlign w:val="center"/>
          </w:tcPr>
          <w:p w:rsidR="001528AA" w:rsidRPr="007370C9" w:rsidRDefault="001528AA" w:rsidP="007370C9">
            <w:pPr>
              <w:spacing w:before="120"/>
              <w:jc w:val="center"/>
              <w:rPr>
                <w:b/>
              </w:rPr>
            </w:pPr>
            <w:r w:rsidRPr="007370C9">
              <w:rPr>
                <w:b/>
              </w:rPr>
              <w:t>2014</w:t>
            </w:r>
          </w:p>
        </w:tc>
        <w:tc>
          <w:tcPr>
            <w:tcW w:w="993"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094B43" w:rsidTr="006458AD">
        <w:trPr>
          <w:trHeight w:val="20"/>
          <w:jc w:val="center"/>
        </w:trPr>
        <w:tc>
          <w:tcPr>
            <w:tcW w:w="3704" w:type="dxa"/>
            <w:shd w:val="clear" w:color="auto" w:fill="auto"/>
            <w:vAlign w:val="center"/>
          </w:tcPr>
          <w:p w:rsidR="001528AA" w:rsidRPr="00094B43" w:rsidRDefault="001528AA" w:rsidP="006458AD">
            <w:pPr>
              <w:pStyle w:val="Tabletext"/>
            </w:pPr>
            <w:r>
              <w:t xml:space="preserve">Fleet O&amp;M Spending </w:t>
            </w:r>
            <w:r w:rsidR="006458AD">
              <w:t>(millions)</w:t>
            </w:r>
          </w:p>
        </w:tc>
        <w:tc>
          <w:tcPr>
            <w:tcW w:w="992" w:type="dxa"/>
            <w:vAlign w:val="center"/>
          </w:tcPr>
          <w:p w:rsidR="001528AA" w:rsidRPr="00094B43" w:rsidRDefault="001528AA" w:rsidP="00701DCF">
            <w:pPr>
              <w:pStyle w:val="Tabletext"/>
            </w:pPr>
            <w:r>
              <w:t>$19.5</w:t>
            </w:r>
          </w:p>
        </w:tc>
        <w:tc>
          <w:tcPr>
            <w:tcW w:w="993" w:type="dxa"/>
            <w:vAlign w:val="center"/>
          </w:tcPr>
          <w:p w:rsidR="001528AA" w:rsidRPr="00094B43" w:rsidRDefault="006458AD" w:rsidP="00701DCF">
            <w:pPr>
              <w:pStyle w:val="Tabletext"/>
            </w:pPr>
            <w:r>
              <w:t>$</w:t>
            </w:r>
            <w:r w:rsidR="001528AA">
              <w:t>19.2</w:t>
            </w:r>
          </w:p>
        </w:tc>
        <w:tc>
          <w:tcPr>
            <w:tcW w:w="992" w:type="dxa"/>
            <w:vAlign w:val="center"/>
          </w:tcPr>
          <w:p w:rsidR="001528AA" w:rsidRPr="00094B43" w:rsidRDefault="006458AD" w:rsidP="00701DCF">
            <w:pPr>
              <w:pStyle w:val="Tabletext"/>
            </w:pPr>
            <w:r>
              <w:t>$</w:t>
            </w:r>
            <w:r w:rsidR="001528AA">
              <w:t>18.4</w:t>
            </w:r>
          </w:p>
        </w:tc>
        <w:tc>
          <w:tcPr>
            <w:tcW w:w="993" w:type="dxa"/>
            <w:vAlign w:val="center"/>
          </w:tcPr>
          <w:p w:rsidR="001528AA" w:rsidRPr="00094B43" w:rsidRDefault="006458AD" w:rsidP="00701DCF">
            <w:pPr>
              <w:pStyle w:val="Tabletext"/>
            </w:pPr>
            <w:r>
              <w:t>$</w:t>
            </w:r>
            <w:r w:rsidR="001528AA">
              <w:t>16.3</w:t>
            </w:r>
          </w:p>
        </w:tc>
        <w:tc>
          <w:tcPr>
            <w:tcW w:w="993" w:type="dxa"/>
            <w:vAlign w:val="center"/>
          </w:tcPr>
          <w:p w:rsidR="001528AA" w:rsidRDefault="006458AD" w:rsidP="00701DCF">
            <w:pPr>
              <w:pStyle w:val="Tabletext"/>
            </w:pPr>
            <w:r>
              <w:t>$</w:t>
            </w:r>
            <w:r w:rsidR="001528AA">
              <w:t>15.5</w:t>
            </w:r>
          </w:p>
        </w:tc>
      </w:tr>
      <w:tr w:rsidR="001528AA" w:rsidRPr="00094B43" w:rsidTr="006458AD">
        <w:trPr>
          <w:trHeight w:val="20"/>
          <w:jc w:val="center"/>
        </w:trPr>
        <w:tc>
          <w:tcPr>
            <w:tcW w:w="8667" w:type="dxa"/>
            <w:gridSpan w:val="6"/>
            <w:vAlign w:val="center"/>
          </w:tcPr>
          <w:p w:rsidR="001528AA" w:rsidRPr="00094B43" w:rsidRDefault="001528AA" w:rsidP="00701DCF">
            <w:pPr>
              <w:pStyle w:val="Tabletext"/>
              <w:jc w:val="left"/>
            </w:pPr>
            <w:r w:rsidRPr="00094B43">
              <w:t xml:space="preserve">Source: </w:t>
            </w:r>
            <w:r>
              <w:t>DN 11-078; DN 11-080; PPL edits</w:t>
            </w:r>
          </w:p>
        </w:tc>
      </w:tr>
    </w:tbl>
    <w:p w:rsidR="001528AA" w:rsidRPr="006D1B9D" w:rsidRDefault="001528AA" w:rsidP="00701DCF">
      <w:pPr>
        <w:pStyle w:val="Normal-aftertable"/>
      </w:pPr>
      <w:r>
        <w:t>The annual spending includes fuel, labor, and parts.  The region supervisors meet monthly to share information and discuss any fleet issues.  Emails and phone calls are also used to communicate issues, solutions, and work improvement opportunities.</w:t>
      </w:r>
    </w:p>
    <w:p w:rsidR="001528AA" w:rsidRDefault="001528AA" w:rsidP="00DD2818">
      <w:pPr>
        <w:pStyle w:val="Heading40"/>
      </w:pPr>
      <w:bookmarkStart w:id="239" w:name="_Toc442617449"/>
      <w:r>
        <w:t>Repairs</w:t>
      </w:r>
      <w:bookmarkEnd w:id="239"/>
    </w:p>
    <w:p w:rsidR="001528AA" w:rsidRDefault="001528AA" w:rsidP="00701DCF">
      <w:pPr>
        <w:rPr>
          <w:rFonts w:cs="Arial"/>
          <w:szCs w:val="24"/>
        </w:rPr>
      </w:pPr>
      <w:r>
        <w:rPr>
          <w:rFonts w:cs="Arial"/>
          <w:szCs w:val="24"/>
        </w:rPr>
        <w:t>Vehicle accident repairs are performed by contracted body shops and a boom repair vendor.  Minor repairs identified during preventative maintenance will be performed by the mechanic.  Dielectric testing of booms is outsourced and is conducted annually.</w:t>
      </w:r>
    </w:p>
    <w:p w:rsidR="001528AA" w:rsidRDefault="001528AA" w:rsidP="00701DCF">
      <w:pPr>
        <w:rPr>
          <w:rFonts w:cs="Arial"/>
          <w:szCs w:val="24"/>
        </w:rPr>
      </w:pPr>
      <w:r>
        <w:rPr>
          <w:rFonts w:cs="Arial"/>
          <w:szCs w:val="24"/>
        </w:rPr>
        <w:t>Specialized repair work such as engines, transmissions, and body work are outsourced.  Outsourced work is checked by the mechanics to make sure the issue is resolved before releasing the vehicle for use.  The garages will do minor fiberglass repairs on bucket truck booms but first send a photograph to the manufacturer for review before initiating the repair.</w:t>
      </w:r>
    </w:p>
    <w:p w:rsidR="001528AA" w:rsidRDefault="001528AA" w:rsidP="00DD2818">
      <w:pPr>
        <w:pStyle w:val="Heading40"/>
      </w:pPr>
      <w:bookmarkStart w:id="240" w:name="_Toc442617450"/>
      <w:r>
        <w:t>Maintenance</w:t>
      </w:r>
      <w:bookmarkEnd w:id="240"/>
    </w:p>
    <w:p w:rsidR="001528AA" w:rsidRDefault="001528AA" w:rsidP="00701DCF">
      <w:pPr>
        <w:rPr>
          <w:rFonts w:cs="Arial"/>
          <w:szCs w:val="24"/>
        </w:rPr>
      </w:pPr>
      <w:r>
        <w:rPr>
          <w:rFonts w:cs="Arial"/>
          <w:szCs w:val="24"/>
        </w:rPr>
        <w:t>The garages are responsible for preventive maintenance (PM) services and repairs for PPL EU fleet vehicles including the bucket trucks.  A lead mechanic is responsible for scheduling work in each region.  The standard workflow for a vehicle repair begins with an assessment by the mechanic.  If the mechanic can make the repairs, the mechanic will order the necessary parts and repair the vehicle.  If the mechanic cannot make the repairs, the vehicle is turned over to a vendor.</w:t>
      </w:r>
      <w:r w:rsidRPr="000F6A1A">
        <w:rPr>
          <w:rFonts w:cs="Arial"/>
          <w:szCs w:val="24"/>
        </w:rPr>
        <w:t xml:space="preserve"> </w:t>
      </w:r>
      <w:r>
        <w:rPr>
          <w:rFonts w:cs="Arial"/>
          <w:szCs w:val="24"/>
        </w:rPr>
        <w:t xml:space="preserve"> Some garages with smaller staff will outsource routine work as well.</w:t>
      </w:r>
    </w:p>
    <w:p w:rsidR="001528AA" w:rsidRPr="006D1B9D" w:rsidRDefault="001528AA" w:rsidP="00701DCF">
      <w:pPr>
        <w:rPr>
          <w:rFonts w:cs="Arial"/>
          <w:szCs w:val="24"/>
        </w:rPr>
      </w:pPr>
      <w:r>
        <w:rPr>
          <w:rFonts w:cs="Arial"/>
          <w:szCs w:val="24"/>
        </w:rPr>
        <w:t>The State establishes inspection cycles for vehicles.  Four types of preventive maintenance (PMs) are conducted on larger trucks and bucket trucks.  The different PMs occur every three months on cycles ranging from 6 to 60 months.  Cars, trucks, and vans are inspected from every three months to annually, based on mileage.  Checklists are used by the mechanics for the PMs.</w:t>
      </w:r>
    </w:p>
    <w:p w:rsidR="001528AA" w:rsidRDefault="001528AA" w:rsidP="00701DCF">
      <w:pPr>
        <w:rPr>
          <w:rFonts w:cs="Arial"/>
          <w:szCs w:val="24"/>
        </w:rPr>
      </w:pPr>
      <w:r>
        <w:rPr>
          <w:rFonts w:cs="Arial"/>
          <w:szCs w:val="24"/>
        </w:rPr>
        <w:t>A check form is used by the vehicle operators to report problems for maintenance or repair.  These issues will typically be fixed on the 2</w:t>
      </w:r>
      <w:r w:rsidRPr="009401C4">
        <w:rPr>
          <w:rFonts w:cs="Arial"/>
          <w:szCs w:val="24"/>
          <w:vertAlign w:val="superscript"/>
        </w:rPr>
        <w:t>nd</w:t>
      </w:r>
      <w:r>
        <w:rPr>
          <w:rFonts w:cs="Arial"/>
          <w:szCs w:val="24"/>
        </w:rPr>
        <w:t xml:space="preserve"> shift the same evening.  Transportation Services also uses the </w:t>
      </w:r>
      <w:r w:rsidRPr="00DA6775">
        <w:rPr>
          <w:rFonts w:cs="Arial"/>
        </w:rPr>
        <w:t>Corporate Corrective Action Tracking System</w:t>
      </w:r>
      <w:r w:rsidRPr="00DA6775">
        <w:rPr>
          <w:rFonts w:cs="Arial"/>
          <w:szCs w:val="24"/>
        </w:rPr>
        <w:t xml:space="preserve"> </w:t>
      </w:r>
      <w:r>
        <w:rPr>
          <w:rFonts w:cs="Arial"/>
          <w:szCs w:val="24"/>
        </w:rPr>
        <w:t xml:space="preserve">(CCATs) </w:t>
      </w:r>
      <w:r w:rsidRPr="00DA6775">
        <w:rPr>
          <w:rFonts w:cs="Arial"/>
          <w:szCs w:val="24"/>
        </w:rPr>
        <w:t xml:space="preserve">to document and track the review, analysis, and recommendations or corrective action </w:t>
      </w:r>
      <w:r>
        <w:rPr>
          <w:rFonts w:cs="Arial"/>
          <w:szCs w:val="24"/>
        </w:rPr>
        <w:t>for recurring issues or problems identified with vehicles during maintenance activities.</w:t>
      </w:r>
      <w:r>
        <w:t xml:space="preserve">  If a vehicle repair concern requires vendor attention, the vendor submits a</w:t>
      </w:r>
      <w:r>
        <w:rPr>
          <w:rFonts w:cs="Arial"/>
          <w:szCs w:val="24"/>
        </w:rPr>
        <w:t xml:space="preserve"> Complaint, Cause, Correction (3C) Report to inform PPL of resolution of a problem identified on fleet vehicles and major systems.</w:t>
      </w:r>
      <w:r w:rsidRPr="00440B39">
        <w:t xml:space="preserve"> </w:t>
      </w:r>
    </w:p>
    <w:p w:rsidR="001528AA" w:rsidRDefault="001528AA" w:rsidP="00701DCF">
      <w:pPr>
        <w:rPr>
          <w:rFonts w:cs="Arial"/>
          <w:szCs w:val="24"/>
        </w:rPr>
      </w:pPr>
      <w:r>
        <w:rPr>
          <w:rFonts w:cs="Arial"/>
          <w:szCs w:val="24"/>
        </w:rPr>
        <w:t>The PM schedule for bucket trucks may be modified in the future using</w:t>
      </w:r>
      <w:r w:rsidRPr="00DA12A3">
        <w:rPr>
          <w:rFonts w:cs="Arial"/>
          <w:szCs w:val="24"/>
        </w:rPr>
        <w:t xml:space="preserve"> </w:t>
      </w:r>
      <w:r>
        <w:rPr>
          <w:rFonts w:cs="Arial"/>
          <w:szCs w:val="24"/>
        </w:rPr>
        <w:t>running time instead of mileage to trigger more specific PM activities in the new fleet management application.</w:t>
      </w:r>
    </w:p>
    <w:p w:rsidR="001528AA" w:rsidRDefault="001528AA" w:rsidP="00DD2818">
      <w:pPr>
        <w:pStyle w:val="Heading40"/>
      </w:pPr>
      <w:bookmarkStart w:id="241" w:name="_Toc442617451"/>
      <w:r>
        <w:lastRenderedPageBreak/>
        <w:t>Vehicle Specifications and Purchasing</w:t>
      </w:r>
      <w:bookmarkEnd w:id="241"/>
    </w:p>
    <w:p w:rsidR="001528AA" w:rsidRDefault="001528AA" w:rsidP="00701DCF">
      <w:pPr>
        <w:rPr>
          <w:rFonts w:cs="Arial"/>
          <w:szCs w:val="24"/>
        </w:rPr>
      </w:pPr>
      <w:r>
        <w:rPr>
          <w:rFonts w:cs="Arial"/>
          <w:szCs w:val="24"/>
        </w:rPr>
        <w:t xml:space="preserve">The Transportation </w:t>
      </w:r>
      <w:r w:rsidRPr="00B5528A">
        <w:rPr>
          <w:rFonts w:cs="Arial"/>
          <w:szCs w:val="24"/>
        </w:rPr>
        <w:t xml:space="preserve">Senior </w:t>
      </w:r>
      <w:r>
        <w:rPr>
          <w:rFonts w:cs="Arial"/>
          <w:szCs w:val="24"/>
        </w:rPr>
        <w:t>Technical Specialist prepares and maintains the vehicle specifications.  In the past, users would order vehicles based on their individual requirements.  The specialist has been working since 2013 to develop standardized specifications across PPL EU.  Standardized vehicle specifications have been completed for seven categories including vans, trucks, light duty vehicles, material handling bucket trucks, and trailers.  Meetings were recently initiated to develop a standardized vehicle specification for line bucket trucks.  The first meeting in 2015 included operations and fleet representatives from across PPL EU.  Currently, each region uses the bucket truck specifications as a general guideline.  The goal is to develop a specification to be used by all of the regions that still allows for some customization at the requesting service center’s expense.</w:t>
      </w:r>
    </w:p>
    <w:p w:rsidR="001528AA" w:rsidRDefault="001528AA" w:rsidP="00701DCF">
      <w:pPr>
        <w:rPr>
          <w:rFonts w:cs="Arial"/>
          <w:szCs w:val="24"/>
        </w:rPr>
      </w:pPr>
      <w:r>
        <w:rPr>
          <w:rFonts w:cs="Arial"/>
          <w:szCs w:val="24"/>
        </w:rPr>
        <w:t>The Transportation Senior Technical Specialist prepares a list of vehicles slated for replacement based on age and condition criteria for review and prioritization with the Transportation Area Supervisors.  Vehicles slated for disposal go to an auction company.</w:t>
      </w:r>
    </w:p>
    <w:p w:rsidR="001528AA" w:rsidRDefault="001528AA" w:rsidP="00701DCF">
      <w:pPr>
        <w:rPr>
          <w:rFonts w:cs="Arial"/>
          <w:szCs w:val="24"/>
        </w:rPr>
      </w:pPr>
      <w:r>
        <w:rPr>
          <w:rFonts w:cs="Arial"/>
          <w:szCs w:val="24"/>
        </w:rPr>
        <w:t>PPL reviews the fleet annually to identify candidates for replacement.  The initial screening is based on age.  The following exhibit shows the age triggers currently used by PPL EU Transportation for each vehicle class.</w:t>
      </w:r>
    </w:p>
    <w:p w:rsidR="001528AA" w:rsidRPr="007D7B1B" w:rsidRDefault="00ED6D61" w:rsidP="00ED6D61">
      <w:pPr>
        <w:pStyle w:val="Caption"/>
      </w:pPr>
      <w:bookmarkStart w:id="242" w:name="_Toc464553012"/>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12</w:t>
      </w:r>
      <w:r w:rsidR="00CB2B2A">
        <w:rPr>
          <w:noProof/>
        </w:rPr>
        <w:fldChar w:fldCharType="end"/>
      </w:r>
      <w:r w:rsidR="003907AC">
        <w:br/>
      </w:r>
      <w:r w:rsidR="001528AA">
        <w:t>PPL EU Vehicle Replacement Age Triggers</w:t>
      </w:r>
      <w:bookmarkEnd w:id="2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92"/>
        <w:gridCol w:w="679"/>
      </w:tblGrid>
      <w:tr w:rsidR="001528AA" w:rsidRPr="007370C9" w:rsidTr="00643507">
        <w:trPr>
          <w:cantSplit/>
          <w:trHeight w:val="20"/>
          <w:tblHeader/>
          <w:jc w:val="center"/>
        </w:trPr>
        <w:tc>
          <w:tcPr>
            <w:tcW w:w="0" w:type="auto"/>
            <w:shd w:val="clear" w:color="auto" w:fill="A5CD7E"/>
            <w:vAlign w:val="center"/>
          </w:tcPr>
          <w:p w:rsidR="001528AA" w:rsidRPr="007370C9" w:rsidRDefault="001528AA" w:rsidP="007370C9">
            <w:pPr>
              <w:spacing w:before="120"/>
              <w:jc w:val="center"/>
              <w:rPr>
                <w:b/>
              </w:rPr>
            </w:pPr>
            <w:r w:rsidRPr="007370C9">
              <w:rPr>
                <w:b/>
              </w:rPr>
              <w:t>Vehicle Class</w:t>
            </w:r>
          </w:p>
        </w:tc>
        <w:tc>
          <w:tcPr>
            <w:tcW w:w="679" w:type="dxa"/>
            <w:shd w:val="clear" w:color="auto" w:fill="A5CD7E"/>
            <w:vAlign w:val="center"/>
          </w:tcPr>
          <w:p w:rsidR="001528AA" w:rsidRPr="007370C9" w:rsidRDefault="001528AA" w:rsidP="007370C9">
            <w:pPr>
              <w:spacing w:before="120"/>
              <w:jc w:val="center"/>
              <w:rPr>
                <w:b/>
              </w:rPr>
            </w:pPr>
            <w:r w:rsidRPr="007370C9">
              <w:rPr>
                <w:b/>
              </w:rPr>
              <w:t>Age</w:t>
            </w:r>
          </w:p>
        </w:tc>
      </w:tr>
      <w:tr w:rsidR="001528AA" w:rsidRPr="00094B43" w:rsidTr="00701DCF">
        <w:trPr>
          <w:cantSplit/>
          <w:trHeight w:val="20"/>
          <w:jc w:val="center"/>
        </w:trPr>
        <w:tc>
          <w:tcPr>
            <w:tcW w:w="0" w:type="auto"/>
            <w:shd w:val="clear" w:color="auto" w:fill="auto"/>
            <w:vAlign w:val="center"/>
          </w:tcPr>
          <w:p w:rsidR="001528AA" w:rsidRPr="00094B43" w:rsidRDefault="001528AA" w:rsidP="00701DCF">
            <w:pPr>
              <w:pStyle w:val="Tabletext"/>
              <w:jc w:val="left"/>
            </w:pPr>
            <w:r>
              <w:t>Sedan/SUV</w:t>
            </w:r>
          </w:p>
        </w:tc>
        <w:tc>
          <w:tcPr>
            <w:tcW w:w="679" w:type="dxa"/>
            <w:vAlign w:val="center"/>
          </w:tcPr>
          <w:p w:rsidR="001528AA" w:rsidRPr="005439C4" w:rsidRDefault="001528AA" w:rsidP="00701DCF">
            <w:pPr>
              <w:pStyle w:val="Tabletext"/>
            </w:pPr>
            <w:r>
              <w:t>7</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Pick up (1/2 Ton and below)</w:t>
            </w:r>
          </w:p>
        </w:tc>
        <w:tc>
          <w:tcPr>
            <w:tcW w:w="679" w:type="dxa"/>
            <w:vAlign w:val="center"/>
          </w:tcPr>
          <w:p w:rsidR="001528AA" w:rsidRDefault="001528AA" w:rsidP="00701DCF">
            <w:pPr>
              <w:pStyle w:val="Tabletext"/>
            </w:pPr>
            <w:r>
              <w:t>7</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Pickup (3/4 ton and above)</w:t>
            </w:r>
          </w:p>
        </w:tc>
        <w:tc>
          <w:tcPr>
            <w:tcW w:w="679" w:type="dxa"/>
            <w:vAlign w:val="center"/>
          </w:tcPr>
          <w:p w:rsidR="001528AA" w:rsidRDefault="001528AA" w:rsidP="00701DCF">
            <w:pPr>
              <w:pStyle w:val="Tabletext"/>
            </w:pPr>
            <w:r>
              <w:t>10</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Trouble truck</w:t>
            </w:r>
          </w:p>
        </w:tc>
        <w:tc>
          <w:tcPr>
            <w:tcW w:w="679" w:type="dxa"/>
            <w:vAlign w:val="center"/>
          </w:tcPr>
          <w:p w:rsidR="001528AA" w:rsidRDefault="001528AA" w:rsidP="00701DCF">
            <w:pPr>
              <w:pStyle w:val="Tabletext"/>
            </w:pPr>
            <w:r>
              <w:t>5</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Service bucket truck</w:t>
            </w:r>
          </w:p>
        </w:tc>
        <w:tc>
          <w:tcPr>
            <w:tcW w:w="679" w:type="dxa"/>
            <w:vAlign w:val="center"/>
          </w:tcPr>
          <w:p w:rsidR="001528AA" w:rsidRDefault="001528AA" w:rsidP="00701DCF">
            <w:pPr>
              <w:pStyle w:val="Tabletext"/>
            </w:pPr>
            <w:r>
              <w:t>10</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Derrick (with/without digger)</w:t>
            </w:r>
          </w:p>
        </w:tc>
        <w:tc>
          <w:tcPr>
            <w:tcW w:w="679" w:type="dxa"/>
            <w:vAlign w:val="center"/>
          </w:tcPr>
          <w:p w:rsidR="001528AA" w:rsidRDefault="001528AA" w:rsidP="00701DCF">
            <w:pPr>
              <w:pStyle w:val="Tabletext"/>
            </w:pPr>
            <w:r>
              <w:t>10</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Bucket truck (under 60 ft.)</w:t>
            </w:r>
          </w:p>
        </w:tc>
        <w:tc>
          <w:tcPr>
            <w:tcW w:w="679" w:type="dxa"/>
            <w:vAlign w:val="center"/>
          </w:tcPr>
          <w:p w:rsidR="001528AA" w:rsidRDefault="001528AA" w:rsidP="00701DCF">
            <w:pPr>
              <w:pStyle w:val="Tabletext"/>
            </w:pPr>
            <w:r>
              <w:t>10</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Bucket truck (over 60 ft.)</w:t>
            </w:r>
          </w:p>
        </w:tc>
        <w:tc>
          <w:tcPr>
            <w:tcW w:w="679" w:type="dxa"/>
            <w:vAlign w:val="center"/>
          </w:tcPr>
          <w:p w:rsidR="001528AA" w:rsidRDefault="001528AA" w:rsidP="00701DCF">
            <w:pPr>
              <w:pStyle w:val="Tabletext"/>
            </w:pPr>
            <w:r>
              <w:t>15</w:t>
            </w:r>
          </w:p>
        </w:tc>
      </w:tr>
      <w:tr w:rsidR="001528AA" w:rsidRPr="00094B43" w:rsidTr="00701DCF">
        <w:trPr>
          <w:cantSplit/>
          <w:trHeight w:val="20"/>
          <w:jc w:val="center"/>
        </w:trPr>
        <w:tc>
          <w:tcPr>
            <w:tcW w:w="0" w:type="auto"/>
            <w:shd w:val="clear" w:color="auto" w:fill="auto"/>
            <w:vAlign w:val="center"/>
          </w:tcPr>
          <w:p w:rsidR="001528AA" w:rsidRDefault="001528AA" w:rsidP="00701DCF">
            <w:pPr>
              <w:pStyle w:val="Tabletext"/>
              <w:jc w:val="left"/>
            </w:pPr>
            <w:r>
              <w:t>Trailers and other towed equipment</w:t>
            </w:r>
          </w:p>
        </w:tc>
        <w:tc>
          <w:tcPr>
            <w:tcW w:w="679" w:type="dxa"/>
            <w:vAlign w:val="center"/>
          </w:tcPr>
          <w:p w:rsidR="001528AA" w:rsidRDefault="001528AA" w:rsidP="00701DCF">
            <w:pPr>
              <w:pStyle w:val="Tabletext"/>
            </w:pPr>
            <w:r>
              <w:t>20</w:t>
            </w:r>
          </w:p>
        </w:tc>
      </w:tr>
      <w:tr w:rsidR="001528AA" w:rsidRPr="00094B43" w:rsidTr="00701DCF">
        <w:trPr>
          <w:cantSplit/>
          <w:trHeight w:val="20"/>
          <w:jc w:val="center"/>
        </w:trPr>
        <w:tc>
          <w:tcPr>
            <w:tcW w:w="4671" w:type="dxa"/>
            <w:gridSpan w:val="2"/>
            <w:vAlign w:val="center"/>
          </w:tcPr>
          <w:p w:rsidR="001528AA" w:rsidRPr="00094B43" w:rsidRDefault="001528AA" w:rsidP="00701DCF">
            <w:pPr>
              <w:pStyle w:val="Tabletext"/>
              <w:jc w:val="left"/>
            </w:pPr>
            <w:r w:rsidRPr="00094B43">
              <w:t xml:space="preserve">Source: DN </w:t>
            </w:r>
            <w:r>
              <w:t>11-081</w:t>
            </w:r>
          </w:p>
        </w:tc>
      </w:tr>
    </w:tbl>
    <w:p w:rsidR="001528AA" w:rsidRDefault="001528AA" w:rsidP="00701DCF">
      <w:pPr>
        <w:pStyle w:val="Normal-aftertable"/>
      </w:pPr>
      <w:r>
        <w:t>The list of vehicle and equipment meeting the age criteria are then evaluated and ranked based on mileage or hours, annual maintenance costs, appearance/body condition, and operational need.  Vehicles may also be added to the review process upon the recommendation of the Transportation Area Supervisors.  The prioritized list is then used to determine which vehicles are most beneficial to replace from a financial and operational perspective while staying within annual capital budgetary guidelines.</w:t>
      </w:r>
    </w:p>
    <w:p w:rsidR="001528AA" w:rsidRDefault="001528AA" w:rsidP="00701DCF">
      <w:pPr>
        <w:rPr>
          <w:rFonts w:cs="Arial"/>
          <w:szCs w:val="24"/>
        </w:rPr>
      </w:pPr>
      <w:r>
        <w:rPr>
          <w:rFonts w:cs="Arial"/>
          <w:szCs w:val="24"/>
        </w:rPr>
        <w:t>PPL EU is also participating in an Alternative Fuels Incentive Grant that is paying for 50% of the increased cost of electric vehicles.  Fifteen Chevy Volts were delivered in May 2015.  Six vehicles are planned to be used as a loaner during maintenance and nine will be used as pool vehicles for daily use.</w:t>
      </w:r>
    </w:p>
    <w:p w:rsidR="001528AA" w:rsidRDefault="001528AA" w:rsidP="00701DCF">
      <w:pPr>
        <w:rPr>
          <w:rFonts w:cs="Arial"/>
          <w:szCs w:val="24"/>
        </w:rPr>
      </w:pPr>
      <w:r>
        <w:rPr>
          <w:rFonts w:cs="Arial"/>
          <w:szCs w:val="24"/>
        </w:rPr>
        <w:lastRenderedPageBreak/>
        <w:t>The Transportation Services Manager manages the capital budget for vehicles.  The following table provides a summary of capital spending from 2010 to 2015.</w:t>
      </w:r>
    </w:p>
    <w:p w:rsidR="001528AA" w:rsidRPr="00152C96" w:rsidRDefault="00ED6D61" w:rsidP="00ED6D61">
      <w:pPr>
        <w:pStyle w:val="Caption"/>
      </w:pPr>
      <w:bookmarkStart w:id="243" w:name="_Toc464553013"/>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13</w:t>
      </w:r>
      <w:r w:rsidR="00CB2B2A">
        <w:rPr>
          <w:noProof/>
        </w:rPr>
        <w:fldChar w:fldCharType="end"/>
      </w:r>
      <w:r w:rsidR="003907AC">
        <w:br/>
      </w:r>
      <w:r w:rsidR="001528AA">
        <w:t>PPL EU Vehicle Capital Spending 2010–2015</w:t>
      </w:r>
      <w:r w:rsidR="001528AA">
        <w:br/>
        <w:t>($ millions)</w:t>
      </w:r>
      <w:bookmarkEnd w:id="2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34"/>
        <w:gridCol w:w="898"/>
        <w:gridCol w:w="899"/>
        <w:gridCol w:w="899"/>
        <w:gridCol w:w="899"/>
        <w:gridCol w:w="899"/>
        <w:gridCol w:w="899"/>
      </w:tblGrid>
      <w:tr w:rsidR="001528AA" w:rsidRPr="007370C9" w:rsidTr="006458AD">
        <w:trPr>
          <w:cantSplit/>
          <w:trHeight w:val="20"/>
          <w:tblHeader/>
          <w:jc w:val="center"/>
        </w:trPr>
        <w:tc>
          <w:tcPr>
            <w:tcW w:w="4134" w:type="dxa"/>
            <w:shd w:val="clear" w:color="auto" w:fill="A5CD7E"/>
            <w:vAlign w:val="center"/>
          </w:tcPr>
          <w:p w:rsidR="001528AA" w:rsidRPr="007370C9" w:rsidRDefault="001528AA" w:rsidP="007370C9">
            <w:pPr>
              <w:spacing w:before="120"/>
              <w:jc w:val="center"/>
              <w:rPr>
                <w:b/>
              </w:rPr>
            </w:pPr>
            <w:r w:rsidRPr="007370C9">
              <w:rPr>
                <w:b/>
              </w:rPr>
              <w:t>Factor</w:t>
            </w:r>
          </w:p>
        </w:tc>
        <w:tc>
          <w:tcPr>
            <w:tcW w:w="898" w:type="dxa"/>
            <w:shd w:val="clear" w:color="auto" w:fill="A5CD7E"/>
            <w:vAlign w:val="center"/>
          </w:tcPr>
          <w:p w:rsidR="001528AA" w:rsidRPr="007370C9" w:rsidRDefault="001528AA" w:rsidP="007370C9">
            <w:pPr>
              <w:spacing w:before="120"/>
              <w:jc w:val="center"/>
              <w:rPr>
                <w:b/>
              </w:rPr>
            </w:pPr>
            <w:r w:rsidRPr="007370C9">
              <w:rPr>
                <w:b/>
              </w:rPr>
              <w:t>2010</w:t>
            </w:r>
          </w:p>
        </w:tc>
        <w:tc>
          <w:tcPr>
            <w:tcW w:w="899" w:type="dxa"/>
            <w:shd w:val="clear" w:color="auto" w:fill="A5CD7E"/>
            <w:vAlign w:val="center"/>
          </w:tcPr>
          <w:p w:rsidR="001528AA" w:rsidRPr="007370C9" w:rsidRDefault="001528AA" w:rsidP="007370C9">
            <w:pPr>
              <w:spacing w:before="120"/>
              <w:jc w:val="center"/>
              <w:rPr>
                <w:b/>
              </w:rPr>
            </w:pPr>
            <w:r w:rsidRPr="007370C9">
              <w:rPr>
                <w:b/>
              </w:rPr>
              <w:t>2011</w:t>
            </w:r>
          </w:p>
        </w:tc>
        <w:tc>
          <w:tcPr>
            <w:tcW w:w="899" w:type="dxa"/>
            <w:shd w:val="clear" w:color="auto" w:fill="A5CD7E"/>
            <w:vAlign w:val="center"/>
          </w:tcPr>
          <w:p w:rsidR="001528AA" w:rsidRPr="007370C9" w:rsidRDefault="001528AA" w:rsidP="007370C9">
            <w:pPr>
              <w:spacing w:before="120"/>
              <w:jc w:val="center"/>
              <w:rPr>
                <w:b/>
              </w:rPr>
            </w:pPr>
            <w:r w:rsidRPr="007370C9">
              <w:rPr>
                <w:b/>
              </w:rPr>
              <w:t>2012</w:t>
            </w:r>
          </w:p>
        </w:tc>
        <w:tc>
          <w:tcPr>
            <w:tcW w:w="899" w:type="dxa"/>
            <w:shd w:val="clear" w:color="auto" w:fill="A5CD7E"/>
            <w:vAlign w:val="center"/>
          </w:tcPr>
          <w:p w:rsidR="001528AA" w:rsidRPr="007370C9" w:rsidRDefault="001528AA" w:rsidP="007370C9">
            <w:pPr>
              <w:spacing w:before="120"/>
              <w:jc w:val="center"/>
              <w:rPr>
                <w:b/>
              </w:rPr>
            </w:pPr>
            <w:r w:rsidRPr="007370C9">
              <w:rPr>
                <w:b/>
              </w:rPr>
              <w:t>2013</w:t>
            </w:r>
          </w:p>
        </w:tc>
        <w:tc>
          <w:tcPr>
            <w:tcW w:w="899" w:type="dxa"/>
            <w:shd w:val="clear" w:color="auto" w:fill="A5CD7E"/>
            <w:vAlign w:val="center"/>
          </w:tcPr>
          <w:p w:rsidR="001528AA" w:rsidRPr="007370C9" w:rsidRDefault="001528AA" w:rsidP="007370C9">
            <w:pPr>
              <w:spacing w:before="120"/>
              <w:jc w:val="center"/>
              <w:rPr>
                <w:b/>
              </w:rPr>
            </w:pPr>
            <w:r w:rsidRPr="007370C9">
              <w:rPr>
                <w:b/>
              </w:rPr>
              <w:t>2014</w:t>
            </w:r>
          </w:p>
        </w:tc>
        <w:tc>
          <w:tcPr>
            <w:tcW w:w="899"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572A07" w:rsidTr="006458AD">
        <w:trPr>
          <w:trHeight w:val="20"/>
          <w:jc w:val="center"/>
        </w:trPr>
        <w:tc>
          <w:tcPr>
            <w:tcW w:w="4134" w:type="dxa"/>
            <w:shd w:val="clear" w:color="auto" w:fill="auto"/>
            <w:vAlign w:val="center"/>
          </w:tcPr>
          <w:p w:rsidR="001528AA" w:rsidRPr="00AD3C11" w:rsidRDefault="001528AA" w:rsidP="00701DCF">
            <w:pPr>
              <w:pStyle w:val="Tabletext"/>
            </w:pPr>
            <w:r w:rsidRPr="00AD3C11">
              <w:t>Vehicle Capital Spending</w:t>
            </w:r>
            <w:r w:rsidR="006458AD">
              <w:t xml:space="preserve"> (millions)</w:t>
            </w:r>
          </w:p>
        </w:tc>
        <w:tc>
          <w:tcPr>
            <w:tcW w:w="898" w:type="dxa"/>
            <w:vAlign w:val="center"/>
          </w:tcPr>
          <w:p w:rsidR="001528AA" w:rsidRPr="00AD3C11" w:rsidRDefault="006458AD" w:rsidP="00701DCF">
            <w:pPr>
              <w:pStyle w:val="Tabletext"/>
            </w:pPr>
            <w:r>
              <w:t>$</w:t>
            </w:r>
            <w:r w:rsidR="001528AA" w:rsidRPr="00AD3C11">
              <w:t>9.5</w:t>
            </w:r>
          </w:p>
        </w:tc>
        <w:tc>
          <w:tcPr>
            <w:tcW w:w="899" w:type="dxa"/>
            <w:vAlign w:val="center"/>
          </w:tcPr>
          <w:p w:rsidR="001528AA" w:rsidRPr="00AD3C11" w:rsidRDefault="006458AD" w:rsidP="00701DCF">
            <w:pPr>
              <w:pStyle w:val="Tabletext"/>
            </w:pPr>
            <w:r>
              <w:t>$</w:t>
            </w:r>
            <w:r w:rsidR="001528AA" w:rsidRPr="00AD3C11">
              <w:t>9.3</w:t>
            </w:r>
          </w:p>
        </w:tc>
        <w:tc>
          <w:tcPr>
            <w:tcW w:w="899" w:type="dxa"/>
            <w:vAlign w:val="center"/>
          </w:tcPr>
          <w:p w:rsidR="001528AA" w:rsidRPr="00AD3C11" w:rsidRDefault="006458AD" w:rsidP="00701DCF">
            <w:pPr>
              <w:pStyle w:val="Tabletext"/>
            </w:pPr>
            <w:r>
              <w:t>$</w:t>
            </w:r>
            <w:r w:rsidR="001528AA" w:rsidRPr="00AD3C11">
              <w:t>9.3</w:t>
            </w:r>
          </w:p>
        </w:tc>
        <w:tc>
          <w:tcPr>
            <w:tcW w:w="899" w:type="dxa"/>
            <w:vAlign w:val="center"/>
          </w:tcPr>
          <w:p w:rsidR="001528AA" w:rsidRPr="00AD3C11" w:rsidRDefault="006458AD" w:rsidP="00701DCF">
            <w:pPr>
              <w:pStyle w:val="Tabletext"/>
            </w:pPr>
            <w:r>
              <w:t>$</w:t>
            </w:r>
            <w:r w:rsidR="001528AA">
              <w:t>7.9</w:t>
            </w:r>
          </w:p>
        </w:tc>
        <w:tc>
          <w:tcPr>
            <w:tcW w:w="899" w:type="dxa"/>
            <w:vAlign w:val="center"/>
          </w:tcPr>
          <w:p w:rsidR="001528AA" w:rsidRPr="00AD3C11" w:rsidRDefault="006458AD" w:rsidP="00701DCF">
            <w:pPr>
              <w:pStyle w:val="Tabletext"/>
            </w:pPr>
            <w:r>
              <w:t>$</w:t>
            </w:r>
            <w:r w:rsidR="001528AA" w:rsidRPr="00AD3C11">
              <w:t>2.6</w:t>
            </w:r>
          </w:p>
        </w:tc>
        <w:tc>
          <w:tcPr>
            <w:tcW w:w="899" w:type="dxa"/>
            <w:vAlign w:val="center"/>
          </w:tcPr>
          <w:p w:rsidR="001528AA" w:rsidRPr="00AD3C11" w:rsidRDefault="006458AD" w:rsidP="00701DCF">
            <w:pPr>
              <w:pStyle w:val="Tabletext"/>
            </w:pPr>
            <w:r>
              <w:t>$</w:t>
            </w:r>
            <w:r w:rsidR="001528AA">
              <w:t>9.3</w:t>
            </w:r>
          </w:p>
        </w:tc>
      </w:tr>
      <w:tr w:rsidR="001528AA" w:rsidRPr="00094B43" w:rsidTr="006458AD">
        <w:trPr>
          <w:trHeight w:val="20"/>
          <w:jc w:val="center"/>
        </w:trPr>
        <w:tc>
          <w:tcPr>
            <w:tcW w:w="9527" w:type="dxa"/>
            <w:gridSpan w:val="7"/>
            <w:vAlign w:val="center"/>
          </w:tcPr>
          <w:p w:rsidR="001528AA" w:rsidRPr="00AD3C11" w:rsidRDefault="001528AA" w:rsidP="00701DCF">
            <w:pPr>
              <w:pStyle w:val="Tabletext"/>
              <w:jc w:val="left"/>
            </w:pPr>
            <w:r w:rsidRPr="00AD3C11">
              <w:t xml:space="preserve">Source: DN </w:t>
            </w:r>
            <w:r>
              <w:t>01-026</w:t>
            </w:r>
            <w:r w:rsidRPr="00AD3C11">
              <w:t>; DN 11-064</w:t>
            </w:r>
            <w:r>
              <w:t>; DN 11078; DN 11-080</w:t>
            </w:r>
          </w:p>
        </w:tc>
      </w:tr>
    </w:tbl>
    <w:p w:rsidR="001528AA" w:rsidRPr="006D1B9D" w:rsidRDefault="001528AA" w:rsidP="00701DCF">
      <w:pPr>
        <w:pStyle w:val="Normal-aftertable"/>
      </w:pPr>
      <w:r>
        <w:t xml:space="preserve">PPL reports that the primary reasons for the drop in capital spending in 2014 were vendor production delays and a transfer of funds to support higher priority business needs.  The vehicle procurement policy establishes criteria for the replacement or addition of vehicles and assignment of vehicles to individual employees.  VP level approval is required for any vehicle acquisitions above what is currently in the fleet.  Checklists are used to outfit new vehicles with company specific equipment and markings.  The </w:t>
      </w:r>
      <w:r w:rsidRPr="00B5528A">
        <w:t xml:space="preserve">Senior </w:t>
      </w:r>
      <w:r>
        <w:t>Technical Specialist inspects the vehicles at the dealer before authorizing delivery to the garages for final preparation and use.</w:t>
      </w:r>
    </w:p>
    <w:p w:rsidR="001528AA" w:rsidRDefault="001528AA" w:rsidP="00DD2818">
      <w:pPr>
        <w:pStyle w:val="Heading40"/>
      </w:pPr>
      <w:bookmarkStart w:id="244" w:name="_Toc442617452"/>
      <w:r>
        <w:t>Fleet Parts</w:t>
      </w:r>
      <w:bookmarkEnd w:id="244"/>
    </w:p>
    <w:p w:rsidR="001528AA" w:rsidRDefault="001528AA" w:rsidP="00701DCF">
      <w:r w:rsidRPr="001E74FE">
        <w:t xml:space="preserve">Fleet parts inventory is also managed through </w:t>
      </w:r>
      <w:r>
        <w:t>the fleet management application</w:t>
      </w:r>
      <w:r w:rsidRPr="001E74FE">
        <w:t xml:space="preserve">. </w:t>
      </w:r>
      <w:r>
        <w:t xml:space="preserve"> Consignment parts usage is tracked in an Access database to aid in establishing appropriate maximum and minimum stock levels for each garage.  The Transportation </w:t>
      </w:r>
      <w:r w:rsidRPr="001E74FE">
        <w:t>Area Supervisor</w:t>
      </w:r>
      <w:r>
        <w:t>s review the stocking levels and make adjustments based on the projected PM schedule</w:t>
      </w:r>
      <w:r w:rsidRPr="001E74FE">
        <w:t>.</w:t>
      </w:r>
    </w:p>
    <w:p w:rsidR="001528AA" w:rsidRPr="00492242" w:rsidRDefault="001528AA" w:rsidP="00701DCF">
      <w:pPr>
        <w:rPr>
          <w:rFonts w:cs="Arial"/>
          <w:szCs w:val="24"/>
        </w:rPr>
      </w:pPr>
      <w:r>
        <w:rPr>
          <w:rFonts w:cs="Arial"/>
          <w:szCs w:val="24"/>
        </w:rPr>
        <w:t>A lead mechanic oversees the day to day parts ordering</w:t>
      </w:r>
      <w:r w:rsidRPr="00380FCF">
        <w:rPr>
          <w:rFonts w:cs="Arial"/>
          <w:szCs w:val="24"/>
        </w:rPr>
        <w:t xml:space="preserve"> </w:t>
      </w:r>
      <w:r>
        <w:rPr>
          <w:rFonts w:cs="Arial"/>
          <w:szCs w:val="24"/>
        </w:rPr>
        <w:t>for each region.  A parts ordering process has been established for consistency in ordering, inventory, and invoice processing among the different garage locations.</w:t>
      </w:r>
    </w:p>
    <w:p w:rsidR="001528AA" w:rsidRDefault="001528AA" w:rsidP="00701DCF">
      <w:pPr>
        <w:rPr>
          <w:rFonts w:cs="Arial"/>
          <w:szCs w:val="24"/>
        </w:rPr>
      </w:pPr>
      <w:r w:rsidRPr="00BB0355">
        <w:rPr>
          <w:rFonts w:cs="Arial"/>
          <w:szCs w:val="24"/>
        </w:rPr>
        <w:t xml:space="preserve">Regular use items are stocked in each garage.  Low use items generally are not, unless it is a long lead time items such as a truck radiator.  A vender provides tires on consignment.  </w:t>
      </w:r>
      <w:r>
        <w:rPr>
          <w:rFonts w:cs="Arial"/>
          <w:szCs w:val="24"/>
        </w:rPr>
        <w:t>PPL EU</w:t>
      </w:r>
      <w:r w:rsidRPr="00BB0355">
        <w:rPr>
          <w:rFonts w:cs="Arial"/>
          <w:szCs w:val="24"/>
        </w:rPr>
        <w:t xml:space="preserve"> uses </w:t>
      </w:r>
      <w:r>
        <w:rPr>
          <w:rFonts w:cs="Arial"/>
          <w:szCs w:val="24"/>
        </w:rPr>
        <w:t>a third party provider</w:t>
      </w:r>
      <w:r w:rsidRPr="00BB0355">
        <w:rPr>
          <w:rFonts w:cs="Arial"/>
          <w:szCs w:val="24"/>
        </w:rPr>
        <w:t xml:space="preserve"> to acquire most fleet high use parts including batteries, brake pads, and filters.  Local supply houses will be used to purchase low use parts as needed.  Mechanics have charge cards for parts purchases.  The heavy trucks are mostly </w:t>
      </w:r>
      <w:r>
        <w:rPr>
          <w:rFonts w:cs="Arial"/>
          <w:szCs w:val="24"/>
        </w:rPr>
        <w:t>on a single manufacturer’s</w:t>
      </w:r>
      <w:r w:rsidRPr="00BB0355">
        <w:rPr>
          <w:rFonts w:cs="Arial"/>
          <w:szCs w:val="24"/>
        </w:rPr>
        <w:t xml:space="preserve"> chassis and the booms are from two manufacturers which simplifies parts inventory.  The total parts inventory value at the 24 service center garage locations is approximately $114,000 plus a total consignment stock value of approximately $72,000.  The consignment stock is invoiced as used.  Total parts purchases </w:t>
      </w:r>
      <w:r>
        <w:rPr>
          <w:rFonts w:cs="Arial"/>
          <w:szCs w:val="24"/>
        </w:rPr>
        <w:t>from July 2014 through June 2015</w:t>
      </w:r>
      <w:r w:rsidRPr="00BB0355">
        <w:rPr>
          <w:rFonts w:cs="Arial"/>
          <w:szCs w:val="24"/>
        </w:rPr>
        <w:t xml:space="preserve"> w</w:t>
      </w:r>
      <w:r>
        <w:rPr>
          <w:rFonts w:cs="Arial"/>
          <w:szCs w:val="24"/>
        </w:rPr>
        <w:t>ere</w:t>
      </w:r>
      <w:r w:rsidRPr="00BB0355">
        <w:rPr>
          <w:rFonts w:cs="Arial"/>
          <w:szCs w:val="24"/>
        </w:rPr>
        <w:t xml:space="preserve"> $832,000 of which $132,000 was from local supply houses and $700,000 from contract agreements.</w:t>
      </w:r>
    </w:p>
    <w:p w:rsidR="001528AA" w:rsidRDefault="001528AA" w:rsidP="005123A6">
      <w:pPr>
        <w:pStyle w:val="Heading-forToC"/>
      </w:pPr>
      <w:bookmarkStart w:id="245" w:name="_Toc442617453"/>
      <w:bookmarkStart w:id="246" w:name="_Toc464552063"/>
      <w:r>
        <w:t>Findings</w:t>
      </w:r>
      <w:bookmarkEnd w:id="245"/>
      <w:bookmarkEnd w:id="246"/>
    </w:p>
    <w:p w:rsidR="001528AA" w:rsidRDefault="001528AA" w:rsidP="00B86FA4">
      <w:pPr>
        <w:pStyle w:val="Findings"/>
        <w:numPr>
          <w:ilvl w:val="0"/>
          <w:numId w:val="39"/>
        </w:numPr>
      </w:pPr>
      <w:r>
        <w:t>Transportation Services has implemented several good initiatives to reduce costs.</w:t>
      </w:r>
    </w:p>
    <w:p w:rsidR="001528AA" w:rsidRDefault="001528AA" w:rsidP="00701DCF">
      <w:pPr>
        <w:rPr>
          <w:rFonts w:cs="Arial"/>
          <w:szCs w:val="24"/>
        </w:rPr>
      </w:pPr>
      <w:r>
        <w:rPr>
          <w:rFonts w:cs="Arial"/>
          <w:szCs w:val="24"/>
        </w:rPr>
        <w:t xml:space="preserve">Remote vehicle analytics, referred to as Telematics, have been installed on all vehicles.  The device plugs into the engine diagnostics and includes an accelerometer and GPS </w:t>
      </w:r>
      <w:r>
        <w:rPr>
          <w:rFonts w:cs="Arial"/>
          <w:szCs w:val="24"/>
        </w:rPr>
        <w:lastRenderedPageBreak/>
        <w:t>locating.  The data is transmitted real-time via cellular communications and is expected to be useful in transitioning to condition based maintenance.  The system will also provide data to managers on vehicle utilization.  The data will be ported into the new version of the fleet management application that supports real-time telematics data.  The business case projects a six percent fuel savings and a five percent reduction in fleet vehicles.</w:t>
      </w:r>
    </w:p>
    <w:p w:rsidR="001528AA" w:rsidRDefault="001528AA" w:rsidP="00701DCF">
      <w:pPr>
        <w:rPr>
          <w:rFonts w:cs="Arial"/>
          <w:szCs w:val="24"/>
        </w:rPr>
      </w:pPr>
      <w:proofErr w:type="gramStart"/>
      <w:r>
        <w:rPr>
          <w:rFonts w:cs="Arial"/>
          <w:szCs w:val="24"/>
        </w:rPr>
        <w:t>ePTO</w:t>
      </w:r>
      <w:proofErr w:type="gramEnd"/>
      <w:r>
        <w:rPr>
          <w:rFonts w:cs="Arial"/>
          <w:szCs w:val="24"/>
        </w:rPr>
        <w:t xml:space="preserve"> is another initiative being implemented in 2015 which uses battery packs to power hydraulics and support boom truck operation at a work location for up to three hours with the truck engine turned off.  Initial plans call for installation on eight line trucks and four trouble trucks.  During the 2014 pilot program, crews reported favorably on the reduced noise at the job site.  The goal is to reduce fuel consumption and extend engine life.  The justification projects a lifetime savings of between $18,000 and $56,000 per vehicle, depending on the chassis type.</w:t>
      </w:r>
    </w:p>
    <w:p w:rsidR="001528AA" w:rsidRDefault="001528AA" w:rsidP="00701DCF">
      <w:pPr>
        <w:rPr>
          <w:rFonts w:cs="Arial"/>
          <w:szCs w:val="24"/>
        </w:rPr>
      </w:pPr>
      <w:r>
        <w:rPr>
          <w:rFonts w:cs="Arial"/>
          <w:szCs w:val="24"/>
        </w:rPr>
        <w:t>Lift truck aerial booms typically last longer than the chassis.  A potential program is being explored with a manufacturer to sell old line trucks and buy back a new truck with the refurbished boom installed on the new chassis.</w:t>
      </w:r>
    </w:p>
    <w:p w:rsidR="001528AA" w:rsidRDefault="001528AA" w:rsidP="00701DCF">
      <w:pPr>
        <w:rPr>
          <w:rFonts w:cs="Arial"/>
          <w:szCs w:val="24"/>
        </w:rPr>
      </w:pPr>
      <w:r>
        <w:rPr>
          <w:rFonts w:cs="Arial"/>
          <w:szCs w:val="24"/>
        </w:rPr>
        <w:t>Another initiative under review is Zero RPM, a device that will shut off the engine in light duty trucks after five seconds in the park position and transfer power needs for lights, air conditioning, and mobile computer to a battery.  The goal is to reduce fuel consumption and extend engine life.</w:t>
      </w:r>
    </w:p>
    <w:p w:rsidR="001528AA" w:rsidRDefault="001528AA" w:rsidP="00B86FA4">
      <w:pPr>
        <w:pStyle w:val="Findings"/>
        <w:numPr>
          <w:ilvl w:val="0"/>
          <w:numId w:val="39"/>
        </w:numPr>
      </w:pPr>
      <w:r>
        <w:t>Transportation Services maintains a customer focused set of performance measures.</w:t>
      </w:r>
    </w:p>
    <w:p w:rsidR="001528AA" w:rsidRDefault="001528AA" w:rsidP="00701DCF">
      <w:r>
        <w:t>Transportation Services maintained a set of five key performance indicators in 2015 with monthly reporting on both an overall basis and at the regional level.  Fleet capital and operations and maintenance spending versus budget represent the two financial measures.  The light and heavy duty fleet availability metric addresses the ability of Transportation Services to return vehicles to service from repair and maintenance activities.  The level of chargebacks to departments due to requested vehicle modifications or repairs due to damage or accidents is also reported.  A new metric was added in 2015 to complement the heavy duty vehicle availability metric.  Out of Service Heavy Duty Longevity measures the number of days to return a heavy duty vehicle to service.  This metric is expected to increase visibility for the mechanics of the amount of time vehicles are out of service.</w:t>
      </w:r>
    </w:p>
    <w:p w:rsidR="001528AA" w:rsidRDefault="001528AA" w:rsidP="00B86FA4">
      <w:pPr>
        <w:pStyle w:val="Findings"/>
        <w:numPr>
          <w:ilvl w:val="0"/>
          <w:numId w:val="39"/>
        </w:numPr>
      </w:pPr>
      <w:r>
        <w:t>Transportation Services has provided good overall fleet availability.</w:t>
      </w:r>
    </w:p>
    <w:p w:rsidR="001528AA" w:rsidRDefault="001528AA" w:rsidP="00701DCF">
      <w:pPr>
        <w:rPr>
          <w:rFonts w:cs="Arial"/>
          <w:szCs w:val="24"/>
        </w:rPr>
      </w:pPr>
      <w:r>
        <w:t>Transportation Service’s performance indicators include monitoring of fleet availability.  The indicator is tracked separately for light duty and heavy duty vehicles as shown in the following table.</w:t>
      </w:r>
      <w:r>
        <w:rPr>
          <w:rFonts w:cs="Arial"/>
          <w:szCs w:val="24"/>
        </w:rPr>
        <w:t xml:space="preserve">  The following exhibit provides the annual fleet availability results for 2011 through 2015.</w:t>
      </w:r>
    </w:p>
    <w:p w:rsidR="00DD2818" w:rsidRDefault="00DD2818">
      <w:pPr>
        <w:spacing w:after="0"/>
        <w:jc w:val="left"/>
        <w:rPr>
          <w:b/>
          <w:bCs/>
          <w:szCs w:val="18"/>
        </w:rPr>
      </w:pPr>
      <w:r>
        <w:br w:type="page"/>
      </w:r>
    </w:p>
    <w:p w:rsidR="001528AA" w:rsidRPr="007D7B1B" w:rsidRDefault="00ED6D61" w:rsidP="00ED6D61">
      <w:pPr>
        <w:pStyle w:val="Caption"/>
      </w:pPr>
      <w:bookmarkStart w:id="247" w:name="_Toc464553014"/>
      <w:r>
        <w:lastRenderedPageBreak/>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14</w:t>
      </w:r>
      <w:r w:rsidR="00CB2B2A">
        <w:rPr>
          <w:noProof/>
        </w:rPr>
        <w:fldChar w:fldCharType="end"/>
      </w:r>
      <w:r w:rsidR="003907AC">
        <w:br/>
      </w:r>
      <w:r w:rsidR="001528AA">
        <w:t>PPL EU Fleet Availability 2011–2015</w:t>
      </w:r>
      <w:bookmarkEnd w:id="2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3"/>
        <w:gridCol w:w="1132"/>
        <w:gridCol w:w="1132"/>
        <w:gridCol w:w="1133"/>
        <w:gridCol w:w="1132"/>
        <w:gridCol w:w="1133"/>
      </w:tblGrid>
      <w:tr w:rsidR="001528AA" w:rsidRPr="007370C9" w:rsidTr="00643507">
        <w:trPr>
          <w:cantSplit/>
          <w:trHeight w:val="20"/>
          <w:tblHeader/>
          <w:jc w:val="center"/>
        </w:trPr>
        <w:tc>
          <w:tcPr>
            <w:tcW w:w="3323" w:type="dxa"/>
            <w:shd w:val="clear" w:color="auto" w:fill="A5CD7E"/>
            <w:vAlign w:val="center"/>
          </w:tcPr>
          <w:p w:rsidR="001528AA" w:rsidRPr="007370C9" w:rsidRDefault="001528AA" w:rsidP="007370C9">
            <w:pPr>
              <w:spacing w:before="120"/>
              <w:jc w:val="center"/>
              <w:rPr>
                <w:b/>
              </w:rPr>
            </w:pPr>
            <w:r w:rsidRPr="007370C9">
              <w:rPr>
                <w:b/>
              </w:rPr>
              <w:t>Factor</w:t>
            </w:r>
          </w:p>
        </w:tc>
        <w:tc>
          <w:tcPr>
            <w:tcW w:w="1132" w:type="dxa"/>
            <w:shd w:val="clear" w:color="auto" w:fill="A5CD7E"/>
            <w:vAlign w:val="center"/>
          </w:tcPr>
          <w:p w:rsidR="001528AA" w:rsidRPr="007370C9" w:rsidRDefault="001528AA" w:rsidP="007370C9">
            <w:pPr>
              <w:spacing w:before="120"/>
              <w:jc w:val="center"/>
              <w:rPr>
                <w:b/>
              </w:rPr>
            </w:pPr>
            <w:r w:rsidRPr="007370C9">
              <w:rPr>
                <w:b/>
              </w:rPr>
              <w:t>2011</w:t>
            </w:r>
          </w:p>
        </w:tc>
        <w:tc>
          <w:tcPr>
            <w:tcW w:w="1132" w:type="dxa"/>
            <w:shd w:val="clear" w:color="auto" w:fill="A5CD7E"/>
            <w:vAlign w:val="center"/>
          </w:tcPr>
          <w:p w:rsidR="001528AA" w:rsidRPr="007370C9" w:rsidRDefault="001528AA" w:rsidP="007370C9">
            <w:pPr>
              <w:spacing w:before="120"/>
              <w:jc w:val="center"/>
              <w:rPr>
                <w:b/>
              </w:rPr>
            </w:pPr>
            <w:r w:rsidRPr="007370C9">
              <w:rPr>
                <w:b/>
              </w:rPr>
              <w:t>2012</w:t>
            </w:r>
          </w:p>
        </w:tc>
        <w:tc>
          <w:tcPr>
            <w:tcW w:w="1133" w:type="dxa"/>
            <w:shd w:val="clear" w:color="auto" w:fill="A5CD7E"/>
            <w:vAlign w:val="center"/>
          </w:tcPr>
          <w:p w:rsidR="001528AA" w:rsidRPr="007370C9" w:rsidRDefault="001528AA" w:rsidP="007370C9">
            <w:pPr>
              <w:spacing w:before="120"/>
              <w:jc w:val="center"/>
              <w:rPr>
                <w:b/>
              </w:rPr>
            </w:pPr>
            <w:r w:rsidRPr="007370C9">
              <w:rPr>
                <w:b/>
              </w:rPr>
              <w:t>2013</w:t>
            </w:r>
          </w:p>
        </w:tc>
        <w:tc>
          <w:tcPr>
            <w:tcW w:w="1132" w:type="dxa"/>
            <w:shd w:val="clear" w:color="auto" w:fill="A5CD7E"/>
            <w:vAlign w:val="center"/>
          </w:tcPr>
          <w:p w:rsidR="001528AA" w:rsidRPr="007370C9" w:rsidRDefault="001528AA" w:rsidP="007370C9">
            <w:pPr>
              <w:spacing w:before="120"/>
              <w:jc w:val="center"/>
              <w:rPr>
                <w:b/>
              </w:rPr>
            </w:pPr>
            <w:r w:rsidRPr="007370C9">
              <w:rPr>
                <w:b/>
              </w:rPr>
              <w:t>2014</w:t>
            </w:r>
          </w:p>
        </w:tc>
        <w:tc>
          <w:tcPr>
            <w:tcW w:w="1133" w:type="dxa"/>
            <w:shd w:val="clear" w:color="auto" w:fill="A5CD7E"/>
            <w:vAlign w:val="center"/>
          </w:tcPr>
          <w:p w:rsidR="001528AA" w:rsidRPr="007370C9" w:rsidRDefault="001528AA" w:rsidP="007370C9">
            <w:pPr>
              <w:spacing w:before="120"/>
              <w:jc w:val="center"/>
              <w:rPr>
                <w:b/>
              </w:rPr>
            </w:pPr>
            <w:r w:rsidRPr="007370C9">
              <w:rPr>
                <w:b/>
              </w:rPr>
              <w:t>2015</w:t>
            </w:r>
          </w:p>
        </w:tc>
      </w:tr>
      <w:tr w:rsidR="001528AA" w:rsidRPr="00094B43" w:rsidTr="00701DCF">
        <w:trPr>
          <w:cantSplit/>
          <w:trHeight w:val="20"/>
          <w:jc w:val="center"/>
        </w:trPr>
        <w:tc>
          <w:tcPr>
            <w:tcW w:w="3323" w:type="dxa"/>
            <w:shd w:val="clear" w:color="auto" w:fill="auto"/>
            <w:vAlign w:val="center"/>
          </w:tcPr>
          <w:p w:rsidR="001528AA" w:rsidRPr="00094B43" w:rsidRDefault="001528AA" w:rsidP="00701DCF">
            <w:pPr>
              <w:pStyle w:val="Tabletext"/>
            </w:pPr>
            <w:r>
              <w:t>Light Duty Fleet Availability</w:t>
            </w:r>
          </w:p>
        </w:tc>
        <w:tc>
          <w:tcPr>
            <w:tcW w:w="1132" w:type="dxa"/>
            <w:vAlign w:val="center"/>
          </w:tcPr>
          <w:p w:rsidR="001528AA" w:rsidRPr="005439C4" w:rsidRDefault="001528AA" w:rsidP="00701DCF">
            <w:pPr>
              <w:pStyle w:val="Tabletext"/>
            </w:pPr>
            <w:r>
              <w:t>99.2%</w:t>
            </w:r>
          </w:p>
        </w:tc>
        <w:tc>
          <w:tcPr>
            <w:tcW w:w="1132" w:type="dxa"/>
            <w:vAlign w:val="center"/>
          </w:tcPr>
          <w:p w:rsidR="001528AA" w:rsidRPr="00094B43" w:rsidRDefault="001528AA" w:rsidP="00701DCF">
            <w:pPr>
              <w:pStyle w:val="Tabletext"/>
            </w:pPr>
            <w:r>
              <w:t>98.9%</w:t>
            </w:r>
          </w:p>
        </w:tc>
        <w:tc>
          <w:tcPr>
            <w:tcW w:w="1133" w:type="dxa"/>
            <w:vAlign w:val="center"/>
          </w:tcPr>
          <w:p w:rsidR="001528AA" w:rsidRPr="00094B43" w:rsidRDefault="001528AA" w:rsidP="00701DCF">
            <w:pPr>
              <w:pStyle w:val="Tabletext"/>
            </w:pPr>
            <w:r>
              <w:t>99.7%</w:t>
            </w:r>
          </w:p>
        </w:tc>
        <w:tc>
          <w:tcPr>
            <w:tcW w:w="1132" w:type="dxa"/>
            <w:vAlign w:val="center"/>
          </w:tcPr>
          <w:p w:rsidR="001528AA" w:rsidRPr="00094B43" w:rsidRDefault="001528AA" w:rsidP="00701DCF">
            <w:pPr>
              <w:pStyle w:val="Tabletext"/>
            </w:pPr>
            <w:r>
              <w:t>99.7%</w:t>
            </w:r>
          </w:p>
        </w:tc>
        <w:tc>
          <w:tcPr>
            <w:tcW w:w="1133" w:type="dxa"/>
            <w:vAlign w:val="center"/>
          </w:tcPr>
          <w:p w:rsidR="001528AA" w:rsidRPr="00094B43" w:rsidRDefault="001528AA" w:rsidP="00701DCF">
            <w:pPr>
              <w:pStyle w:val="Tabletext"/>
            </w:pPr>
            <w:r>
              <w:t>99.66%</w:t>
            </w:r>
          </w:p>
        </w:tc>
      </w:tr>
      <w:tr w:rsidR="001528AA" w:rsidRPr="00094B43" w:rsidTr="00701DCF">
        <w:trPr>
          <w:cantSplit/>
          <w:trHeight w:val="20"/>
          <w:jc w:val="center"/>
        </w:trPr>
        <w:tc>
          <w:tcPr>
            <w:tcW w:w="3323" w:type="dxa"/>
            <w:shd w:val="clear" w:color="auto" w:fill="auto"/>
            <w:vAlign w:val="center"/>
          </w:tcPr>
          <w:p w:rsidR="001528AA" w:rsidRPr="00094B43" w:rsidRDefault="001528AA" w:rsidP="00701DCF">
            <w:pPr>
              <w:pStyle w:val="Tabletext"/>
            </w:pPr>
            <w:r>
              <w:t>Heavy Duty Fleet Availability</w:t>
            </w:r>
          </w:p>
        </w:tc>
        <w:tc>
          <w:tcPr>
            <w:tcW w:w="1132" w:type="dxa"/>
            <w:vAlign w:val="center"/>
          </w:tcPr>
          <w:p w:rsidR="001528AA" w:rsidRDefault="001528AA" w:rsidP="00701DCF">
            <w:pPr>
              <w:pStyle w:val="Tabletext"/>
            </w:pPr>
            <w:r>
              <w:t>98.4%</w:t>
            </w:r>
          </w:p>
        </w:tc>
        <w:tc>
          <w:tcPr>
            <w:tcW w:w="1132" w:type="dxa"/>
            <w:vAlign w:val="center"/>
          </w:tcPr>
          <w:p w:rsidR="001528AA" w:rsidRDefault="001528AA" w:rsidP="00701DCF">
            <w:pPr>
              <w:pStyle w:val="Tabletext"/>
            </w:pPr>
            <w:r>
              <w:t>98.3%</w:t>
            </w:r>
          </w:p>
        </w:tc>
        <w:tc>
          <w:tcPr>
            <w:tcW w:w="1133" w:type="dxa"/>
            <w:vAlign w:val="center"/>
          </w:tcPr>
          <w:p w:rsidR="001528AA" w:rsidRDefault="001528AA" w:rsidP="00701DCF">
            <w:pPr>
              <w:pStyle w:val="Tabletext"/>
            </w:pPr>
            <w:r>
              <w:t>98.2%</w:t>
            </w:r>
          </w:p>
        </w:tc>
        <w:tc>
          <w:tcPr>
            <w:tcW w:w="1132" w:type="dxa"/>
            <w:vAlign w:val="center"/>
          </w:tcPr>
          <w:p w:rsidR="001528AA" w:rsidRPr="00094B43" w:rsidRDefault="001528AA" w:rsidP="00701DCF">
            <w:pPr>
              <w:pStyle w:val="Tabletext"/>
            </w:pPr>
            <w:r>
              <w:t>98.2%</w:t>
            </w:r>
          </w:p>
        </w:tc>
        <w:tc>
          <w:tcPr>
            <w:tcW w:w="1133" w:type="dxa"/>
            <w:vAlign w:val="center"/>
          </w:tcPr>
          <w:p w:rsidR="001528AA" w:rsidRDefault="001528AA" w:rsidP="00701DCF">
            <w:pPr>
              <w:pStyle w:val="Tabletext"/>
            </w:pPr>
            <w:r>
              <w:t>98.43%</w:t>
            </w:r>
          </w:p>
        </w:tc>
      </w:tr>
      <w:tr w:rsidR="001528AA" w:rsidRPr="00094B43" w:rsidTr="00701DCF">
        <w:trPr>
          <w:cantSplit/>
          <w:trHeight w:val="20"/>
          <w:jc w:val="center"/>
        </w:trPr>
        <w:tc>
          <w:tcPr>
            <w:tcW w:w="0" w:type="auto"/>
            <w:gridSpan w:val="6"/>
          </w:tcPr>
          <w:p w:rsidR="001528AA" w:rsidRPr="00094B43" w:rsidRDefault="001528AA" w:rsidP="00701DCF">
            <w:pPr>
              <w:pStyle w:val="Tabletext"/>
              <w:jc w:val="left"/>
            </w:pPr>
            <w:r w:rsidRPr="00094B43">
              <w:t xml:space="preserve">Source: DN </w:t>
            </w:r>
            <w:r>
              <w:t>11-078; DN 11-080</w:t>
            </w:r>
          </w:p>
        </w:tc>
      </w:tr>
    </w:tbl>
    <w:p w:rsidR="001528AA" w:rsidRDefault="001528AA" w:rsidP="00701DCF">
      <w:pPr>
        <w:pStyle w:val="Normal-aftertable"/>
      </w:pPr>
      <w:r>
        <w:t>The 2015 light duty performance indicates that, on average, light duty vehicles were not available due to maintenance or repairs for 30 hours during the year.  Heavy duty vehicles were out of service an average of 138 hours.</w:t>
      </w:r>
    </w:p>
    <w:p w:rsidR="001528AA" w:rsidRDefault="001528AA" w:rsidP="00B86FA4">
      <w:pPr>
        <w:pStyle w:val="Findings"/>
        <w:numPr>
          <w:ilvl w:val="0"/>
          <w:numId w:val="39"/>
        </w:numPr>
      </w:pPr>
      <w:r>
        <w:t>PPL fleet management is performing well compared to peers.</w:t>
      </w:r>
    </w:p>
    <w:p w:rsidR="001528AA" w:rsidRPr="00FD5DB8" w:rsidRDefault="001528AA" w:rsidP="00701DCF">
      <w:pPr>
        <w:rPr>
          <w:rFonts w:cs="Arial"/>
        </w:rPr>
      </w:pPr>
      <w:r>
        <w:t>A 2014 proprietary Utility Fleet survey also provided comparative information on PPL EU</w:t>
      </w:r>
      <w:r w:rsidRPr="00FD5DB8">
        <w:t xml:space="preserve">’s </w:t>
      </w:r>
      <w:r>
        <w:t xml:space="preserve">fleet. </w:t>
      </w:r>
    </w:p>
    <w:p w:rsidR="001528AA" w:rsidRPr="00860552" w:rsidRDefault="001528AA" w:rsidP="00701DCF">
      <w:pPr>
        <w:rPr>
          <w:rFonts w:cs="Arial"/>
        </w:rPr>
      </w:pPr>
      <w:r w:rsidRPr="00860552">
        <w:t xml:space="preserve">Vehicle cost per mile is in the second quartile for most vehicle classes with digger derrick trucks higher than peers at the fourth quartile.  </w:t>
      </w:r>
      <w:r>
        <w:rPr>
          <w:rFonts w:cs="Arial"/>
        </w:rPr>
        <w:t>PPL EU’s level of outsourced vehicle maintenance was 3.6% lower than the survey average.</w:t>
      </w:r>
    </w:p>
    <w:p w:rsidR="001528AA" w:rsidRDefault="001528AA" w:rsidP="00701DCF">
      <w:r>
        <w:t>The report summary notes that “</w:t>
      </w:r>
      <w:r w:rsidRPr="00860552">
        <w:t>PPL is performing below or near the industry average for most key metrics in the benchmark.</w:t>
      </w:r>
      <w:r>
        <w:t>”  Below the industry average, or in the first or second quartile, is considered better than average performance.</w:t>
      </w:r>
    </w:p>
    <w:p w:rsidR="001528AA" w:rsidRDefault="001528AA" w:rsidP="00701DCF">
      <w:pPr>
        <w:rPr>
          <w:rFonts w:cs="Arial"/>
        </w:rPr>
      </w:pPr>
      <w:r>
        <w:t>The t</w:t>
      </w:r>
      <w:r w:rsidRPr="00FD5DB8">
        <w:t xml:space="preserve">otal cost of ownership, operation, and support of </w:t>
      </w:r>
      <w:r>
        <w:t>the PPL</w:t>
      </w:r>
      <w:r w:rsidRPr="00FD5DB8">
        <w:t xml:space="preserve"> fleet in 2014 was $32,286,515, a decrease of $</w:t>
      </w:r>
      <w:r w:rsidRPr="00FD5DB8">
        <w:rPr>
          <w:rFonts w:cs="Arial"/>
        </w:rPr>
        <w:t>2,353,435 from 2013.</w:t>
      </w:r>
      <w:r>
        <w:rPr>
          <w:rFonts w:cs="Arial"/>
        </w:rPr>
        <w:t xml:space="preserve">  The decrease was largely due to a decrease in operating costs.</w:t>
      </w:r>
    </w:p>
    <w:p w:rsidR="001528AA" w:rsidRDefault="001528AA" w:rsidP="00701DCF">
      <w:r>
        <w:rPr>
          <w:rFonts w:cs="Arial"/>
        </w:rPr>
        <w:t>PPL EU’s total cost of ownership, operation, and support of the fleet in 2015 will be different due to the transfer of a portion of the vehicles and personnel to Talen.  Results from the future 2015 Utility Fleet survey should provide an updated reference point for PPL’s performance in this area.</w:t>
      </w:r>
    </w:p>
    <w:p w:rsidR="001528AA" w:rsidRPr="001539C2" w:rsidRDefault="001528AA" w:rsidP="00B86FA4">
      <w:pPr>
        <w:pStyle w:val="Findings"/>
        <w:numPr>
          <w:ilvl w:val="0"/>
          <w:numId w:val="39"/>
        </w:numPr>
      </w:pPr>
      <w:r>
        <w:t>The development of standardized specifications for vehicle purchase is largely completed.</w:t>
      </w:r>
    </w:p>
    <w:p w:rsidR="001528AA" w:rsidRDefault="001528AA" w:rsidP="00701DCF">
      <w:r>
        <w:t>As of mid-2015 the Line Bucket truck specification remained to be finalized.  Transportation Services has been working with representatives from the regions to complete the development of a standardized specification which is expected to be complete by the end of 2015.  PPL EU should see benefits in reduced vehicle acquisition costs and improved maintenance efficiencies.</w:t>
      </w:r>
    </w:p>
    <w:p w:rsidR="001528AA" w:rsidRDefault="001528AA" w:rsidP="00B86FA4">
      <w:pPr>
        <w:pStyle w:val="Findings"/>
        <w:numPr>
          <w:ilvl w:val="0"/>
          <w:numId w:val="39"/>
        </w:numPr>
      </w:pPr>
      <w:r>
        <w:t>The fleet management system application version was updated in December 2015.</w:t>
      </w:r>
    </w:p>
    <w:p w:rsidR="001528AA" w:rsidRDefault="001528AA" w:rsidP="00701DCF">
      <w:r>
        <w:t>PPL EU was using an older version of the fleet management application that limited its value in supporting work order generation, incorporation of the usage data from the new remote vehicle analytics system, and movement towards use of condition-based maintenance based on the analytics.  This software was upgraded in December 2015.</w:t>
      </w:r>
    </w:p>
    <w:p w:rsidR="001528AA" w:rsidRDefault="001528AA" w:rsidP="003907AC">
      <w:pPr>
        <w:pStyle w:val="Findings"/>
        <w:keepNext/>
        <w:numPr>
          <w:ilvl w:val="0"/>
          <w:numId w:val="39"/>
        </w:numPr>
      </w:pPr>
      <w:r>
        <w:lastRenderedPageBreak/>
        <w:t>The PPL fleet age is increasing but the average fleet age generally remains under the replacement consideration trigger.</w:t>
      </w:r>
    </w:p>
    <w:p w:rsidR="001528AA" w:rsidRPr="007D7B1B" w:rsidRDefault="00ED6D61" w:rsidP="00ED6D61">
      <w:pPr>
        <w:pStyle w:val="Caption"/>
      </w:pPr>
      <w:bookmarkStart w:id="248" w:name="_Toc464553015"/>
      <w:r>
        <w:t xml:space="preserve">Exhibit </w:t>
      </w:r>
      <w:r w:rsidR="00CB2B2A">
        <w:fldChar w:fldCharType="begin"/>
      </w:r>
      <w:r w:rsidR="00EC053E">
        <w:instrText xml:space="preserve"> STYLEREF 1 \s </w:instrText>
      </w:r>
      <w:r w:rsidR="00CB2B2A">
        <w:fldChar w:fldCharType="separate"/>
      </w:r>
      <w:r w:rsidR="00CA3BDB">
        <w:rPr>
          <w:noProof/>
        </w:rPr>
        <w:t>VIII</w:t>
      </w:r>
      <w:r w:rsidR="00CB2B2A">
        <w:rPr>
          <w:noProof/>
        </w:rPr>
        <w:fldChar w:fldCharType="end"/>
      </w:r>
      <w:r w:rsidR="00CA3BDB">
        <w:noBreakHyphen/>
      </w:r>
      <w:r w:rsidR="00CB2B2A">
        <w:fldChar w:fldCharType="begin"/>
      </w:r>
      <w:r w:rsidR="00EC053E">
        <w:instrText xml:space="preserve"> SEQ Exhibit \* ARABIC \s 1 </w:instrText>
      </w:r>
      <w:r w:rsidR="00CB2B2A">
        <w:fldChar w:fldCharType="separate"/>
      </w:r>
      <w:r w:rsidR="00CA3BDB">
        <w:rPr>
          <w:noProof/>
        </w:rPr>
        <w:t>15</w:t>
      </w:r>
      <w:r w:rsidR="00CB2B2A">
        <w:rPr>
          <w:noProof/>
        </w:rPr>
        <w:fldChar w:fldCharType="end"/>
      </w:r>
      <w:r w:rsidR="003907AC">
        <w:br/>
      </w:r>
      <w:r w:rsidR="001528AA">
        <w:t>PPL EU Fleet Age 2010–2015</w:t>
      </w:r>
      <w:bookmarkEnd w:id="2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2"/>
        <w:gridCol w:w="810"/>
        <w:gridCol w:w="810"/>
        <w:gridCol w:w="810"/>
        <w:gridCol w:w="810"/>
        <w:gridCol w:w="810"/>
        <w:gridCol w:w="810"/>
        <w:gridCol w:w="1890"/>
      </w:tblGrid>
      <w:tr w:rsidR="001528AA" w:rsidRPr="007370C9" w:rsidTr="007370C9">
        <w:trPr>
          <w:cantSplit/>
          <w:trHeight w:val="20"/>
          <w:tblHeader/>
          <w:jc w:val="center"/>
        </w:trPr>
        <w:tc>
          <w:tcPr>
            <w:tcW w:w="2142" w:type="dxa"/>
            <w:shd w:val="clear" w:color="auto" w:fill="A5CD7E"/>
            <w:vAlign w:val="center"/>
          </w:tcPr>
          <w:p w:rsidR="001528AA" w:rsidRPr="007370C9" w:rsidRDefault="001528AA" w:rsidP="007370C9">
            <w:pPr>
              <w:spacing w:before="120"/>
              <w:jc w:val="center"/>
              <w:rPr>
                <w:b/>
              </w:rPr>
            </w:pPr>
            <w:r w:rsidRPr="007370C9">
              <w:rPr>
                <w:b/>
              </w:rPr>
              <w:t>Vehicle Class</w:t>
            </w:r>
            <w:r w:rsidR="007370C9">
              <w:rPr>
                <w:b/>
              </w:rPr>
              <w:t xml:space="preserve"> </w:t>
            </w:r>
            <w:r w:rsidR="007370C9" w:rsidRPr="007370C9">
              <w:rPr>
                <w:b/>
              </w:rPr>
              <w:t xml:space="preserve"> </w:t>
            </w:r>
            <w:r w:rsidRPr="007370C9">
              <w:rPr>
                <w:b/>
              </w:rPr>
              <w:t>(2014 fleet size)</w:t>
            </w:r>
          </w:p>
        </w:tc>
        <w:tc>
          <w:tcPr>
            <w:tcW w:w="810" w:type="dxa"/>
            <w:shd w:val="clear" w:color="auto" w:fill="A5CD7E"/>
            <w:vAlign w:val="center"/>
          </w:tcPr>
          <w:p w:rsidR="001528AA" w:rsidRPr="007370C9" w:rsidRDefault="001528AA" w:rsidP="007370C9">
            <w:pPr>
              <w:spacing w:before="120"/>
              <w:jc w:val="center"/>
              <w:rPr>
                <w:b/>
              </w:rPr>
            </w:pPr>
            <w:r w:rsidRPr="007370C9">
              <w:rPr>
                <w:b/>
              </w:rPr>
              <w:t>2010</w:t>
            </w:r>
          </w:p>
        </w:tc>
        <w:tc>
          <w:tcPr>
            <w:tcW w:w="810" w:type="dxa"/>
            <w:shd w:val="clear" w:color="auto" w:fill="A5CD7E"/>
            <w:vAlign w:val="center"/>
          </w:tcPr>
          <w:p w:rsidR="001528AA" w:rsidRPr="007370C9" w:rsidRDefault="001528AA" w:rsidP="007370C9">
            <w:pPr>
              <w:spacing w:before="120"/>
              <w:jc w:val="center"/>
              <w:rPr>
                <w:b/>
              </w:rPr>
            </w:pPr>
            <w:r w:rsidRPr="007370C9">
              <w:rPr>
                <w:b/>
              </w:rPr>
              <w:t>2011</w:t>
            </w:r>
          </w:p>
        </w:tc>
        <w:tc>
          <w:tcPr>
            <w:tcW w:w="810" w:type="dxa"/>
            <w:shd w:val="clear" w:color="auto" w:fill="A5CD7E"/>
            <w:vAlign w:val="center"/>
          </w:tcPr>
          <w:p w:rsidR="001528AA" w:rsidRPr="007370C9" w:rsidRDefault="001528AA" w:rsidP="007370C9">
            <w:pPr>
              <w:spacing w:before="120"/>
              <w:jc w:val="center"/>
              <w:rPr>
                <w:b/>
              </w:rPr>
            </w:pPr>
            <w:r w:rsidRPr="007370C9">
              <w:rPr>
                <w:b/>
              </w:rPr>
              <w:t>2012</w:t>
            </w:r>
          </w:p>
        </w:tc>
        <w:tc>
          <w:tcPr>
            <w:tcW w:w="810" w:type="dxa"/>
            <w:shd w:val="clear" w:color="auto" w:fill="A5CD7E"/>
            <w:vAlign w:val="center"/>
          </w:tcPr>
          <w:p w:rsidR="001528AA" w:rsidRPr="007370C9" w:rsidRDefault="001528AA" w:rsidP="007370C9">
            <w:pPr>
              <w:spacing w:before="120"/>
              <w:jc w:val="center"/>
              <w:rPr>
                <w:b/>
              </w:rPr>
            </w:pPr>
            <w:r w:rsidRPr="007370C9">
              <w:rPr>
                <w:b/>
              </w:rPr>
              <w:t>2013</w:t>
            </w:r>
          </w:p>
        </w:tc>
        <w:tc>
          <w:tcPr>
            <w:tcW w:w="810" w:type="dxa"/>
            <w:shd w:val="clear" w:color="auto" w:fill="A5CD7E"/>
            <w:vAlign w:val="center"/>
          </w:tcPr>
          <w:p w:rsidR="001528AA" w:rsidRPr="007370C9" w:rsidRDefault="001528AA" w:rsidP="007370C9">
            <w:pPr>
              <w:spacing w:before="120"/>
              <w:jc w:val="center"/>
              <w:rPr>
                <w:b/>
              </w:rPr>
            </w:pPr>
            <w:r w:rsidRPr="007370C9">
              <w:rPr>
                <w:b/>
              </w:rPr>
              <w:t>2014</w:t>
            </w:r>
          </w:p>
        </w:tc>
        <w:tc>
          <w:tcPr>
            <w:tcW w:w="810" w:type="dxa"/>
            <w:shd w:val="clear" w:color="auto" w:fill="A5CD7E"/>
            <w:vAlign w:val="center"/>
          </w:tcPr>
          <w:p w:rsidR="001528AA" w:rsidRPr="007370C9" w:rsidRDefault="001528AA" w:rsidP="007370C9">
            <w:pPr>
              <w:spacing w:before="120"/>
              <w:jc w:val="center"/>
              <w:rPr>
                <w:b/>
              </w:rPr>
            </w:pPr>
            <w:r w:rsidRPr="007370C9">
              <w:rPr>
                <w:b/>
              </w:rPr>
              <w:t>2015</w:t>
            </w:r>
          </w:p>
        </w:tc>
        <w:tc>
          <w:tcPr>
            <w:tcW w:w="1890" w:type="dxa"/>
            <w:shd w:val="clear" w:color="auto" w:fill="A5CD7E"/>
            <w:vAlign w:val="center"/>
          </w:tcPr>
          <w:p w:rsidR="001528AA" w:rsidRPr="007370C9" w:rsidRDefault="001528AA" w:rsidP="007370C9">
            <w:pPr>
              <w:spacing w:before="120"/>
              <w:jc w:val="center"/>
              <w:rPr>
                <w:b/>
              </w:rPr>
            </w:pPr>
            <w:r w:rsidRPr="007370C9">
              <w:rPr>
                <w:b/>
              </w:rPr>
              <w:t>Replacement Age Trigger</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01DCF">
            <w:pPr>
              <w:spacing w:after="0"/>
              <w:rPr>
                <w:rFonts w:cs="Arial"/>
                <w:sz w:val="22"/>
              </w:rPr>
            </w:pPr>
            <w:r w:rsidRPr="00D6531A">
              <w:rPr>
                <w:rFonts w:cs="Arial"/>
                <w:sz w:val="22"/>
              </w:rPr>
              <w:t>Sedan (27)</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3.80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5.00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6.00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7.00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8.00</w:t>
            </w:r>
          </w:p>
        </w:tc>
        <w:tc>
          <w:tcPr>
            <w:tcW w:w="810" w:type="dxa"/>
            <w:vAlign w:val="center"/>
          </w:tcPr>
          <w:p w:rsidR="001528AA" w:rsidRPr="00D6531A" w:rsidRDefault="001528AA" w:rsidP="00701DCF">
            <w:pPr>
              <w:spacing w:after="0"/>
              <w:jc w:val="center"/>
              <w:rPr>
                <w:rFonts w:cs="Arial"/>
                <w:sz w:val="22"/>
              </w:rPr>
            </w:pPr>
            <w:r>
              <w:rPr>
                <w:rFonts w:cs="Arial"/>
                <w:sz w:val="22"/>
              </w:rPr>
              <w:t>7.78</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7</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01DCF">
            <w:pPr>
              <w:spacing w:after="0"/>
              <w:rPr>
                <w:sz w:val="22"/>
              </w:rPr>
            </w:pPr>
            <w:r w:rsidRPr="00D6531A">
              <w:rPr>
                <w:sz w:val="22"/>
              </w:rPr>
              <w:t>SUV (348)</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3.11</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3.23</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3.80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4.43</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5.27</w:t>
            </w:r>
          </w:p>
        </w:tc>
        <w:tc>
          <w:tcPr>
            <w:tcW w:w="810" w:type="dxa"/>
            <w:vAlign w:val="center"/>
          </w:tcPr>
          <w:p w:rsidR="001528AA" w:rsidRPr="00D6531A" w:rsidRDefault="001528AA" w:rsidP="00701DCF">
            <w:pPr>
              <w:spacing w:after="0"/>
              <w:jc w:val="center"/>
              <w:rPr>
                <w:rFonts w:cs="Arial"/>
                <w:sz w:val="22"/>
              </w:rPr>
            </w:pPr>
            <w:r>
              <w:rPr>
                <w:rFonts w:cs="Arial"/>
                <w:sz w:val="22"/>
              </w:rPr>
              <w:t>5.16</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7</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370C9">
            <w:pPr>
              <w:spacing w:after="0"/>
              <w:jc w:val="left"/>
              <w:rPr>
                <w:rFonts w:cs="Arial"/>
                <w:sz w:val="22"/>
              </w:rPr>
            </w:pPr>
            <w:r w:rsidRPr="00D6531A">
              <w:rPr>
                <w:sz w:val="22"/>
              </w:rPr>
              <w:t>Pick up - 1/2 Ton and below (183)</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2.49</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2.87</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3.23</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4.08</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4.66</w:t>
            </w:r>
          </w:p>
        </w:tc>
        <w:tc>
          <w:tcPr>
            <w:tcW w:w="810" w:type="dxa"/>
            <w:vAlign w:val="center"/>
          </w:tcPr>
          <w:p w:rsidR="001528AA" w:rsidRPr="00D6531A" w:rsidRDefault="001528AA" w:rsidP="00701DCF">
            <w:pPr>
              <w:spacing w:after="0"/>
              <w:jc w:val="center"/>
              <w:rPr>
                <w:rFonts w:cs="Arial"/>
                <w:sz w:val="22"/>
              </w:rPr>
            </w:pPr>
            <w:r>
              <w:rPr>
                <w:rFonts w:cs="Arial"/>
                <w:sz w:val="22"/>
              </w:rPr>
              <w:t>4.54</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7</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370C9">
            <w:pPr>
              <w:spacing w:after="0"/>
              <w:jc w:val="left"/>
              <w:rPr>
                <w:rFonts w:cs="Arial"/>
                <w:sz w:val="22"/>
              </w:rPr>
            </w:pPr>
            <w:r w:rsidRPr="00D6531A">
              <w:rPr>
                <w:rFonts w:cs="Arial"/>
                <w:sz w:val="22"/>
              </w:rPr>
              <w:t>Pickup - 3/4 ton and above (299)</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5.69</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5.98</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6.68</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7.70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8.64</w:t>
            </w:r>
          </w:p>
        </w:tc>
        <w:tc>
          <w:tcPr>
            <w:tcW w:w="810" w:type="dxa"/>
            <w:vAlign w:val="center"/>
          </w:tcPr>
          <w:p w:rsidR="001528AA" w:rsidRPr="00D6531A" w:rsidRDefault="001528AA" w:rsidP="00701DCF">
            <w:pPr>
              <w:spacing w:after="0"/>
              <w:jc w:val="center"/>
              <w:rPr>
                <w:rFonts w:cs="Arial"/>
                <w:sz w:val="22"/>
              </w:rPr>
            </w:pPr>
            <w:r>
              <w:rPr>
                <w:rFonts w:cs="Arial"/>
                <w:sz w:val="22"/>
              </w:rPr>
              <w:t>7.98</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10</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370C9">
            <w:pPr>
              <w:spacing w:after="0"/>
              <w:jc w:val="left"/>
              <w:rPr>
                <w:rFonts w:cs="Arial"/>
                <w:sz w:val="22"/>
              </w:rPr>
            </w:pPr>
            <w:r w:rsidRPr="00D6531A">
              <w:rPr>
                <w:sz w:val="22"/>
              </w:rPr>
              <w:t>Service bucket truck (52)</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4.55</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4.82</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4.00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4.32</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4.96</w:t>
            </w:r>
          </w:p>
        </w:tc>
        <w:tc>
          <w:tcPr>
            <w:tcW w:w="810" w:type="dxa"/>
            <w:vAlign w:val="center"/>
          </w:tcPr>
          <w:p w:rsidR="001528AA" w:rsidRPr="00D6531A" w:rsidRDefault="001528AA" w:rsidP="00701DCF">
            <w:pPr>
              <w:spacing w:after="0"/>
              <w:jc w:val="center"/>
              <w:rPr>
                <w:rFonts w:cs="Arial"/>
                <w:sz w:val="22"/>
              </w:rPr>
            </w:pPr>
            <w:r>
              <w:rPr>
                <w:rFonts w:cs="Arial"/>
                <w:sz w:val="22"/>
              </w:rPr>
              <w:t>5.17</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10</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370C9">
            <w:pPr>
              <w:spacing w:after="0"/>
              <w:jc w:val="left"/>
              <w:rPr>
                <w:rFonts w:cs="Arial"/>
                <w:sz w:val="22"/>
              </w:rPr>
            </w:pPr>
            <w:r w:rsidRPr="00D6531A">
              <w:rPr>
                <w:rFonts w:cs="Arial"/>
                <w:sz w:val="22"/>
              </w:rPr>
              <w:t>Bucket truck -under 60 ft. (235)</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5.42</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5.80</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6.17</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6.32</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6.78</w:t>
            </w:r>
          </w:p>
        </w:tc>
        <w:tc>
          <w:tcPr>
            <w:tcW w:w="810" w:type="dxa"/>
            <w:vAlign w:val="center"/>
          </w:tcPr>
          <w:p w:rsidR="001528AA" w:rsidRPr="00D6531A" w:rsidRDefault="001528AA" w:rsidP="00701DCF">
            <w:pPr>
              <w:spacing w:after="0"/>
              <w:jc w:val="center"/>
              <w:rPr>
                <w:rFonts w:cs="Arial"/>
                <w:sz w:val="22"/>
              </w:rPr>
            </w:pPr>
            <w:r>
              <w:rPr>
                <w:rFonts w:cs="Arial"/>
                <w:sz w:val="22"/>
              </w:rPr>
              <w:t>6.62</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10</w:t>
            </w:r>
          </w:p>
        </w:tc>
      </w:tr>
      <w:tr w:rsidR="001528AA" w:rsidRPr="00D6531A" w:rsidTr="007370C9">
        <w:trPr>
          <w:cantSplit/>
          <w:trHeight w:val="20"/>
          <w:jc w:val="center"/>
        </w:trPr>
        <w:tc>
          <w:tcPr>
            <w:tcW w:w="2142" w:type="dxa"/>
            <w:shd w:val="clear" w:color="auto" w:fill="auto"/>
            <w:vAlign w:val="center"/>
          </w:tcPr>
          <w:p w:rsidR="001528AA" w:rsidRPr="00D6531A" w:rsidRDefault="001528AA" w:rsidP="007370C9">
            <w:pPr>
              <w:spacing w:after="0"/>
              <w:jc w:val="left"/>
              <w:rPr>
                <w:rFonts w:cs="Arial"/>
                <w:sz w:val="22"/>
              </w:rPr>
            </w:pPr>
            <w:r w:rsidRPr="00D6531A">
              <w:rPr>
                <w:sz w:val="22"/>
              </w:rPr>
              <w:t>Derrick - with/ without digger (78)</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7.23</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7.99</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7.27</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7.95</w:t>
            </w:r>
          </w:p>
        </w:tc>
        <w:tc>
          <w:tcPr>
            <w:tcW w:w="810" w:type="dxa"/>
            <w:vAlign w:val="center"/>
          </w:tcPr>
          <w:p w:rsidR="001528AA" w:rsidRPr="00D6531A" w:rsidRDefault="001528AA" w:rsidP="00701DCF">
            <w:pPr>
              <w:spacing w:after="0"/>
              <w:jc w:val="center"/>
              <w:rPr>
                <w:rFonts w:cs="Arial"/>
                <w:sz w:val="22"/>
              </w:rPr>
            </w:pPr>
            <w:r w:rsidRPr="00D6531A">
              <w:rPr>
                <w:rFonts w:cs="Arial"/>
                <w:sz w:val="22"/>
              </w:rPr>
              <w:t>8.82</w:t>
            </w:r>
          </w:p>
        </w:tc>
        <w:tc>
          <w:tcPr>
            <w:tcW w:w="810" w:type="dxa"/>
            <w:vAlign w:val="center"/>
          </w:tcPr>
          <w:p w:rsidR="001528AA" w:rsidRPr="00D6531A" w:rsidRDefault="001528AA" w:rsidP="00701DCF">
            <w:pPr>
              <w:spacing w:after="0"/>
              <w:jc w:val="center"/>
              <w:rPr>
                <w:rFonts w:cs="Arial"/>
                <w:sz w:val="22"/>
              </w:rPr>
            </w:pPr>
            <w:r>
              <w:rPr>
                <w:rFonts w:cs="Arial"/>
                <w:sz w:val="22"/>
              </w:rPr>
              <w:t>8.93</w:t>
            </w:r>
          </w:p>
        </w:tc>
        <w:tc>
          <w:tcPr>
            <w:tcW w:w="1890" w:type="dxa"/>
            <w:vAlign w:val="center"/>
          </w:tcPr>
          <w:p w:rsidR="001528AA" w:rsidRPr="00D6531A" w:rsidRDefault="001528AA" w:rsidP="00701DCF">
            <w:pPr>
              <w:spacing w:after="0"/>
              <w:jc w:val="center"/>
              <w:rPr>
                <w:rFonts w:cs="Arial"/>
                <w:sz w:val="22"/>
              </w:rPr>
            </w:pPr>
            <w:r w:rsidRPr="00D6531A">
              <w:rPr>
                <w:rFonts w:cs="Arial"/>
                <w:sz w:val="22"/>
              </w:rPr>
              <w:t>10</w:t>
            </w:r>
          </w:p>
        </w:tc>
      </w:tr>
      <w:tr w:rsidR="001528AA" w:rsidRPr="00094B43" w:rsidTr="007370C9">
        <w:trPr>
          <w:cantSplit/>
          <w:trHeight w:val="20"/>
          <w:jc w:val="center"/>
        </w:trPr>
        <w:tc>
          <w:tcPr>
            <w:tcW w:w="8892" w:type="dxa"/>
            <w:gridSpan w:val="8"/>
            <w:vAlign w:val="center"/>
          </w:tcPr>
          <w:p w:rsidR="001528AA" w:rsidRPr="00094B43" w:rsidRDefault="001528AA" w:rsidP="00701DCF">
            <w:pPr>
              <w:spacing w:after="0"/>
              <w:jc w:val="left"/>
              <w:rPr>
                <w:rFonts w:cs="Arial"/>
              </w:rPr>
            </w:pPr>
            <w:r w:rsidRPr="00094B43">
              <w:rPr>
                <w:rFonts w:cs="Arial"/>
              </w:rPr>
              <w:t xml:space="preserve">Source: DN </w:t>
            </w:r>
            <w:r>
              <w:rPr>
                <w:rFonts w:cs="Arial"/>
              </w:rPr>
              <w:t>11-071b; DN 11-081</w:t>
            </w:r>
          </w:p>
        </w:tc>
      </w:tr>
    </w:tbl>
    <w:p w:rsidR="001528AA" w:rsidRDefault="001528AA" w:rsidP="00701DCF">
      <w:pPr>
        <w:pStyle w:val="Normal-aftertable"/>
      </w:pPr>
      <w:r>
        <w:t>In general, the fleet ages for the various vehicle classes are reasonable.  The 2014 Fleet Benchmark Report provides comparative data for 47 utility organizations.  In 2014, PPL EU’s overall average fleet age of 6.94 years is above the benchmark report average of 6.37 years.  The sedan population represents about two percent of the overall vehicle population consequently the average age for this category is not as significant.  The heavier duty pickup truck and derrick truck average ages are nearing the replacement age triggers which may indicate that there will be a significant increase in replacements in these categories in the next several years.</w:t>
      </w:r>
    </w:p>
    <w:p w:rsidR="001528AA" w:rsidRDefault="001528AA" w:rsidP="005123A6">
      <w:pPr>
        <w:pStyle w:val="Heading-forToC"/>
      </w:pPr>
      <w:bookmarkStart w:id="249" w:name="_Toc442617454"/>
      <w:bookmarkStart w:id="250" w:name="_Toc464552064"/>
      <w:r>
        <w:t>Recommendation</w:t>
      </w:r>
      <w:bookmarkEnd w:id="249"/>
      <w:bookmarkEnd w:id="250"/>
    </w:p>
    <w:p w:rsidR="001528AA" w:rsidRDefault="001528AA" w:rsidP="00B86FA4">
      <w:pPr>
        <w:pStyle w:val="Findings"/>
        <w:numPr>
          <w:ilvl w:val="0"/>
          <w:numId w:val="40"/>
        </w:numPr>
      </w:pPr>
      <w:r>
        <w:t>Monitor the aging of the vehicle fleet and resulting maintenance and availability implications.  (See Finding 7)</w:t>
      </w:r>
    </w:p>
    <w:p w:rsidR="001528AA" w:rsidRDefault="001528AA" w:rsidP="00701DCF">
      <w:r w:rsidRPr="00FF3C78">
        <w:t>PPL EU’s overall fleet age has been increasing over the past five years.  Balancing</w:t>
      </w:r>
      <w:r>
        <w:t xml:space="preserve"> replacement options, maintenance costs, and availability will become increasingly challenging.  The updated fleet management application should facilitate life cycle cost monitoring and analysis to help maintain an optimal fleet availability and cost balance.</w:t>
      </w:r>
    </w:p>
    <w:p w:rsidR="00D35882" w:rsidRDefault="00D35882" w:rsidP="00701DCF"/>
    <w:p w:rsidR="00F3143C" w:rsidRDefault="00F3143C" w:rsidP="00F3143C">
      <w:pPr>
        <w:spacing w:after="0"/>
        <w:sectPr w:rsidR="00F3143C" w:rsidSect="00C73199">
          <w:footerReference w:type="default" r:id="rId60"/>
          <w:type w:val="continuous"/>
          <w:pgSz w:w="12240" w:h="15840"/>
          <w:pgMar w:top="1440" w:right="1440" w:bottom="1440" w:left="1440" w:header="720" w:footer="576" w:gutter="0"/>
          <w:cols w:space="720"/>
          <w:docGrid w:linePitch="360"/>
        </w:sectPr>
      </w:pPr>
    </w:p>
    <w:p w:rsidR="00F3143C" w:rsidRDefault="00F3143C" w:rsidP="00D35882"/>
    <w:sectPr w:rsidR="00F3143C" w:rsidSect="00D35882">
      <w:footerReference w:type="default" r:id="rId61"/>
      <w:type w:val="continuous"/>
      <w:pgSz w:w="12240" w:h="15840"/>
      <w:pgMar w:top="1440" w:right="1440" w:bottom="1440" w:left="1440" w:header="720" w:footer="576" w:gutter="0"/>
      <w:pgNumType w:start="308"/>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6C81" w:rsidRDefault="001D6C81" w:rsidP="00B84010">
      <w:pPr>
        <w:spacing w:after="0"/>
      </w:pPr>
      <w:r>
        <w:separator/>
      </w:r>
    </w:p>
  </w:endnote>
  <w:endnote w:type="continuationSeparator" w:id="0">
    <w:p w:rsidR="001D6C81" w:rsidRDefault="001D6C81" w:rsidP="00B8401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YSFTE Z+ Delicious">
    <w:altName w:val="Delicious"/>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 w:name="ArialMT-BoldItalic">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TimesNewRomanPSMT">
    <w:altName w:val="Times New Roman"/>
    <w:panose1 w:val="00000000000000000000"/>
    <w:charset w:val="00"/>
    <w:family w:val="roman"/>
    <w:notTrueType/>
    <w:pitch w:val="default"/>
    <w:sig w:usb0="00000083" w:usb1="00000000" w:usb2="00000000" w:usb3="00000000" w:csb0="000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Pr="00F23E86" w:rsidRDefault="00EC6BD1" w:rsidP="008C187C">
    <w:pPr>
      <w:pStyle w:val="Footer"/>
      <w:tabs>
        <w:tab w:val="clear" w:pos="4680"/>
      </w:tabs>
      <w:spacing w:after="120"/>
      <w:jc w:val="center"/>
      <w:rPr>
        <w:rFonts w:ascii="Cambria" w:hAnsi="Cambria"/>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9A3E36">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IV. Affiliate Relationships</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125</w:t>
    </w:r>
    <w:r w:rsidR="00CB2B2A" w:rsidRPr="001E3253">
      <w:rPr>
        <w:rFonts w:eastAsiaTheme="majorEastAsia" w:cs="Arial"/>
        <w:noProof/>
        <w:szCs w:val="24"/>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9B421B">
    <w:pPr>
      <w:pStyle w:val="Footer"/>
      <w:pBdr>
        <w:top w:val="thinThickSmallGap" w:sz="24" w:space="0" w:color="A5CD7E"/>
      </w:pBdr>
      <w:tabs>
        <w:tab w:val="left" w:pos="2190"/>
      </w:tabs>
      <w:rPr>
        <w:rFonts w:eastAsiaTheme="majorEastAsia" w:cs="Arial"/>
        <w:sz w:val="20"/>
      </w:rPr>
    </w:pPr>
    <w:r>
      <w:rPr>
        <w:rFonts w:eastAsiaTheme="majorEastAsia" w:cs="Arial"/>
        <w:sz w:val="20"/>
      </w:rPr>
      <w:t>Chapter V. Finance and Accounting</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165</w:t>
    </w:r>
    <w:r w:rsidR="00CB2B2A" w:rsidRPr="001E3253">
      <w:rPr>
        <w:rFonts w:eastAsiaTheme="majorEastAsia" w:cs="Arial"/>
        <w:noProof/>
        <w:szCs w:val="24"/>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F3143C">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VI. Transmission and Distribution</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198</w:t>
    </w:r>
    <w:r w:rsidR="00CB2B2A" w:rsidRPr="001E3253">
      <w:rPr>
        <w:rFonts w:eastAsiaTheme="majorEastAsia" w:cs="Arial"/>
        <w:noProof/>
        <w:szCs w:val="24"/>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F3143C">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VI. Transmission and Distribution</w:t>
    </w:r>
    <w:r>
      <w:rPr>
        <w:rFonts w:eastAsiaTheme="majorEastAsia" w:cs="Arial"/>
        <w:sz w:val="20"/>
      </w:rPr>
      <w:tab/>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248</w:t>
    </w:r>
    <w:r w:rsidR="00CB2B2A" w:rsidRPr="001E3253">
      <w:rPr>
        <w:rFonts w:eastAsiaTheme="majorEastAsia" w:cs="Arial"/>
        <w:noProof/>
        <w:szCs w:val="24"/>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F3143C">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VI. Transmission and Distribution</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253</w:t>
    </w:r>
    <w:r w:rsidR="00CB2B2A" w:rsidRPr="001E3253">
      <w:rPr>
        <w:rFonts w:eastAsiaTheme="majorEastAsia" w:cs="Arial"/>
        <w:noProof/>
        <w:szCs w:val="24"/>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F3143C">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VII. Emergency Response</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255</w:t>
    </w:r>
    <w:r w:rsidR="00CB2B2A" w:rsidRPr="001E3253">
      <w:rPr>
        <w:rFonts w:eastAsiaTheme="majorEastAsia" w:cs="Arial"/>
        <w:noProof/>
        <w:szCs w:val="24"/>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F3143C">
    <w:pPr>
      <w:pStyle w:val="Footer"/>
      <w:pBdr>
        <w:top w:val="thinThickSmallGap" w:sz="24" w:space="0" w:color="A5CD7E"/>
      </w:pBdr>
      <w:tabs>
        <w:tab w:val="left" w:pos="2190"/>
        <w:tab w:val="right" w:pos="12960"/>
      </w:tabs>
      <w:rPr>
        <w:rFonts w:eastAsiaTheme="majorEastAsia" w:cs="Arial"/>
        <w:sz w:val="20"/>
      </w:rPr>
    </w:pPr>
    <w:r>
      <w:rPr>
        <w:rFonts w:eastAsiaTheme="majorEastAsia" w:cs="Arial"/>
        <w:sz w:val="20"/>
      </w:rPr>
      <w:t>Chapter VIII. Support Services</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300</w:t>
    </w:r>
    <w:r w:rsidR="00CB2B2A" w:rsidRPr="001E3253">
      <w:rPr>
        <w:rFonts w:eastAsiaTheme="majorEastAsia" w:cs="Arial"/>
        <w:noProof/>
        <w:szCs w:val="2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C0673">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C0673">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C0673" w:rsidRDefault="00EC6BD1" w:rsidP="009E3132">
    <w:pPr>
      <w:pStyle w:val="Footer"/>
      <w:pBdr>
        <w:top w:val="thinThickSmallGap" w:sz="24" w:space="0" w:color="A5CD7E"/>
      </w:pBdr>
      <w:tabs>
        <w:tab w:val="clear" w:pos="9360"/>
        <w:tab w:val="left" w:pos="2190"/>
        <w:tab w:val="right" w:pos="10800"/>
        <w:tab w:val="right" w:pos="12960"/>
      </w:tabs>
      <w:rPr>
        <w:rFonts w:eastAsiaTheme="majorEastAsia" w:cs="Arial"/>
        <w:sz w:val="20"/>
      </w:rPr>
    </w:pPr>
    <w:r>
      <w:rPr>
        <w:rFonts w:eastAsiaTheme="majorEastAsia" w:cs="Arial"/>
        <w:sz w:val="20"/>
      </w:rPr>
      <w:t>Appendix D</w:t>
    </w:r>
    <w:r>
      <w:rPr>
        <w:rFonts w:eastAsiaTheme="majorEastAsia" w:cs="Arial"/>
        <w:sz w:val="20"/>
      </w:rPr>
      <w:tab/>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Pr>
        <w:rFonts w:eastAsiaTheme="majorEastAsia" w:cs="Arial"/>
        <w:noProof/>
        <w:szCs w:val="24"/>
      </w:rPr>
      <w:t>308</w:t>
    </w:r>
    <w:r w:rsidR="00CB2B2A" w:rsidRPr="001E3253">
      <w:rPr>
        <w:rFonts w:eastAsiaTheme="majorEastAsia" w:cs="Arial"/>
        <w:noProof/>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187C" w:rsidRDefault="008C187C" w:rsidP="00D44CAA">
    <w:pPr>
      <w:pStyle w:val="Footer"/>
      <w:pBdr>
        <w:top w:val="thinThickSmallGap" w:sz="24" w:space="0" w:color="A5CD7E"/>
      </w:pBdr>
      <w:jc w:val="left"/>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8C187C" w:rsidRDefault="008C187C" w:rsidP="00D44CAA">
    <w:pPr>
      <w:pStyle w:val="Footer"/>
      <w:pBdr>
        <w:top w:val="thinThickSmallGap" w:sz="24" w:space="0" w:color="A5CD7E"/>
      </w:pBdr>
      <w:jc w:val="left"/>
      <w:rPr>
        <w:rFonts w:eastAsiaTheme="majorEastAsia" w:cs="Arial"/>
        <w:sz w:val="20"/>
      </w:rPr>
    </w:pPr>
    <w:r>
      <w:rPr>
        <w:rFonts w:cs="Arial"/>
        <w:color w:val="000000"/>
        <w:sz w:val="20"/>
      </w:rPr>
      <w:t>PPL Electric Utilities Corporation for the Pennsylvania Public Utility Commission</w:t>
    </w:r>
    <w:r>
      <w:rPr>
        <w:rFonts w:cs="Arial"/>
        <w:color w:val="000000"/>
        <w:sz w:val="20"/>
      </w:rPr>
      <w:tab/>
    </w:r>
    <w:r w:rsidR="00CB2B2A" w:rsidRPr="001E3253">
      <w:rPr>
        <w:rFonts w:eastAsiaTheme="majorEastAsia" w:cs="Arial"/>
        <w:sz w:val="20"/>
      </w:rPr>
      <w:fldChar w:fldCharType="begin"/>
    </w:r>
    <w:r w:rsidRPr="001E3253">
      <w:rPr>
        <w:rFonts w:eastAsiaTheme="majorEastAsia" w:cs="Arial"/>
        <w:sz w:val="20"/>
      </w:rPr>
      <w:instrText xml:space="preserve"> PAGE   \* MERGEFORMAT </w:instrText>
    </w:r>
    <w:r w:rsidR="00CB2B2A" w:rsidRPr="001E3253">
      <w:rPr>
        <w:rFonts w:eastAsiaTheme="majorEastAsia" w:cs="Arial"/>
        <w:sz w:val="20"/>
      </w:rPr>
      <w:fldChar w:fldCharType="separate"/>
    </w:r>
    <w:r w:rsidR="00F62267">
      <w:rPr>
        <w:rFonts w:eastAsiaTheme="majorEastAsia" w:cs="Arial"/>
        <w:noProof/>
        <w:sz w:val="20"/>
      </w:rPr>
      <w:t>i</w:t>
    </w:r>
    <w:r w:rsidR="00CB2B2A" w:rsidRPr="001E3253">
      <w:rPr>
        <w:rFonts w:eastAsiaTheme="majorEastAsia" w:cs="Arial"/>
        <w:noProof/>
        <w:sz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1E3253">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1E3253">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C023CE" w:rsidRDefault="00EC6BD1" w:rsidP="00C023CE">
    <w:pPr>
      <w:pStyle w:val="Footer"/>
      <w:pBdr>
        <w:top w:val="thinThickSmallGap" w:sz="24" w:space="0" w:color="A5CD7E"/>
      </w:pBdr>
      <w:tabs>
        <w:tab w:val="left" w:pos="2190"/>
      </w:tabs>
      <w:rPr>
        <w:rFonts w:eastAsiaTheme="majorEastAsia" w:cs="Arial"/>
        <w:sz w:val="20"/>
      </w:rPr>
    </w:pPr>
    <w:r>
      <w:rPr>
        <w:rFonts w:eastAsiaTheme="majorEastAsia" w:cs="Arial"/>
        <w:sz w:val="20"/>
      </w:rPr>
      <w:t>Chapter I. Introduction</w:t>
    </w:r>
    <w:r>
      <w:rPr>
        <w:rFonts w:eastAsiaTheme="majorEastAsia" w:cs="Arial"/>
        <w:sz w:val="20"/>
      </w:rPr>
      <w:tab/>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w:t>
    </w:r>
    <w:r w:rsidR="00CB2B2A" w:rsidRPr="001E3253">
      <w:rPr>
        <w:rFonts w:eastAsiaTheme="majorEastAsia" w:cs="Arial"/>
        <w:noProof/>
        <w:szCs w:val="24"/>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1E3253">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1E3253">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C023CE" w:rsidRDefault="00EC6BD1" w:rsidP="00C023CE">
    <w:pPr>
      <w:pStyle w:val="Footer"/>
      <w:pBdr>
        <w:top w:val="thinThickSmallGap" w:sz="24" w:space="0" w:color="A5CD7E"/>
      </w:pBdr>
      <w:tabs>
        <w:tab w:val="left" w:pos="2190"/>
      </w:tabs>
      <w:rPr>
        <w:rFonts w:eastAsiaTheme="majorEastAsia" w:cs="Arial"/>
        <w:sz w:val="20"/>
      </w:rPr>
    </w:pPr>
    <w:r>
      <w:rPr>
        <w:rFonts w:eastAsiaTheme="majorEastAsia" w:cs="Arial"/>
        <w:sz w:val="20"/>
      </w:rPr>
      <w:t>Chapter II. Executive Management</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62</w:t>
    </w:r>
    <w:r w:rsidR="00CB2B2A" w:rsidRPr="001E3253">
      <w:rPr>
        <w:rFonts w:eastAsiaTheme="majorEastAsia" w:cs="Arial"/>
        <w:noProof/>
        <w:szCs w:val="24"/>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1E3253">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1E3253">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C023CE" w:rsidRDefault="00EC6BD1" w:rsidP="00C023CE">
    <w:pPr>
      <w:pStyle w:val="Footer"/>
      <w:pBdr>
        <w:top w:val="thinThickSmallGap" w:sz="24" w:space="0" w:color="A5CD7E"/>
      </w:pBdr>
      <w:tabs>
        <w:tab w:val="left" w:pos="2190"/>
      </w:tabs>
      <w:rPr>
        <w:rFonts w:eastAsiaTheme="majorEastAsia" w:cs="Arial"/>
        <w:sz w:val="20"/>
      </w:rPr>
    </w:pPr>
    <w:r>
      <w:rPr>
        <w:rFonts w:eastAsiaTheme="majorEastAsia" w:cs="Arial"/>
        <w:sz w:val="20"/>
      </w:rPr>
      <w:t>Chapter III. Governance</w:t>
    </w:r>
    <w:r>
      <w:rPr>
        <w:rFonts w:eastAsiaTheme="majorEastAsia" w:cs="Arial"/>
        <w:sz w:val="20"/>
      </w:rPr>
      <w:tab/>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81</w:t>
    </w:r>
    <w:r w:rsidR="00CB2B2A" w:rsidRPr="001E3253">
      <w:rPr>
        <w:rFonts w:eastAsiaTheme="majorEastAsia" w:cs="Arial"/>
        <w:noProof/>
        <w:szCs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91912" w:rsidRDefault="00EC6BD1" w:rsidP="00991912">
    <w:pPr>
      <w:pStyle w:val="Footer"/>
      <w:pBdr>
        <w:top w:val="thinThickSmallGap" w:sz="24" w:space="0" w:color="A5CD7E"/>
      </w:pBdr>
      <w:tabs>
        <w:tab w:val="clear" w:pos="9360"/>
        <w:tab w:val="left" w:pos="2190"/>
        <w:tab w:val="right" w:pos="12960"/>
      </w:tabs>
      <w:rPr>
        <w:rFonts w:eastAsiaTheme="majorEastAsia" w:cs="Arial"/>
        <w:sz w:val="20"/>
      </w:rPr>
    </w:pPr>
    <w:r>
      <w:rPr>
        <w:rFonts w:eastAsiaTheme="majorEastAsia" w:cs="Arial"/>
        <w:sz w:val="20"/>
      </w:rPr>
      <w:t>Chapter III. Governance</w:t>
    </w:r>
    <w:r>
      <w:rPr>
        <w:rFonts w:eastAsiaTheme="majorEastAsia" w:cs="Arial"/>
        <w:sz w:val="20"/>
      </w:rPr>
      <w:tab/>
    </w:r>
    <w:r>
      <w:rPr>
        <w:rFonts w:eastAsiaTheme="majorEastAsia" w:cs="Arial"/>
        <w:sz w:val="20"/>
      </w:rPr>
      <w:tab/>
    </w:r>
    <w:r>
      <w:rPr>
        <w:rFonts w:eastAsiaTheme="majorEastAsia" w:cs="Arial"/>
        <w:sz w:val="20"/>
      </w:rPr>
      <w:tab/>
    </w:r>
    <w:r w:rsidR="00CB2B2A" w:rsidRPr="00991912">
      <w:rPr>
        <w:rFonts w:eastAsiaTheme="majorEastAsia" w:cs="Arial"/>
        <w:szCs w:val="24"/>
      </w:rPr>
      <w:fldChar w:fldCharType="begin"/>
    </w:r>
    <w:r w:rsidRPr="00991912">
      <w:rPr>
        <w:rFonts w:eastAsiaTheme="majorEastAsia" w:cs="Arial"/>
        <w:szCs w:val="24"/>
      </w:rPr>
      <w:instrText xml:space="preserve"> PAGE   \* MERGEFORMAT </w:instrText>
    </w:r>
    <w:r w:rsidR="00CB2B2A" w:rsidRPr="00991912">
      <w:rPr>
        <w:rFonts w:eastAsiaTheme="majorEastAsia" w:cs="Arial"/>
        <w:szCs w:val="24"/>
      </w:rPr>
      <w:fldChar w:fldCharType="separate"/>
    </w:r>
    <w:r w:rsidR="00F62267">
      <w:rPr>
        <w:rFonts w:eastAsiaTheme="majorEastAsia" w:cs="Arial"/>
        <w:noProof/>
        <w:szCs w:val="24"/>
      </w:rPr>
      <w:t>100</w:t>
    </w:r>
    <w:r w:rsidR="00CB2B2A" w:rsidRPr="00991912">
      <w:rPr>
        <w:rFonts w:eastAsiaTheme="majorEastAsia" w:cs="Arial"/>
        <w:noProof/>
        <w:szCs w:val="24"/>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9B421B">
    <w:pPr>
      <w:pStyle w:val="Footer"/>
      <w:pBdr>
        <w:top w:val="thinThickSmallGap" w:sz="24" w:space="0" w:color="A5CD7E"/>
      </w:pBdr>
      <w:tabs>
        <w:tab w:val="left" w:pos="2190"/>
      </w:tabs>
      <w:rPr>
        <w:rFonts w:eastAsiaTheme="majorEastAsia" w:cs="Arial"/>
        <w:sz w:val="20"/>
      </w:rPr>
    </w:pPr>
    <w:r>
      <w:rPr>
        <w:rFonts w:eastAsiaTheme="majorEastAsia" w:cs="Arial"/>
        <w:sz w:val="20"/>
      </w:rPr>
      <w:t>Chapter III. Governance</w:t>
    </w:r>
    <w:r>
      <w:rPr>
        <w:rFonts w:eastAsiaTheme="majorEastAsia" w:cs="Arial"/>
        <w:sz w:val="20"/>
      </w:rPr>
      <w:tab/>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103</w:t>
    </w:r>
    <w:r w:rsidR="00CB2B2A" w:rsidRPr="001E3253">
      <w:rPr>
        <w:rFonts w:eastAsiaTheme="majorEastAsia" w:cs="Arial"/>
        <w:noProof/>
        <w:szCs w:val="24"/>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9B421B">
    <w:pPr>
      <w:pStyle w:val="Footer"/>
      <w:pBdr>
        <w:top w:val="thinThickSmallGap" w:sz="24" w:space="0" w:color="A5CD7E"/>
      </w:pBdr>
      <w:tabs>
        <w:tab w:val="left" w:pos="2190"/>
      </w:tabs>
      <w:rPr>
        <w:rFonts w:eastAsiaTheme="majorEastAsia" w:cs="Arial"/>
        <w:sz w:val="20"/>
      </w:rPr>
    </w:pPr>
    <w:r>
      <w:rPr>
        <w:rFonts w:eastAsiaTheme="majorEastAsia" w:cs="Arial"/>
        <w:sz w:val="20"/>
      </w:rPr>
      <w:t>Chapter IV. Affiliate Relationships</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107</w:t>
    </w:r>
    <w:r w:rsidR="00CB2B2A" w:rsidRPr="001E3253">
      <w:rPr>
        <w:rFonts w:eastAsiaTheme="majorEastAsia" w:cs="Arial"/>
        <w:noProof/>
        <w:szCs w:val="24"/>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Default="00EC6BD1" w:rsidP="00991912">
    <w:pPr>
      <w:pStyle w:val="Footer"/>
      <w:pBdr>
        <w:top w:val="thinThickSmallGap" w:sz="24" w:space="0" w:color="A5CD7E"/>
      </w:pBdr>
      <w:rPr>
        <w:rFonts w:cs="Arial"/>
        <w:color w:val="000000"/>
        <w:sz w:val="20"/>
      </w:rPr>
    </w:pPr>
    <w:r>
      <w:rPr>
        <w:rFonts w:eastAsiaTheme="majorEastAsia" w:cs="Arial"/>
        <w:sz w:val="20"/>
      </w:rPr>
      <w:t xml:space="preserve">Vondle &amp; Associates, Inc. </w:t>
    </w:r>
    <w:r>
      <w:rPr>
        <w:rFonts w:cs="Arial"/>
        <w:color w:val="000000"/>
        <w:sz w:val="20"/>
      </w:rPr>
      <w:t xml:space="preserve">Stratified Management and Operations Audit of </w:t>
    </w:r>
  </w:p>
  <w:p w:rsidR="00EC6BD1" w:rsidRDefault="00EC6BD1" w:rsidP="00991912">
    <w:pPr>
      <w:pStyle w:val="Footer"/>
      <w:pBdr>
        <w:top w:val="thinThickSmallGap" w:sz="24" w:space="0" w:color="A5CD7E"/>
      </w:pBdr>
      <w:rPr>
        <w:rFonts w:eastAsiaTheme="majorEastAsia" w:cs="Arial"/>
        <w:sz w:val="20"/>
      </w:rPr>
    </w:pPr>
    <w:r>
      <w:rPr>
        <w:rFonts w:cs="Arial"/>
        <w:color w:val="000000"/>
        <w:sz w:val="20"/>
      </w:rPr>
      <w:t>PPL Electric Utilities Corporation for the Pennsylvania Public Utility Commission</w:t>
    </w:r>
  </w:p>
  <w:p w:rsidR="00EC6BD1" w:rsidRPr="009B421B" w:rsidRDefault="00EC6BD1" w:rsidP="009A3E36">
    <w:pPr>
      <w:pStyle w:val="Footer"/>
      <w:pBdr>
        <w:top w:val="thinThickSmallGap" w:sz="24" w:space="0" w:color="A5CD7E"/>
      </w:pBdr>
      <w:tabs>
        <w:tab w:val="clear" w:pos="9360"/>
        <w:tab w:val="left" w:pos="2190"/>
        <w:tab w:val="right" w:pos="12960"/>
      </w:tabs>
      <w:rPr>
        <w:rFonts w:eastAsiaTheme="majorEastAsia" w:cs="Arial"/>
        <w:sz w:val="20"/>
      </w:rPr>
    </w:pPr>
    <w:r>
      <w:rPr>
        <w:rFonts w:eastAsiaTheme="majorEastAsia" w:cs="Arial"/>
        <w:sz w:val="20"/>
      </w:rPr>
      <w:t>Chapter IV. Affiliate Relationships</w:t>
    </w:r>
    <w:r>
      <w:rPr>
        <w:rFonts w:eastAsiaTheme="majorEastAsia" w:cs="Arial"/>
        <w:sz w:val="20"/>
      </w:rPr>
      <w:tab/>
    </w:r>
    <w:r>
      <w:rPr>
        <w:rFonts w:eastAsiaTheme="majorEastAsia" w:cs="Arial"/>
        <w:sz w:val="20"/>
      </w:rPr>
      <w:tab/>
    </w:r>
    <w:r w:rsidR="00CB2B2A" w:rsidRPr="001E3253">
      <w:rPr>
        <w:rFonts w:eastAsiaTheme="majorEastAsia" w:cs="Arial"/>
        <w:szCs w:val="24"/>
      </w:rPr>
      <w:fldChar w:fldCharType="begin"/>
    </w:r>
    <w:r w:rsidRPr="001E3253">
      <w:rPr>
        <w:rFonts w:eastAsiaTheme="majorEastAsia" w:cs="Arial"/>
        <w:szCs w:val="24"/>
      </w:rPr>
      <w:instrText xml:space="preserve"> PAGE   \* MERGEFORMAT </w:instrText>
    </w:r>
    <w:r w:rsidR="00CB2B2A" w:rsidRPr="001E3253">
      <w:rPr>
        <w:rFonts w:eastAsiaTheme="majorEastAsia" w:cs="Arial"/>
        <w:szCs w:val="24"/>
      </w:rPr>
      <w:fldChar w:fldCharType="separate"/>
    </w:r>
    <w:r w:rsidR="00F62267">
      <w:rPr>
        <w:rFonts w:eastAsiaTheme="majorEastAsia" w:cs="Arial"/>
        <w:noProof/>
        <w:szCs w:val="24"/>
      </w:rPr>
      <w:t>124</w:t>
    </w:r>
    <w:r w:rsidR="00CB2B2A" w:rsidRPr="001E3253">
      <w:rPr>
        <w:rFonts w:eastAsiaTheme="majorEastAsia" w:cs="Arial"/>
        <w:noProof/>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6C81" w:rsidRDefault="001D6C81" w:rsidP="00B84010">
      <w:pPr>
        <w:spacing w:after="0"/>
      </w:pPr>
      <w:r>
        <w:separator/>
      </w:r>
    </w:p>
  </w:footnote>
  <w:footnote w:type="continuationSeparator" w:id="0">
    <w:p w:rsidR="001D6C81" w:rsidRDefault="001D6C81" w:rsidP="00B84010">
      <w:pPr>
        <w:spacing w:after="0"/>
      </w:pPr>
      <w:r>
        <w:continuationSeparator/>
      </w:r>
    </w:p>
  </w:footnote>
  <w:footnote w:id="1">
    <w:p w:rsidR="00EC6BD1" w:rsidRDefault="00EC6BD1" w:rsidP="008236C1">
      <w:pPr>
        <w:pStyle w:val="FootnoteText"/>
      </w:pPr>
      <w:r>
        <w:rPr>
          <w:rStyle w:val="FootnoteReference"/>
        </w:rPr>
        <w:footnoteRef/>
      </w:r>
      <w:r>
        <w:t xml:space="preserve"> DN 12-101</w:t>
      </w:r>
    </w:p>
  </w:footnote>
  <w:footnote w:id="2">
    <w:p w:rsidR="00EC6BD1" w:rsidRDefault="00EC6BD1" w:rsidP="008236C1">
      <w:pPr>
        <w:pStyle w:val="FootnoteText"/>
      </w:pPr>
      <w:r>
        <w:rPr>
          <w:rStyle w:val="FootnoteReference"/>
        </w:rPr>
        <w:footnoteRef/>
      </w:r>
      <w:r>
        <w:t xml:space="preserve"> www.pplweb.com</w:t>
      </w:r>
    </w:p>
  </w:footnote>
  <w:footnote w:id="3">
    <w:p w:rsidR="00EC6BD1" w:rsidRDefault="00EC6BD1" w:rsidP="008236C1">
      <w:pPr>
        <w:pStyle w:val="FootnoteText"/>
      </w:pPr>
      <w:r>
        <w:rPr>
          <w:rStyle w:val="FootnoteReference"/>
        </w:rPr>
        <w:footnoteRef/>
      </w:r>
      <w:r>
        <w:t xml:space="preserve"> DN 15-110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Pr="00920B20" w:rsidRDefault="00EC6BD1" w:rsidP="00920B2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BD1" w:rsidRPr="00920B20" w:rsidRDefault="00EC6BD1" w:rsidP="00920B2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A2B0F"/>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
    <w:nsid w:val="028263BA"/>
    <w:multiLevelType w:val="hybridMultilevel"/>
    <w:tmpl w:val="355A380C"/>
    <w:lvl w:ilvl="0" w:tplc="16A050F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AB5E51"/>
    <w:multiLevelType w:val="hybridMultilevel"/>
    <w:tmpl w:val="3ABCB1DC"/>
    <w:lvl w:ilvl="0" w:tplc="04090013">
      <w:start w:val="1"/>
      <w:numFmt w:val="upp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7C82E3A"/>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nsid w:val="0B782171"/>
    <w:multiLevelType w:val="hybridMultilevel"/>
    <w:tmpl w:val="9110AC9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
    <w:nsid w:val="0BEC1AF4"/>
    <w:multiLevelType w:val="hybridMultilevel"/>
    <w:tmpl w:val="9110AC9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
    <w:nsid w:val="0D9676FD"/>
    <w:multiLevelType w:val="hybridMultilevel"/>
    <w:tmpl w:val="12104804"/>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
    <w:nsid w:val="0E8241BE"/>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6426F1"/>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
    <w:nsid w:val="150F08B9"/>
    <w:multiLevelType w:val="hybridMultilevel"/>
    <w:tmpl w:val="7E16A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66B3CBB"/>
    <w:multiLevelType w:val="hybridMultilevel"/>
    <w:tmpl w:val="4D4CAA96"/>
    <w:lvl w:ilvl="0" w:tplc="09C414AC">
      <w:start w:val="1"/>
      <w:numFmt w:val="bullet"/>
      <w:pStyle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5E7F77"/>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2">
    <w:nsid w:val="1A5567A2"/>
    <w:multiLevelType w:val="hybridMultilevel"/>
    <w:tmpl w:val="DD2EC3FE"/>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3">
    <w:nsid w:val="1A973ECF"/>
    <w:multiLevelType w:val="hybridMultilevel"/>
    <w:tmpl w:val="355A380C"/>
    <w:lvl w:ilvl="0" w:tplc="16A050F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B25210C"/>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5">
    <w:nsid w:val="1C7E3F97"/>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6">
    <w:nsid w:val="1CF10B6B"/>
    <w:multiLevelType w:val="hybridMultilevel"/>
    <w:tmpl w:val="82BE1B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D5911DF"/>
    <w:multiLevelType w:val="hybridMultilevel"/>
    <w:tmpl w:val="786C4942"/>
    <w:lvl w:ilvl="0" w:tplc="F87A1D00">
      <w:start w:val="1"/>
      <w:numFmt w:val="bullet"/>
      <w:pStyle w:val="Bullets"/>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7F3119"/>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
    <w:nsid w:val="1EAB4875"/>
    <w:multiLevelType w:val="hybridMultilevel"/>
    <w:tmpl w:val="1B7835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DC710E"/>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0C132C7"/>
    <w:multiLevelType w:val="hybridMultilevel"/>
    <w:tmpl w:val="613A6E58"/>
    <w:lvl w:ilvl="0" w:tplc="F266C38A">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F935FF"/>
    <w:multiLevelType w:val="hybridMultilevel"/>
    <w:tmpl w:val="E25EE33C"/>
    <w:lvl w:ilvl="0" w:tplc="F644501E">
      <w:start w:val="1"/>
      <w:numFmt w:val="upperRoman"/>
      <w:pStyle w:val="Heading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125463A"/>
    <w:multiLevelType w:val="hybridMultilevel"/>
    <w:tmpl w:val="8690DBB2"/>
    <w:lvl w:ilvl="0" w:tplc="9084AA02">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nsid w:val="23331A06"/>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nsid w:val="23EC59EE"/>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6">
    <w:nsid w:val="23F405A8"/>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7">
    <w:nsid w:val="26540E51"/>
    <w:multiLevelType w:val="hybridMultilevel"/>
    <w:tmpl w:val="9110AC9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8">
    <w:nsid w:val="26787672"/>
    <w:multiLevelType w:val="hybridMultilevel"/>
    <w:tmpl w:val="80E094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A286B39"/>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A3455FA"/>
    <w:multiLevelType w:val="hybridMultilevel"/>
    <w:tmpl w:val="82AC67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B047477"/>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2">
    <w:nsid w:val="2B7440C8"/>
    <w:multiLevelType w:val="hybridMultilevel"/>
    <w:tmpl w:val="52D64D80"/>
    <w:lvl w:ilvl="0" w:tplc="D2188398">
      <w:start w:val="1"/>
      <w:numFmt w:val="decimal"/>
      <w:pStyle w:val="Numbering6ptafter"/>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3">
    <w:nsid w:val="2E5351F3"/>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5D45363"/>
    <w:multiLevelType w:val="hybridMultilevel"/>
    <w:tmpl w:val="2E12C7A6"/>
    <w:lvl w:ilvl="0" w:tplc="5A70CCB8">
      <w:start w:val="1"/>
      <w:numFmt w:val="decimal"/>
      <w:pStyle w:val="Findings"/>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5">
    <w:nsid w:val="385D0CC7"/>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6">
    <w:nsid w:val="399075B6"/>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7">
    <w:nsid w:val="3C25075B"/>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8">
    <w:nsid w:val="3D3E21A7"/>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9">
    <w:nsid w:val="3D506DAC"/>
    <w:multiLevelType w:val="hybridMultilevel"/>
    <w:tmpl w:val="DD2EC3FE"/>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0">
    <w:nsid w:val="3E1B42FB"/>
    <w:multiLevelType w:val="hybridMultilevel"/>
    <w:tmpl w:val="5794650A"/>
    <w:lvl w:ilvl="0" w:tplc="C7A230C4">
      <w:start w:val="1"/>
      <w:numFmt w:val="bullet"/>
      <w:pStyle w:val="Bullet-indent1"/>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196650C"/>
    <w:multiLevelType w:val="hybridMultilevel"/>
    <w:tmpl w:val="8690DBB2"/>
    <w:lvl w:ilvl="0" w:tplc="9084AA02">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2">
    <w:nsid w:val="48436C4D"/>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3">
    <w:nsid w:val="48924F3C"/>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9E63BA5"/>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5">
    <w:nsid w:val="4AA032A1"/>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6">
    <w:nsid w:val="4FDE4430"/>
    <w:multiLevelType w:val="multilevel"/>
    <w:tmpl w:val="1E680454"/>
    <w:styleLink w:val="Decision"/>
    <w:lvl w:ilvl="0">
      <w:start w:val="1"/>
      <w:numFmt w:val="upperRoman"/>
      <w:lvlText w:val="%1."/>
      <w:lvlJc w:val="left"/>
      <w:pPr>
        <w:tabs>
          <w:tab w:val="num" w:pos="360"/>
        </w:tabs>
        <w:ind w:left="0" w:firstLine="0"/>
      </w:pPr>
      <w:rPr>
        <w:rFonts w:hint="default"/>
        <w:sz w:val="24"/>
      </w:rPr>
    </w:lvl>
    <w:lvl w:ilvl="1">
      <w:start w:val="1"/>
      <w:numFmt w:val="upperLetter"/>
      <w:pStyle w:val="Heading20"/>
      <w:lvlText w:val="%2."/>
      <w:lvlJc w:val="left"/>
      <w:pPr>
        <w:tabs>
          <w:tab w:val="num" w:pos="1080"/>
        </w:tabs>
        <w:ind w:left="720" w:hanging="720"/>
      </w:pPr>
      <w:rPr>
        <w:rFonts w:hint="default"/>
      </w:rPr>
    </w:lvl>
    <w:lvl w:ilvl="2">
      <w:start w:val="1"/>
      <w:numFmt w:val="decimal"/>
      <w:pStyle w:val="Heading3"/>
      <w:lvlText w:val="%3."/>
      <w:lvlJc w:val="left"/>
      <w:pPr>
        <w:tabs>
          <w:tab w:val="num" w:pos="1800"/>
        </w:tabs>
        <w:ind w:left="1440" w:firstLine="0"/>
      </w:pPr>
      <w:rPr>
        <w:rFonts w:hint="default"/>
      </w:rPr>
    </w:lvl>
    <w:lvl w:ilvl="3">
      <w:start w:val="1"/>
      <w:numFmt w:val="lowerLetter"/>
      <w:pStyle w:val="Heading4"/>
      <w:lvlText w:val="%4."/>
      <w:lvlJc w:val="left"/>
      <w:pPr>
        <w:tabs>
          <w:tab w:val="num" w:pos="2520"/>
        </w:tabs>
        <w:ind w:left="2160" w:firstLine="0"/>
      </w:pPr>
      <w:rPr>
        <w:rFonts w:hint="default"/>
      </w:rPr>
    </w:lvl>
    <w:lvl w:ilvl="4">
      <w:start w:val="1"/>
      <w:numFmt w:val="lowerRoman"/>
      <w:pStyle w:val="Heading5"/>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7">
    <w:nsid w:val="50FF091A"/>
    <w:multiLevelType w:val="hybridMultilevel"/>
    <w:tmpl w:val="D4B0F32C"/>
    <w:lvl w:ilvl="0" w:tplc="372AB972">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8">
    <w:nsid w:val="5348283D"/>
    <w:multiLevelType w:val="hybridMultilevel"/>
    <w:tmpl w:val="6A968CFE"/>
    <w:lvl w:ilvl="0" w:tplc="16A050F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34D74F0"/>
    <w:multiLevelType w:val="hybridMultilevel"/>
    <w:tmpl w:val="4D342350"/>
    <w:lvl w:ilvl="0" w:tplc="B66C0588">
      <w:start w:val="1"/>
      <w:numFmt w:val="decimal"/>
      <w:pStyle w:val="Numbering"/>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56EA2969"/>
    <w:multiLevelType w:val="hybridMultilevel"/>
    <w:tmpl w:val="15A2618C"/>
    <w:lvl w:ilvl="0" w:tplc="178461B6">
      <w:start w:val="1"/>
      <w:numFmt w:val="upperLetter"/>
      <w:pStyle w:val="Heading6"/>
      <w:lvlText w:val="Appendix %1."/>
      <w:lvlJc w:val="left"/>
      <w:pPr>
        <w:ind w:left="37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75C2356"/>
    <w:multiLevelType w:val="hybridMultilevel"/>
    <w:tmpl w:val="BFC680BE"/>
    <w:lvl w:ilvl="0" w:tplc="579C951C">
      <w:start w:val="1"/>
      <w:numFmt w:val="bullet"/>
      <w:pStyle w:val="Bullet-indent2"/>
      <w:lvlText w:val="-"/>
      <w:lvlJc w:val="left"/>
      <w:pPr>
        <w:ind w:left="1440" w:hanging="360"/>
      </w:pPr>
      <w:rPr>
        <w:rFonts w:ascii="Arial" w:eastAsia="Times New Roman" w:hAnsi="Aria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57A81591"/>
    <w:multiLevelType w:val="hybridMultilevel"/>
    <w:tmpl w:val="28A4796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8CE142A"/>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4">
    <w:nsid w:val="59A268EC"/>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ACA3152"/>
    <w:multiLevelType w:val="hybridMultilevel"/>
    <w:tmpl w:val="89A4D6B4"/>
    <w:lvl w:ilvl="0" w:tplc="3416797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B2F6342"/>
    <w:multiLevelType w:val="hybridMultilevel"/>
    <w:tmpl w:val="9110AC9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7">
    <w:nsid w:val="5C16054E"/>
    <w:multiLevelType w:val="hybridMultilevel"/>
    <w:tmpl w:val="1B7835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F477128"/>
    <w:multiLevelType w:val="hybridMultilevel"/>
    <w:tmpl w:val="A69C25A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06B2B2B"/>
    <w:multiLevelType w:val="hybridMultilevel"/>
    <w:tmpl w:val="5928C8C8"/>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0">
    <w:nsid w:val="624126DE"/>
    <w:multiLevelType w:val="hybridMultilevel"/>
    <w:tmpl w:val="8EB0675A"/>
    <w:lvl w:ilvl="0" w:tplc="CE62065C">
      <w:start w:val="1"/>
      <w:numFmt w:val="decimal"/>
      <w:pStyle w:val="NumberList"/>
      <w:lvlText w:val="%1."/>
      <w:lvlJc w:val="left"/>
      <w:pPr>
        <w:tabs>
          <w:tab w:val="num" w:pos="1080"/>
        </w:tabs>
        <w:ind w:left="1080" w:hanging="360"/>
      </w:pPr>
      <w:rPr>
        <w:rFonts w:hint="default"/>
        <w:b/>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64803D49"/>
    <w:multiLevelType w:val="hybridMultilevel"/>
    <w:tmpl w:val="944CA03C"/>
    <w:lvl w:ilvl="0" w:tplc="B134CA9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58E338B"/>
    <w:multiLevelType w:val="hybridMultilevel"/>
    <w:tmpl w:val="08D41A5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3">
    <w:nsid w:val="66B45996"/>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4">
    <w:nsid w:val="67EB61ED"/>
    <w:multiLevelType w:val="hybridMultilevel"/>
    <w:tmpl w:val="9110AC9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5">
    <w:nsid w:val="68067EFD"/>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8F72AA6"/>
    <w:multiLevelType w:val="hybridMultilevel"/>
    <w:tmpl w:val="AC56F95C"/>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69954316"/>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A14403D"/>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C681DF6"/>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0">
    <w:nsid w:val="6CCF1E58"/>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03622F5"/>
    <w:multiLevelType w:val="hybridMultilevel"/>
    <w:tmpl w:val="D152C462"/>
    <w:lvl w:ilvl="0" w:tplc="04090013">
      <w:start w:val="1"/>
      <w:numFmt w:val="upperRoman"/>
      <w:lvlText w:val="%1."/>
      <w:lvlJc w:val="right"/>
      <w:pPr>
        <w:ind w:left="1080" w:hanging="360"/>
      </w:pPr>
    </w:lvl>
    <w:lvl w:ilvl="1" w:tplc="04090015">
      <w:start w:val="1"/>
      <w:numFmt w:val="upperLetter"/>
      <w:lvlText w:val="%2."/>
      <w:lvlJc w:val="left"/>
      <w:pPr>
        <w:ind w:left="1800" w:hanging="360"/>
      </w:pPr>
    </w:lvl>
    <w:lvl w:ilvl="2" w:tplc="A118B6E0">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70CC1095"/>
    <w:multiLevelType w:val="hybridMultilevel"/>
    <w:tmpl w:val="CA9C3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5062942"/>
    <w:multiLevelType w:val="hybridMultilevel"/>
    <w:tmpl w:val="E616743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4">
    <w:nsid w:val="757F5561"/>
    <w:multiLevelType w:val="hybridMultilevel"/>
    <w:tmpl w:val="1B7835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88976BC"/>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6">
    <w:nsid w:val="7C6E487E"/>
    <w:multiLevelType w:val="hybridMultilevel"/>
    <w:tmpl w:val="410CCCBE"/>
    <w:lvl w:ilvl="0" w:tplc="9732C81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D767D9B"/>
    <w:multiLevelType w:val="hybridMultilevel"/>
    <w:tmpl w:val="0106A86C"/>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8">
    <w:nsid w:val="7F204A14"/>
    <w:multiLevelType w:val="hybridMultilevel"/>
    <w:tmpl w:val="BB5C4FD2"/>
    <w:lvl w:ilvl="0" w:tplc="D2188398">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9">
    <w:nsid w:val="7F91336A"/>
    <w:multiLevelType w:val="hybridMultilevel"/>
    <w:tmpl w:val="355A380C"/>
    <w:lvl w:ilvl="0" w:tplc="16A050F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40"/>
  </w:num>
  <w:num w:numId="3">
    <w:abstractNumId w:val="51"/>
  </w:num>
  <w:num w:numId="4">
    <w:abstractNumId w:val="21"/>
  </w:num>
  <w:num w:numId="5">
    <w:abstractNumId w:val="21"/>
    <w:lvlOverride w:ilvl="0">
      <w:startOverride w:val="1"/>
    </w:lvlOverride>
  </w:num>
  <w:num w:numId="6">
    <w:abstractNumId w:val="49"/>
  </w:num>
  <w:num w:numId="7">
    <w:abstractNumId w:val="46"/>
  </w:num>
  <w:num w:numId="8">
    <w:abstractNumId w:val="21"/>
    <w:lvlOverride w:ilvl="0">
      <w:startOverride w:val="1"/>
    </w:lvlOverride>
  </w:num>
  <w:num w:numId="9">
    <w:abstractNumId w:val="19"/>
  </w:num>
  <w:num w:numId="10">
    <w:abstractNumId w:val="17"/>
  </w:num>
  <w:num w:numId="11">
    <w:abstractNumId w:val="78"/>
    <w:lvlOverride w:ilvl="0">
      <w:startOverride w:val="1"/>
    </w:lvlOverride>
  </w:num>
  <w:num w:numId="12">
    <w:abstractNumId w:val="60"/>
  </w:num>
  <w:num w:numId="13">
    <w:abstractNumId w:val="52"/>
  </w:num>
  <w:num w:numId="14">
    <w:abstractNumId w:val="16"/>
  </w:num>
  <w:num w:numId="15">
    <w:abstractNumId w:val="21"/>
    <w:lvlOverride w:ilvl="0">
      <w:startOverride w:val="1"/>
    </w:lvlOverride>
  </w:num>
  <w:num w:numId="16">
    <w:abstractNumId w:val="21"/>
    <w:lvlOverride w:ilvl="0">
      <w:startOverride w:val="1"/>
    </w:lvlOverride>
  </w:num>
  <w:num w:numId="17">
    <w:abstractNumId w:val="28"/>
  </w:num>
  <w:num w:numId="18">
    <w:abstractNumId w:val="21"/>
    <w:lvlOverride w:ilvl="0">
      <w:startOverride w:val="1"/>
    </w:lvlOverride>
  </w:num>
  <w:num w:numId="19">
    <w:abstractNumId w:val="63"/>
  </w:num>
  <w:num w:numId="20">
    <w:abstractNumId w:val="8"/>
  </w:num>
  <w:num w:numId="21">
    <w:abstractNumId w:val="23"/>
  </w:num>
  <w:num w:numId="22">
    <w:abstractNumId w:val="41"/>
  </w:num>
  <w:num w:numId="23">
    <w:abstractNumId w:val="30"/>
  </w:num>
  <w:num w:numId="24">
    <w:abstractNumId w:val="21"/>
    <w:lvlOverride w:ilvl="0">
      <w:startOverride w:val="1"/>
    </w:lvlOverride>
  </w:num>
  <w:num w:numId="25">
    <w:abstractNumId w:val="11"/>
  </w:num>
  <w:num w:numId="26">
    <w:abstractNumId w:val="42"/>
  </w:num>
  <w:num w:numId="27">
    <w:abstractNumId w:val="18"/>
  </w:num>
  <w:num w:numId="28">
    <w:abstractNumId w:val="35"/>
  </w:num>
  <w:num w:numId="29">
    <w:abstractNumId w:val="62"/>
  </w:num>
  <w:num w:numId="30">
    <w:abstractNumId w:val="24"/>
  </w:num>
  <w:num w:numId="31">
    <w:abstractNumId w:val="14"/>
  </w:num>
  <w:num w:numId="32">
    <w:abstractNumId w:val="19"/>
    <w:lvlOverride w:ilvl="0">
      <w:startOverride w:val="1"/>
    </w:lvlOverride>
  </w:num>
  <w:num w:numId="33">
    <w:abstractNumId w:val="21"/>
    <w:lvlOverride w:ilvl="0">
      <w:startOverride w:val="1"/>
    </w:lvlOverride>
  </w:num>
  <w:num w:numId="34">
    <w:abstractNumId w:val="57"/>
  </w:num>
  <w:num w:numId="35">
    <w:abstractNumId w:val="6"/>
  </w:num>
  <w:num w:numId="36">
    <w:abstractNumId w:val="5"/>
  </w:num>
  <w:num w:numId="37">
    <w:abstractNumId w:val="27"/>
  </w:num>
  <w:num w:numId="38">
    <w:abstractNumId w:val="56"/>
  </w:num>
  <w:num w:numId="39">
    <w:abstractNumId w:val="64"/>
  </w:num>
  <w:num w:numId="40">
    <w:abstractNumId w:val="4"/>
  </w:num>
  <w:num w:numId="41">
    <w:abstractNumId w:val="69"/>
  </w:num>
  <w:num w:numId="42">
    <w:abstractNumId w:val="12"/>
  </w:num>
  <w:num w:numId="43">
    <w:abstractNumId w:val="39"/>
  </w:num>
  <w:num w:numId="44">
    <w:abstractNumId w:val="32"/>
  </w:num>
  <w:num w:numId="45">
    <w:abstractNumId w:val="0"/>
  </w:num>
  <w:num w:numId="46">
    <w:abstractNumId w:val="26"/>
  </w:num>
  <w:num w:numId="47">
    <w:abstractNumId w:val="31"/>
  </w:num>
  <w:num w:numId="48">
    <w:abstractNumId w:val="44"/>
  </w:num>
  <w:num w:numId="49">
    <w:abstractNumId w:val="53"/>
  </w:num>
  <w:num w:numId="50">
    <w:abstractNumId w:val="45"/>
  </w:num>
  <w:num w:numId="51">
    <w:abstractNumId w:val="73"/>
  </w:num>
  <w:num w:numId="52">
    <w:abstractNumId w:val="77"/>
  </w:num>
  <w:num w:numId="53">
    <w:abstractNumId w:val="3"/>
  </w:num>
  <w:num w:numId="54">
    <w:abstractNumId w:val="25"/>
  </w:num>
  <w:num w:numId="55">
    <w:abstractNumId w:val="36"/>
  </w:num>
  <w:num w:numId="56">
    <w:abstractNumId w:val="15"/>
  </w:num>
  <w:num w:numId="57">
    <w:abstractNumId w:val="37"/>
  </w:num>
  <w:num w:numId="58">
    <w:abstractNumId w:val="59"/>
  </w:num>
  <w:num w:numId="59">
    <w:abstractNumId w:val="38"/>
  </w:num>
  <w:num w:numId="60">
    <w:abstractNumId w:val="34"/>
  </w:num>
  <w:num w:numId="61">
    <w:abstractNumId w:val="47"/>
  </w:num>
  <w:num w:numId="62">
    <w:abstractNumId w:val="34"/>
    <w:lvlOverride w:ilvl="0">
      <w:startOverride w:val="1"/>
    </w:lvlOverride>
  </w:num>
  <w:num w:numId="63">
    <w:abstractNumId w:val="34"/>
    <w:lvlOverride w:ilvl="0">
      <w:startOverride w:val="1"/>
    </w:lvlOverride>
  </w:num>
  <w:num w:numId="64">
    <w:abstractNumId w:val="34"/>
    <w:lvlOverride w:ilvl="0">
      <w:startOverride w:val="1"/>
    </w:lvlOverride>
  </w:num>
  <w:num w:numId="65">
    <w:abstractNumId w:val="34"/>
    <w:lvlOverride w:ilvl="0">
      <w:startOverride w:val="1"/>
    </w:lvlOverride>
  </w:num>
  <w:num w:numId="66">
    <w:abstractNumId w:val="34"/>
    <w:lvlOverride w:ilvl="0">
      <w:startOverride w:val="1"/>
    </w:lvlOverride>
  </w:num>
  <w:num w:numId="67">
    <w:abstractNumId w:val="34"/>
    <w:lvlOverride w:ilvl="0">
      <w:startOverride w:val="1"/>
    </w:lvlOverride>
  </w:num>
  <w:num w:numId="68">
    <w:abstractNumId w:val="34"/>
    <w:lvlOverride w:ilvl="0">
      <w:startOverride w:val="1"/>
    </w:lvlOverride>
  </w:num>
  <w:num w:numId="69">
    <w:abstractNumId w:val="34"/>
    <w:lvlOverride w:ilvl="0">
      <w:startOverride w:val="1"/>
    </w:lvlOverride>
  </w:num>
  <w:num w:numId="70">
    <w:abstractNumId w:val="34"/>
    <w:lvlOverride w:ilvl="0">
      <w:startOverride w:val="1"/>
    </w:lvlOverride>
  </w:num>
  <w:num w:numId="71">
    <w:abstractNumId w:val="34"/>
    <w:lvlOverride w:ilvl="0">
      <w:startOverride w:val="1"/>
    </w:lvlOverride>
  </w:num>
  <w:num w:numId="72">
    <w:abstractNumId w:val="34"/>
    <w:lvlOverride w:ilvl="0">
      <w:startOverride w:val="1"/>
    </w:lvlOverride>
  </w:num>
  <w:num w:numId="73">
    <w:abstractNumId w:val="34"/>
    <w:lvlOverride w:ilvl="0">
      <w:startOverride w:val="1"/>
    </w:lvlOverride>
  </w:num>
  <w:num w:numId="74">
    <w:abstractNumId w:val="34"/>
    <w:lvlOverride w:ilvl="0">
      <w:startOverride w:val="1"/>
    </w:lvlOverride>
  </w:num>
  <w:num w:numId="75">
    <w:abstractNumId w:val="34"/>
    <w:lvlOverride w:ilvl="0">
      <w:startOverride w:val="1"/>
    </w:lvlOverride>
  </w:num>
  <w:num w:numId="76">
    <w:abstractNumId w:val="34"/>
    <w:lvlOverride w:ilvl="0">
      <w:startOverride w:val="1"/>
    </w:lvlOverride>
  </w:num>
  <w:num w:numId="77">
    <w:abstractNumId w:val="34"/>
    <w:lvlOverride w:ilvl="0">
      <w:startOverride w:val="1"/>
    </w:lvlOverride>
  </w:num>
  <w:num w:numId="78">
    <w:abstractNumId w:val="34"/>
    <w:lvlOverride w:ilvl="0">
      <w:startOverride w:val="1"/>
    </w:lvlOverride>
  </w:num>
  <w:num w:numId="79">
    <w:abstractNumId w:val="34"/>
    <w:lvlOverride w:ilvl="0">
      <w:startOverride w:val="1"/>
    </w:lvlOverride>
  </w:num>
  <w:num w:numId="80">
    <w:abstractNumId w:val="34"/>
    <w:lvlOverride w:ilvl="0">
      <w:startOverride w:val="1"/>
    </w:lvlOverride>
  </w:num>
  <w:num w:numId="81">
    <w:abstractNumId w:val="34"/>
    <w:lvlOverride w:ilvl="0">
      <w:startOverride w:val="1"/>
    </w:lvlOverride>
  </w:num>
  <w:num w:numId="82">
    <w:abstractNumId w:val="34"/>
    <w:lvlOverride w:ilvl="0">
      <w:startOverride w:val="1"/>
    </w:lvlOverride>
  </w:num>
  <w:num w:numId="83">
    <w:abstractNumId w:val="34"/>
    <w:lvlOverride w:ilvl="0">
      <w:startOverride w:val="1"/>
    </w:lvlOverride>
  </w:num>
  <w:num w:numId="84">
    <w:abstractNumId w:val="34"/>
    <w:lvlOverride w:ilvl="0">
      <w:startOverride w:val="1"/>
    </w:lvlOverride>
  </w:num>
  <w:num w:numId="85">
    <w:abstractNumId w:val="34"/>
    <w:lvlOverride w:ilvl="0">
      <w:startOverride w:val="1"/>
    </w:lvlOverride>
  </w:num>
  <w:num w:numId="86">
    <w:abstractNumId w:val="34"/>
    <w:lvlOverride w:ilvl="0">
      <w:startOverride w:val="1"/>
    </w:lvlOverride>
  </w:num>
  <w:num w:numId="87">
    <w:abstractNumId w:val="75"/>
  </w:num>
  <w:num w:numId="88">
    <w:abstractNumId w:val="38"/>
    <w:lvlOverride w:ilvl="0">
      <w:startOverride w:val="1"/>
    </w:lvlOverride>
  </w:num>
  <w:num w:numId="89">
    <w:abstractNumId w:val="34"/>
    <w:lvlOverride w:ilvl="0">
      <w:startOverride w:val="2"/>
    </w:lvlOverride>
  </w:num>
  <w:num w:numId="90">
    <w:abstractNumId w:val="55"/>
  </w:num>
  <w:num w:numId="91">
    <w:abstractNumId w:val="74"/>
  </w:num>
  <w:num w:numId="92">
    <w:abstractNumId w:val="22"/>
  </w:num>
  <w:num w:numId="93">
    <w:abstractNumId w:val="49"/>
    <w:lvlOverride w:ilvl="0">
      <w:startOverride w:val="1"/>
    </w:lvlOverride>
  </w:num>
  <w:num w:numId="94">
    <w:abstractNumId w:val="61"/>
  </w:num>
  <w:num w:numId="95">
    <w:abstractNumId w:val="58"/>
  </w:num>
  <w:num w:numId="96">
    <w:abstractNumId w:val="2"/>
  </w:num>
  <w:num w:numId="97">
    <w:abstractNumId w:val="71"/>
  </w:num>
  <w:num w:numId="98">
    <w:abstractNumId w:val="33"/>
  </w:num>
  <w:num w:numId="99">
    <w:abstractNumId w:val="29"/>
  </w:num>
  <w:num w:numId="100">
    <w:abstractNumId w:val="68"/>
  </w:num>
  <w:num w:numId="101">
    <w:abstractNumId w:val="7"/>
  </w:num>
  <w:num w:numId="102">
    <w:abstractNumId w:val="79"/>
  </w:num>
  <w:num w:numId="103">
    <w:abstractNumId w:val="48"/>
  </w:num>
  <w:num w:numId="104">
    <w:abstractNumId w:val="1"/>
  </w:num>
  <w:num w:numId="105">
    <w:abstractNumId w:val="13"/>
  </w:num>
  <w:num w:numId="106">
    <w:abstractNumId w:val="66"/>
  </w:num>
  <w:num w:numId="107">
    <w:abstractNumId w:val="72"/>
  </w:num>
  <w:num w:numId="108">
    <w:abstractNumId w:val="65"/>
  </w:num>
  <w:num w:numId="109">
    <w:abstractNumId w:val="67"/>
  </w:num>
  <w:num w:numId="110">
    <w:abstractNumId w:val="43"/>
  </w:num>
  <w:num w:numId="111">
    <w:abstractNumId w:val="70"/>
  </w:num>
  <w:num w:numId="112">
    <w:abstractNumId w:val="20"/>
  </w:num>
  <w:num w:numId="113">
    <w:abstractNumId w:val="76"/>
  </w:num>
  <w:num w:numId="114">
    <w:abstractNumId w:val="9"/>
  </w:num>
  <w:num w:numId="115">
    <w:abstractNumId w:val="54"/>
  </w:num>
  <w:num w:numId="116">
    <w:abstractNumId w:val="50"/>
  </w:num>
  <w:num w:numId="117">
    <w:abstractNumId w:val="21"/>
    <w:lvlOverride w:ilvl="0">
      <w:startOverride w:val="1"/>
    </w:lvlOverride>
  </w:num>
  <w:num w:numId="118">
    <w:abstractNumId w:val="34"/>
    <w:lvlOverride w:ilvl="0">
      <w:startOverride w:val="1"/>
    </w:lvlOverride>
  </w:num>
  <w:num w:numId="119">
    <w:abstractNumId w:val="21"/>
    <w:lvlOverride w:ilvl="0">
      <w:startOverride w:val="1"/>
    </w:lvlOverride>
  </w:num>
  <w:num w:numId="120">
    <w:abstractNumId w:val="34"/>
    <w:lvlOverride w:ilvl="0">
      <w:startOverride w:val="1"/>
    </w:lvlOverride>
  </w:num>
  <w:num w:numId="121">
    <w:abstractNumId w:val="34"/>
    <w:lvlOverride w:ilvl="0">
      <w:startOverride w:val="1"/>
    </w:lvlOverride>
  </w:num>
  <w:num w:numId="122">
    <w:abstractNumId w:val="21"/>
    <w:lvlOverride w:ilvl="0">
      <w:startOverride w:val="1"/>
    </w:lvlOverride>
  </w:num>
  <w:num w:numId="123">
    <w:abstractNumId w:val="49"/>
    <w:lvlOverride w:ilvl="0">
      <w:startOverride w:val="1"/>
    </w:lvlOverride>
  </w:num>
  <w:num w:numId="124">
    <w:abstractNumId w:val="34"/>
    <w:lvlOverride w:ilvl="0">
      <w:startOverride w:val="2"/>
    </w:lvlOverride>
  </w:num>
  <w:num w:numId="125">
    <w:abstractNumId w:val="21"/>
    <w:lvlOverride w:ilvl="0">
      <w:startOverride w:val="1"/>
    </w:lvlOverride>
  </w:num>
  <w:num w:numId="126">
    <w:abstractNumId w:val="34"/>
    <w:lvlOverride w:ilvl="0">
      <w:startOverride w:val="1"/>
    </w:lvlOverride>
  </w:num>
  <w:num w:numId="127">
    <w:abstractNumId w:val="34"/>
    <w:lvlOverride w:ilvl="0">
      <w:startOverride w:val="1"/>
    </w:lvlOverride>
  </w:num>
  <w:num w:numId="128">
    <w:abstractNumId w:val="21"/>
    <w:lvlOverride w:ilvl="0">
      <w:startOverride w:val="1"/>
    </w:lvlOverride>
  </w:num>
  <w:num w:numId="129">
    <w:abstractNumId w:val="34"/>
    <w:lvlOverride w:ilvl="0">
      <w:startOverride w:val="1"/>
    </w:lvlOverride>
  </w:num>
  <w:num w:numId="130">
    <w:abstractNumId w:val="34"/>
    <w:lvlOverride w:ilvl="0">
      <w:startOverride w:val="1"/>
    </w:lvlOverride>
  </w:num>
  <w:num w:numId="131">
    <w:abstractNumId w:val="34"/>
    <w:lvlOverride w:ilvl="0">
      <w:startOverride w:val="1"/>
    </w:lvlOverride>
  </w:num>
  <w:num w:numId="132">
    <w:abstractNumId w:val="34"/>
    <w:lvlOverride w:ilvl="0">
      <w:startOverride w:val="1"/>
    </w:lvlOverride>
  </w:num>
  <w:num w:numId="133">
    <w:abstractNumId w:val="34"/>
    <w:lvlOverride w:ilvl="0">
      <w:startOverride w:val="1"/>
    </w:lvlOverride>
  </w:num>
  <w:num w:numId="134">
    <w:abstractNumId w:val="34"/>
    <w:lvlOverride w:ilvl="0">
      <w:startOverride w:val="1"/>
    </w:lvlOverride>
  </w:num>
  <w:num w:numId="135">
    <w:abstractNumId w:val="21"/>
    <w:lvlOverride w:ilvl="0">
      <w:startOverride w:val="1"/>
    </w:lvlOverride>
  </w:num>
  <w:num w:numId="136">
    <w:abstractNumId w:val="34"/>
    <w:lvlOverride w:ilvl="0">
      <w:startOverride w:val="1"/>
    </w:lvlOverride>
  </w:num>
  <w:num w:numId="137">
    <w:abstractNumId w:val="34"/>
    <w:lvlOverride w:ilvl="0">
      <w:startOverride w:val="1"/>
    </w:lvlOverride>
  </w:num>
  <w:num w:numId="138">
    <w:abstractNumId w:val="34"/>
    <w:lvlOverride w:ilvl="0">
      <w:startOverride w:val="1"/>
    </w:lvlOverride>
  </w:num>
  <w:num w:numId="139">
    <w:abstractNumId w:val="34"/>
    <w:lvlOverride w:ilvl="0">
      <w:startOverride w:val="1"/>
    </w:lvlOverride>
  </w:num>
  <w:num w:numId="140">
    <w:abstractNumId w:val="34"/>
    <w:lvlOverride w:ilvl="0">
      <w:startOverride w:val="1"/>
    </w:lvlOverride>
  </w:num>
  <w:num w:numId="141">
    <w:abstractNumId w:val="34"/>
    <w:lvlOverride w:ilvl="0">
      <w:startOverride w:val="1"/>
    </w:lvlOverride>
  </w:num>
  <w:num w:numId="142">
    <w:abstractNumId w:val="34"/>
    <w:lvlOverride w:ilvl="0">
      <w:startOverride w:val="1"/>
    </w:lvlOverride>
  </w:num>
  <w:num w:numId="143">
    <w:abstractNumId w:val="34"/>
    <w:lvlOverride w:ilvl="0">
      <w:startOverride w:val="1"/>
    </w:lvlOverride>
  </w:num>
  <w:num w:numId="144">
    <w:abstractNumId w:val="34"/>
    <w:lvlOverride w:ilvl="0">
      <w:startOverride w:val="1"/>
    </w:lvlOverride>
  </w:num>
  <w:num w:numId="145">
    <w:abstractNumId w:val="21"/>
    <w:lvlOverride w:ilvl="0">
      <w:startOverride w:val="1"/>
    </w:lvlOverride>
  </w:num>
  <w:num w:numId="146">
    <w:abstractNumId w:val="49"/>
    <w:lvlOverride w:ilvl="0">
      <w:startOverride w:val="1"/>
    </w:lvlOverride>
  </w:num>
  <w:num w:numId="147">
    <w:abstractNumId w:val="34"/>
    <w:lvlOverride w:ilvl="0">
      <w:startOverride w:val="1"/>
    </w:lvlOverride>
  </w:num>
  <w:num w:numId="148">
    <w:abstractNumId w:val="34"/>
    <w:lvlOverride w:ilvl="0">
      <w:startOverride w:val="1"/>
    </w:lvlOverride>
  </w:num>
  <w:num w:numId="149">
    <w:abstractNumId w:val="49"/>
    <w:lvlOverride w:ilvl="0">
      <w:startOverride w:val="1"/>
    </w:lvlOverride>
  </w:num>
  <w:num w:numId="150">
    <w:abstractNumId w:val="21"/>
    <w:lvlOverride w:ilvl="0">
      <w:startOverride w:val="1"/>
    </w:lvlOverride>
  </w:num>
  <w:numIdMacAtCleanup w:val="1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1028"/>
  <w:defaultTabStop w:val="720"/>
  <w:characterSpacingControl w:val="doNotCompress"/>
  <w:hdrShapeDefaults>
    <o:shapedefaults v:ext="edit" spidmax="8194"/>
  </w:hdrShapeDefaults>
  <w:footnotePr>
    <w:footnote w:id="-1"/>
    <w:footnote w:id="0"/>
  </w:footnotePr>
  <w:endnotePr>
    <w:endnote w:id="-1"/>
    <w:endnote w:id="0"/>
  </w:endnotePr>
  <w:compat/>
  <w:rsids>
    <w:rsidRoot w:val="009063E9"/>
    <w:rsid w:val="000015D0"/>
    <w:rsid w:val="000052DB"/>
    <w:rsid w:val="000055D6"/>
    <w:rsid w:val="00005EA5"/>
    <w:rsid w:val="00012B19"/>
    <w:rsid w:val="000131CA"/>
    <w:rsid w:val="00013677"/>
    <w:rsid w:val="00014490"/>
    <w:rsid w:val="00015DEF"/>
    <w:rsid w:val="00020CD4"/>
    <w:rsid w:val="00022524"/>
    <w:rsid w:val="000256C3"/>
    <w:rsid w:val="000263B5"/>
    <w:rsid w:val="00026D14"/>
    <w:rsid w:val="0002796C"/>
    <w:rsid w:val="00030AB0"/>
    <w:rsid w:val="0003122E"/>
    <w:rsid w:val="00033821"/>
    <w:rsid w:val="00034D29"/>
    <w:rsid w:val="00034E81"/>
    <w:rsid w:val="00037F84"/>
    <w:rsid w:val="00040171"/>
    <w:rsid w:val="00044A00"/>
    <w:rsid w:val="00044C3A"/>
    <w:rsid w:val="00045476"/>
    <w:rsid w:val="000458E3"/>
    <w:rsid w:val="00045D0E"/>
    <w:rsid w:val="000476C6"/>
    <w:rsid w:val="0005097C"/>
    <w:rsid w:val="00053E31"/>
    <w:rsid w:val="0005428B"/>
    <w:rsid w:val="00054EEF"/>
    <w:rsid w:val="00055381"/>
    <w:rsid w:val="00055806"/>
    <w:rsid w:val="00055F2B"/>
    <w:rsid w:val="000565F1"/>
    <w:rsid w:val="00056713"/>
    <w:rsid w:val="00056FF1"/>
    <w:rsid w:val="00057E8B"/>
    <w:rsid w:val="000603FD"/>
    <w:rsid w:val="00061621"/>
    <w:rsid w:val="00062BE6"/>
    <w:rsid w:val="00062E73"/>
    <w:rsid w:val="00063101"/>
    <w:rsid w:val="00063156"/>
    <w:rsid w:val="00063242"/>
    <w:rsid w:val="00063C04"/>
    <w:rsid w:val="00065013"/>
    <w:rsid w:val="000656F3"/>
    <w:rsid w:val="000659A6"/>
    <w:rsid w:val="000702C1"/>
    <w:rsid w:val="00070ADC"/>
    <w:rsid w:val="000723C1"/>
    <w:rsid w:val="00076CF0"/>
    <w:rsid w:val="000779ED"/>
    <w:rsid w:val="00077F0C"/>
    <w:rsid w:val="00080A87"/>
    <w:rsid w:val="00081F1B"/>
    <w:rsid w:val="00082A55"/>
    <w:rsid w:val="000830CF"/>
    <w:rsid w:val="000832B8"/>
    <w:rsid w:val="000862A8"/>
    <w:rsid w:val="00086956"/>
    <w:rsid w:val="00087472"/>
    <w:rsid w:val="00092E9F"/>
    <w:rsid w:val="000933C6"/>
    <w:rsid w:val="0009411A"/>
    <w:rsid w:val="00097207"/>
    <w:rsid w:val="00097510"/>
    <w:rsid w:val="000A0529"/>
    <w:rsid w:val="000A071F"/>
    <w:rsid w:val="000A0B98"/>
    <w:rsid w:val="000A0F30"/>
    <w:rsid w:val="000A21BD"/>
    <w:rsid w:val="000A6423"/>
    <w:rsid w:val="000A6BF3"/>
    <w:rsid w:val="000A6DD7"/>
    <w:rsid w:val="000A76CE"/>
    <w:rsid w:val="000A785E"/>
    <w:rsid w:val="000B2538"/>
    <w:rsid w:val="000B2F1F"/>
    <w:rsid w:val="000B39F6"/>
    <w:rsid w:val="000B565D"/>
    <w:rsid w:val="000B6541"/>
    <w:rsid w:val="000B7290"/>
    <w:rsid w:val="000B742C"/>
    <w:rsid w:val="000B7D91"/>
    <w:rsid w:val="000B7D94"/>
    <w:rsid w:val="000C316B"/>
    <w:rsid w:val="000C4738"/>
    <w:rsid w:val="000C4D6B"/>
    <w:rsid w:val="000C7523"/>
    <w:rsid w:val="000D04BD"/>
    <w:rsid w:val="000D0E50"/>
    <w:rsid w:val="000D0EF3"/>
    <w:rsid w:val="000D142C"/>
    <w:rsid w:val="000D342D"/>
    <w:rsid w:val="000D5B8E"/>
    <w:rsid w:val="000D71BA"/>
    <w:rsid w:val="000E016B"/>
    <w:rsid w:val="000E1A17"/>
    <w:rsid w:val="000E1F11"/>
    <w:rsid w:val="000E2D4E"/>
    <w:rsid w:val="000E2E32"/>
    <w:rsid w:val="000E2E67"/>
    <w:rsid w:val="000E34CD"/>
    <w:rsid w:val="000E3A30"/>
    <w:rsid w:val="000E4DD6"/>
    <w:rsid w:val="000E6A44"/>
    <w:rsid w:val="000E7317"/>
    <w:rsid w:val="000E76D9"/>
    <w:rsid w:val="000E7999"/>
    <w:rsid w:val="000E7B4F"/>
    <w:rsid w:val="000F162F"/>
    <w:rsid w:val="000F463B"/>
    <w:rsid w:val="000F4CF0"/>
    <w:rsid w:val="000F5E36"/>
    <w:rsid w:val="000F5FF3"/>
    <w:rsid w:val="000F7AE0"/>
    <w:rsid w:val="00101062"/>
    <w:rsid w:val="00102515"/>
    <w:rsid w:val="00102DA7"/>
    <w:rsid w:val="001039DD"/>
    <w:rsid w:val="0010443B"/>
    <w:rsid w:val="00105C30"/>
    <w:rsid w:val="001060B6"/>
    <w:rsid w:val="0011052F"/>
    <w:rsid w:val="001114C7"/>
    <w:rsid w:val="001118F0"/>
    <w:rsid w:val="00111B33"/>
    <w:rsid w:val="00112024"/>
    <w:rsid w:val="0011351C"/>
    <w:rsid w:val="001144BB"/>
    <w:rsid w:val="00114642"/>
    <w:rsid w:val="00115885"/>
    <w:rsid w:val="00115E46"/>
    <w:rsid w:val="00116073"/>
    <w:rsid w:val="001162C0"/>
    <w:rsid w:val="001207DE"/>
    <w:rsid w:val="00121323"/>
    <w:rsid w:val="0012308C"/>
    <w:rsid w:val="0012336A"/>
    <w:rsid w:val="00123BDD"/>
    <w:rsid w:val="00123FCD"/>
    <w:rsid w:val="0012492D"/>
    <w:rsid w:val="00125669"/>
    <w:rsid w:val="00127840"/>
    <w:rsid w:val="0013074C"/>
    <w:rsid w:val="001308F8"/>
    <w:rsid w:val="0013382E"/>
    <w:rsid w:val="00133B81"/>
    <w:rsid w:val="00133BC1"/>
    <w:rsid w:val="00134406"/>
    <w:rsid w:val="00134C70"/>
    <w:rsid w:val="0013529E"/>
    <w:rsid w:val="0013569A"/>
    <w:rsid w:val="00136F6F"/>
    <w:rsid w:val="00137E7F"/>
    <w:rsid w:val="00140FBD"/>
    <w:rsid w:val="001417E8"/>
    <w:rsid w:val="00141A22"/>
    <w:rsid w:val="00142B6A"/>
    <w:rsid w:val="0014440F"/>
    <w:rsid w:val="001445AE"/>
    <w:rsid w:val="00144C8A"/>
    <w:rsid w:val="00145257"/>
    <w:rsid w:val="001452EE"/>
    <w:rsid w:val="0014676F"/>
    <w:rsid w:val="001478C8"/>
    <w:rsid w:val="00150726"/>
    <w:rsid w:val="001518DC"/>
    <w:rsid w:val="00151AC2"/>
    <w:rsid w:val="00151B99"/>
    <w:rsid w:val="00152655"/>
    <w:rsid w:val="001528AA"/>
    <w:rsid w:val="001537F5"/>
    <w:rsid w:val="00154895"/>
    <w:rsid w:val="00155D89"/>
    <w:rsid w:val="00155DDD"/>
    <w:rsid w:val="001613DA"/>
    <w:rsid w:val="001629FB"/>
    <w:rsid w:val="001655F6"/>
    <w:rsid w:val="00165B0A"/>
    <w:rsid w:val="00166ACD"/>
    <w:rsid w:val="00166B9D"/>
    <w:rsid w:val="00166C28"/>
    <w:rsid w:val="001677AD"/>
    <w:rsid w:val="001720E8"/>
    <w:rsid w:val="001722F7"/>
    <w:rsid w:val="0017242A"/>
    <w:rsid w:val="00172A00"/>
    <w:rsid w:val="0017322A"/>
    <w:rsid w:val="00173CC6"/>
    <w:rsid w:val="0017439E"/>
    <w:rsid w:val="00174C86"/>
    <w:rsid w:val="00175A69"/>
    <w:rsid w:val="00175D93"/>
    <w:rsid w:val="00180E26"/>
    <w:rsid w:val="00183BC3"/>
    <w:rsid w:val="00183CC4"/>
    <w:rsid w:val="00186148"/>
    <w:rsid w:val="0018773D"/>
    <w:rsid w:val="001878A3"/>
    <w:rsid w:val="00192275"/>
    <w:rsid w:val="00192C02"/>
    <w:rsid w:val="001942F2"/>
    <w:rsid w:val="001957C4"/>
    <w:rsid w:val="0019736A"/>
    <w:rsid w:val="001A320F"/>
    <w:rsid w:val="001A438B"/>
    <w:rsid w:val="001A4929"/>
    <w:rsid w:val="001A4931"/>
    <w:rsid w:val="001A7B05"/>
    <w:rsid w:val="001B07F7"/>
    <w:rsid w:val="001B0D88"/>
    <w:rsid w:val="001B0EC1"/>
    <w:rsid w:val="001B2125"/>
    <w:rsid w:val="001B381A"/>
    <w:rsid w:val="001B3E71"/>
    <w:rsid w:val="001B461A"/>
    <w:rsid w:val="001B62E0"/>
    <w:rsid w:val="001B73EF"/>
    <w:rsid w:val="001B7976"/>
    <w:rsid w:val="001B7BA6"/>
    <w:rsid w:val="001C0281"/>
    <w:rsid w:val="001C1CE8"/>
    <w:rsid w:val="001C259D"/>
    <w:rsid w:val="001C3E9A"/>
    <w:rsid w:val="001C4427"/>
    <w:rsid w:val="001C48A3"/>
    <w:rsid w:val="001C787F"/>
    <w:rsid w:val="001D009E"/>
    <w:rsid w:val="001D2CF6"/>
    <w:rsid w:val="001D3006"/>
    <w:rsid w:val="001D434E"/>
    <w:rsid w:val="001D6C81"/>
    <w:rsid w:val="001D7EDA"/>
    <w:rsid w:val="001E0FA8"/>
    <w:rsid w:val="001E10B7"/>
    <w:rsid w:val="001E1B2E"/>
    <w:rsid w:val="001E3253"/>
    <w:rsid w:val="001E52E3"/>
    <w:rsid w:val="001E5CB9"/>
    <w:rsid w:val="001E6ABF"/>
    <w:rsid w:val="001E70F0"/>
    <w:rsid w:val="001F0CE2"/>
    <w:rsid w:val="001F24C7"/>
    <w:rsid w:val="001F2C0D"/>
    <w:rsid w:val="001F4FCA"/>
    <w:rsid w:val="001F510C"/>
    <w:rsid w:val="001F6FAE"/>
    <w:rsid w:val="00200AE1"/>
    <w:rsid w:val="00200E18"/>
    <w:rsid w:val="00201A06"/>
    <w:rsid w:val="00201C61"/>
    <w:rsid w:val="00202119"/>
    <w:rsid w:val="002034CF"/>
    <w:rsid w:val="0020400B"/>
    <w:rsid w:val="0020493C"/>
    <w:rsid w:val="00204F68"/>
    <w:rsid w:val="002073D0"/>
    <w:rsid w:val="00207477"/>
    <w:rsid w:val="00207D83"/>
    <w:rsid w:val="00212877"/>
    <w:rsid w:val="00212B4F"/>
    <w:rsid w:val="00212BFA"/>
    <w:rsid w:val="00212D48"/>
    <w:rsid w:val="00213DAF"/>
    <w:rsid w:val="00213DD3"/>
    <w:rsid w:val="0021468D"/>
    <w:rsid w:val="00214878"/>
    <w:rsid w:val="00215673"/>
    <w:rsid w:val="00216437"/>
    <w:rsid w:val="00216A49"/>
    <w:rsid w:val="00216BAC"/>
    <w:rsid w:val="002202EA"/>
    <w:rsid w:val="00221B2B"/>
    <w:rsid w:val="00221ECD"/>
    <w:rsid w:val="002230AB"/>
    <w:rsid w:val="00224739"/>
    <w:rsid w:val="00225768"/>
    <w:rsid w:val="002300D7"/>
    <w:rsid w:val="0023086F"/>
    <w:rsid w:val="002313A0"/>
    <w:rsid w:val="002329E8"/>
    <w:rsid w:val="00234825"/>
    <w:rsid w:val="00234962"/>
    <w:rsid w:val="002355AA"/>
    <w:rsid w:val="00235910"/>
    <w:rsid w:val="00236579"/>
    <w:rsid w:val="002374E2"/>
    <w:rsid w:val="0024190D"/>
    <w:rsid w:val="00241C4F"/>
    <w:rsid w:val="00242811"/>
    <w:rsid w:val="0024577E"/>
    <w:rsid w:val="002509F1"/>
    <w:rsid w:val="00250F20"/>
    <w:rsid w:val="002514BB"/>
    <w:rsid w:val="00251A6B"/>
    <w:rsid w:val="00252486"/>
    <w:rsid w:val="00252683"/>
    <w:rsid w:val="00252CF2"/>
    <w:rsid w:val="002531AA"/>
    <w:rsid w:val="0025532B"/>
    <w:rsid w:val="002570A3"/>
    <w:rsid w:val="00257B9D"/>
    <w:rsid w:val="00261071"/>
    <w:rsid w:val="00261D0B"/>
    <w:rsid w:val="0026241C"/>
    <w:rsid w:val="002626F8"/>
    <w:rsid w:val="0026377F"/>
    <w:rsid w:val="00264AB6"/>
    <w:rsid w:val="00266AB9"/>
    <w:rsid w:val="00266C45"/>
    <w:rsid w:val="002678C2"/>
    <w:rsid w:val="002708E8"/>
    <w:rsid w:val="00270FD6"/>
    <w:rsid w:val="002714BD"/>
    <w:rsid w:val="0027184C"/>
    <w:rsid w:val="00272E1D"/>
    <w:rsid w:val="00273F5B"/>
    <w:rsid w:val="002769B8"/>
    <w:rsid w:val="00276E1D"/>
    <w:rsid w:val="00277A63"/>
    <w:rsid w:val="002803F8"/>
    <w:rsid w:val="00282E30"/>
    <w:rsid w:val="002834C3"/>
    <w:rsid w:val="0028408E"/>
    <w:rsid w:val="002846F9"/>
    <w:rsid w:val="002847C3"/>
    <w:rsid w:val="00285EC7"/>
    <w:rsid w:val="00286644"/>
    <w:rsid w:val="00286C71"/>
    <w:rsid w:val="002913D2"/>
    <w:rsid w:val="00291C4D"/>
    <w:rsid w:val="0029370F"/>
    <w:rsid w:val="00293F20"/>
    <w:rsid w:val="00294E9F"/>
    <w:rsid w:val="002967C8"/>
    <w:rsid w:val="00297ABB"/>
    <w:rsid w:val="002A2C2C"/>
    <w:rsid w:val="002A3121"/>
    <w:rsid w:val="002A383A"/>
    <w:rsid w:val="002A42AF"/>
    <w:rsid w:val="002A549F"/>
    <w:rsid w:val="002A569D"/>
    <w:rsid w:val="002A574E"/>
    <w:rsid w:val="002A5DD6"/>
    <w:rsid w:val="002A6229"/>
    <w:rsid w:val="002A68A9"/>
    <w:rsid w:val="002B2314"/>
    <w:rsid w:val="002B2953"/>
    <w:rsid w:val="002B3172"/>
    <w:rsid w:val="002B40F2"/>
    <w:rsid w:val="002C1CCB"/>
    <w:rsid w:val="002C1F52"/>
    <w:rsid w:val="002C1F91"/>
    <w:rsid w:val="002C30EE"/>
    <w:rsid w:val="002C5BFC"/>
    <w:rsid w:val="002D0594"/>
    <w:rsid w:val="002D0FE9"/>
    <w:rsid w:val="002D2515"/>
    <w:rsid w:val="002D3B68"/>
    <w:rsid w:val="002D40C0"/>
    <w:rsid w:val="002D436A"/>
    <w:rsid w:val="002D43B2"/>
    <w:rsid w:val="002D4465"/>
    <w:rsid w:val="002D4CB9"/>
    <w:rsid w:val="002D4F1F"/>
    <w:rsid w:val="002D50D7"/>
    <w:rsid w:val="002D7686"/>
    <w:rsid w:val="002E0BCC"/>
    <w:rsid w:val="002E1582"/>
    <w:rsid w:val="002E39B3"/>
    <w:rsid w:val="002E3C5B"/>
    <w:rsid w:val="002E72F8"/>
    <w:rsid w:val="002E7F77"/>
    <w:rsid w:val="002F03A0"/>
    <w:rsid w:val="002F2706"/>
    <w:rsid w:val="002F2B3C"/>
    <w:rsid w:val="002F48C2"/>
    <w:rsid w:val="002F4BBB"/>
    <w:rsid w:val="002F5846"/>
    <w:rsid w:val="002F6183"/>
    <w:rsid w:val="002F6216"/>
    <w:rsid w:val="002F680D"/>
    <w:rsid w:val="00300798"/>
    <w:rsid w:val="00301021"/>
    <w:rsid w:val="00301F4F"/>
    <w:rsid w:val="00303CDE"/>
    <w:rsid w:val="003049DF"/>
    <w:rsid w:val="003057E4"/>
    <w:rsid w:val="00305A27"/>
    <w:rsid w:val="00306EAA"/>
    <w:rsid w:val="00307461"/>
    <w:rsid w:val="003101EF"/>
    <w:rsid w:val="003118FA"/>
    <w:rsid w:val="0031252A"/>
    <w:rsid w:val="00312EAE"/>
    <w:rsid w:val="003146A8"/>
    <w:rsid w:val="00314905"/>
    <w:rsid w:val="0031584A"/>
    <w:rsid w:val="00315869"/>
    <w:rsid w:val="00316879"/>
    <w:rsid w:val="003176FF"/>
    <w:rsid w:val="0032237A"/>
    <w:rsid w:val="00322899"/>
    <w:rsid w:val="0032290C"/>
    <w:rsid w:val="00322A40"/>
    <w:rsid w:val="00323488"/>
    <w:rsid w:val="00323492"/>
    <w:rsid w:val="003243A9"/>
    <w:rsid w:val="0032699A"/>
    <w:rsid w:val="00330730"/>
    <w:rsid w:val="003307E9"/>
    <w:rsid w:val="00334281"/>
    <w:rsid w:val="003353D1"/>
    <w:rsid w:val="00335D28"/>
    <w:rsid w:val="00335DDD"/>
    <w:rsid w:val="00335F2F"/>
    <w:rsid w:val="00336BE2"/>
    <w:rsid w:val="00337304"/>
    <w:rsid w:val="00342A21"/>
    <w:rsid w:val="00343F56"/>
    <w:rsid w:val="003448A8"/>
    <w:rsid w:val="00345DF8"/>
    <w:rsid w:val="003500F5"/>
    <w:rsid w:val="00350BFE"/>
    <w:rsid w:val="00351771"/>
    <w:rsid w:val="00351948"/>
    <w:rsid w:val="00351EB1"/>
    <w:rsid w:val="00353219"/>
    <w:rsid w:val="003534B4"/>
    <w:rsid w:val="00354249"/>
    <w:rsid w:val="0035430C"/>
    <w:rsid w:val="00356110"/>
    <w:rsid w:val="00356537"/>
    <w:rsid w:val="00356BAC"/>
    <w:rsid w:val="00356C0C"/>
    <w:rsid w:val="00360AA1"/>
    <w:rsid w:val="0036114A"/>
    <w:rsid w:val="00361635"/>
    <w:rsid w:val="00362B2D"/>
    <w:rsid w:val="00364151"/>
    <w:rsid w:val="00364AE2"/>
    <w:rsid w:val="0036579C"/>
    <w:rsid w:val="00365BE0"/>
    <w:rsid w:val="00365E9F"/>
    <w:rsid w:val="0036718D"/>
    <w:rsid w:val="0036778D"/>
    <w:rsid w:val="00367A61"/>
    <w:rsid w:val="00367DCB"/>
    <w:rsid w:val="00371FC0"/>
    <w:rsid w:val="0037223A"/>
    <w:rsid w:val="0037319D"/>
    <w:rsid w:val="003733B1"/>
    <w:rsid w:val="003762F4"/>
    <w:rsid w:val="003776F3"/>
    <w:rsid w:val="00377857"/>
    <w:rsid w:val="00382D83"/>
    <w:rsid w:val="00382E30"/>
    <w:rsid w:val="00384F8E"/>
    <w:rsid w:val="00387CDF"/>
    <w:rsid w:val="0039024B"/>
    <w:rsid w:val="003907AC"/>
    <w:rsid w:val="00390C79"/>
    <w:rsid w:val="003910EE"/>
    <w:rsid w:val="0039121B"/>
    <w:rsid w:val="00391A7D"/>
    <w:rsid w:val="00391B1D"/>
    <w:rsid w:val="003926DD"/>
    <w:rsid w:val="00393CFB"/>
    <w:rsid w:val="00393F2D"/>
    <w:rsid w:val="00395A99"/>
    <w:rsid w:val="00397D4E"/>
    <w:rsid w:val="00397EA6"/>
    <w:rsid w:val="003A07CD"/>
    <w:rsid w:val="003A098C"/>
    <w:rsid w:val="003A09D6"/>
    <w:rsid w:val="003A1C09"/>
    <w:rsid w:val="003A1F60"/>
    <w:rsid w:val="003A32BD"/>
    <w:rsid w:val="003A35EF"/>
    <w:rsid w:val="003A3B64"/>
    <w:rsid w:val="003A5770"/>
    <w:rsid w:val="003A65E9"/>
    <w:rsid w:val="003A6C14"/>
    <w:rsid w:val="003A7630"/>
    <w:rsid w:val="003B1069"/>
    <w:rsid w:val="003B1255"/>
    <w:rsid w:val="003B228A"/>
    <w:rsid w:val="003B2E80"/>
    <w:rsid w:val="003B2EDC"/>
    <w:rsid w:val="003B4CA9"/>
    <w:rsid w:val="003B6FA1"/>
    <w:rsid w:val="003C0A04"/>
    <w:rsid w:val="003C0CDC"/>
    <w:rsid w:val="003C0D60"/>
    <w:rsid w:val="003C7A27"/>
    <w:rsid w:val="003D232F"/>
    <w:rsid w:val="003D4238"/>
    <w:rsid w:val="003D430C"/>
    <w:rsid w:val="003D47D8"/>
    <w:rsid w:val="003D5043"/>
    <w:rsid w:val="003D6EA5"/>
    <w:rsid w:val="003D7970"/>
    <w:rsid w:val="003E0783"/>
    <w:rsid w:val="003E3DE9"/>
    <w:rsid w:val="003E43D8"/>
    <w:rsid w:val="003E4D23"/>
    <w:rsid w:val="003E6AFC"/>
    <w:rsid w:val="003E6F80"/>
    <w:rsid w:val="003E7E88"/>
    <w:rsid w:val="003F2C19"/>
    <w:rsid w:val="003F325B"/>
    <w:rsid w:val="003F3418"/>
    <w:rsid w:val="003F3432"/>
    <w:rsid w:val="003F713C"/>
    <w:rsid w:val="00401246"/>
    <w:rsid w:val="004012E3"/>
    <w:rsid w:val="00403D7D"/>
    <w:rsid w:val="00405AEE"/>
    <w:rsid w:val="00407A72"/>
    <w:rsid w:val="00407D0F"/>
    <w:rsid w:val="00407E73"/>
    <w:rsid w:val="00410128"/>
    <w:rsid w:val="004120F9"/>
    <w:rsid w:val="00412669"/>
    <w:rsid w:val="00412E87"/>
    <w:rsid w:val="00413DA9"/>
    <w:rsid w:val="004152AA"/>
    <w:rsid w:val="00420F52"/>
    <w:rsid w:val="004217F8"/>
    <w:rsid w:val="00422D42"/>
    <w:rsid w:val="00422DD0"/>
    <w:rsid w:val="00423FDA"/>
    <w:rsid w:val="00427466"/>
    <w:rsid w:val="00427808"/>
    <w:rsid w:val="00431BD6"/>
    <w:rsid w:val="004328DF"/>
    <w:rsid w:val="00433A61"/>
    <w:rsid w:val="004340B9"/>
    <w:rsid w:val="004352C8"/>
    <w:rsid w:val="004355EC"/>
    <w:rsid w:val="00436317"/>
    <w:rsid w:val="00436DF8"/>
    <w:rsid w:val="00440B39"/>
    <w:rsid w:val="00441831"/>
    <w:rsid w:val="00443428"/>
    <w:rsid w:val="00443962"/>
    <w:rsid w:val="00444942"/>
    <w:rsid w:val="004452A6"/>
    <w:rsid w:val="004460D7"/>
    <w:rsid w:val="00446F58"/>
    <w:rsid w:val="00447D1C"/>
    <w:rsid w:val="00451E86"/>
    <w:rsid w:val="0045398B"/>
    <w:rsid w:val="0045407E"/>
    <w:rsid w:val="00454FDD"/>
    <w:rsid w:val="004567FE"/>
    <w:rsid w:val="0045758B"/>
    <w:rsid w:val="00457F21"/>
    <w:rsid w:val="004606C4"/>
    <w:rsid w:val="00460E9C"/>
    <w:rsid w:val="00461FC1"/>
    <w:rsid w:val="0046310F"/>
    <w:rsid w:val="0046333E"/>
    <w:rsid w:val="004637C1"/>
    <w:rsid w:val="004641D5"/>
    <w:rsid w:val="004644E3"/>
    <w:rsid w:val="00467959"/>
    <w:rsid w:val="0047051E"/>
    <w:rsid w:val="00473B2C"/>
    <w:rsid w:val="0047459D"/>
    <w:rsid w:val="00474958"/>
    <w:rsid w:val="004750F1"/>
    <w:rsid w:val="00475FBE"/>
    <w:rsid w:val="0047627B"/>
    <w:rsid w:val="00481A8F"/>
    <w:rsid w:val="00481D3E"/>
    <w:rsid w:val="00482883"/>
    <w:rsid w:val="0048291E"/>
    <w:rsid w:val="00482EDF"/>
    <w:rsid w:val="0048401E"/>
    <w:rsid w:val="00485BB2"/>
    <w:rsid w:val="00486857"/>
    <w:rsid w:val="00490791"/>
    <w:rsid w:val="004927D3"/>
    <w:rsid w:val="004929DF"/>
    <w:rsid w:val="004933AE"/>
    <w:rsid w:val="00493518"/>
    <w:rsid w:val="00493B48"/>
    <w:rsid w:val="00493BA5"/>
    <w:rsid w:val="00493CD3"/>
    <w:rsid w:val="00494D51"/>
    <w:rsid w:val="00494E09"/>
    <w:rsid w:val="004953C8"/>
    <w:rsid w:val="0049591B"/>
    <w:rsid w:val="004966B1"/>
    <w:rsid w:val="00497610"/>
    <w:rsid w:val="004A1D72"/>
    <w:rsid w:val="004A2D1E"/>
    <w:rsid w:val="004A309D"/>
    <w:rsid w:val="004A375A"/>
    <w:rsid w:val="004A42C1"/>
    <w:rsid w:val="004A4D26"/>
    <w:rsid w:val="004A4E24"/>
    <w:rsid w:val="004A5599"/>
    <w:rsid w:val="004B0AE3"/>
    <w:rsid w:val="004B1196"/>
    <w:rsid w:val="004B2E83"/>
    <w:rsid w:val="004B49C7"/>
    <w:rsid w:val="004B6B07"/>
    <w:rsid w:val="004C0D4E"/>
    <w:rsid w:val="004C2ED0"/>
    <w:rsid w:val="004C3068"/>
    <w:rsid w:val="004C35E6"/>
    <w:rsid w:val="004C561C"/>
    <w:rsid w:val="004C6C84"/>
    <w:rsid w:val="004C7A7B"/>
    <w:rsid w:val="004D280F"/>
    <w:rsid w:val="004D2935"/>
    <w:rsid w:val="004D44F4"/>
    <w:rsid w:val="004D549E"/>
    <w:rsid w:val="004D6501"/>
    <w:rsid w:val="004D6F3A"/>
    <w:rsid w:val="004E114A"/>
    <w:rsid w:val="004E1ADA"/>
    <w:rsid w:val="004E3025"/>
    <w:rsid w:val="004E4FB5"/>
    <w:rsid w:val="004E62F1"/>
    <w:rsid w:val="004E6CFD"/>
    <w:rsid w:val="004E753B"/>
    <w:rsid w:val="004F00E5"/>
    <w:rsid w:val="004F06C5"/>
    <w:rsid w:val="004F0E41"/>
    <w:rsid w:val="004F2B1E"/>
    <w:rsid w:val="004F2C28"/>
    <w:rsid w:val="004F345A"/>
    <w:rsid w:val="004F3A44"/>
    <w:rsid w:val="004F5040"/>
    <w:rsid w:val="004F5396"/>
    <w:rsid w:val="004F5678"/>
    <w:rsid w:val="004F73E7"/>
    <w:rsid w:val="004F7837"/>
    <w:rsid w:val="00502B30"/>
    <w:rsid w:val="00503599"/>
    <w:rsid w:val="00505441"/>
    <w:rsid w:val="0050632B"/>
    <w:rsid w:val="005069A3"/>
    <w:rsid w:val="00507D16"/>
    <w:rsid w:val="00507E43"/>
    <w:rsid w:val="00507EA0"/>
    <w:rsid w:val="0051163D"/>
    <w:rsid w:val="00511CC2"/>
    <w:rsid w:val="00511ED5"/>
    <w:rsid w:val="00511EFB"/>
    <w:rsid w:val="005123A6"/>
    <w:rsid w:val="00513241"/>
    <w:rsid w:val="00514F12"/>
    <w:rsid w:val="00515E47"/>
    <w:rsid w:val="00515FB5"/>
    <w:rsid w:val="005205A6"/>
    <w:rsid w:val="005209BD"/>
    <w:rsid w:val="00521750"/>
    <w:rsid w:val="00521E7D"/>
    <w:rsid w:val="00524754"/>
    <w:rsid w:val="005249FE"/>
    <w:rsid w:val="0052607D"/>
    <w:rsid w:val="00526329"/>
    <w:rsid w:val="00527746"/>
    <w:rsid w:val="00531318"/>
    <w:rsid w:val="00531D84"/>
    <w:rsid w:val="00533615"/>
    <w:rsid w:val="005338CA"/>
    <w:rsid w:val="005342FA"/>
    <w:rsid w:val="005348DB"/>
    <w:rsid w:val="00536323"/>
    <w:rsid w:val="00536783"/>
    <w:rsid w:val="005405FA"/>
    <w:rsid w:val="005410AB"/>
    <w:rsid w:val="00541D50"/>
    <w:rsid w:val="00542094"/>
    <w:rsid w:val="005422D2"/>
    <w:rsid w:val="00543355"/>
    <w:rsid w:val="00551CD9"/>
    <w:rsid w:val="00551EDC"/>
    <w:rsid w:val="00552ABF"/>
    <w:rsid w:val="00552D8E"/>
    <w:rsid w:val="0055308C"/>
    <w:rsid w:val="005538BF"/>
    <w:rsid w:val="0055415A"/>
    <w:rsid w:val="00554670"/>
    <w:rsid w:val="00555B9D"/>
    <w:rsid w:val="00556570"/>
    <w:rsid w:val="00557D10"/>
    <w:rsid w:val="00560B1C"/>
    <w:rsid w:val="00560E9F"/>
    <w:rsid w:val="00561A29"/>
    <w:rsid w:val="00561B0D"/>
    <w:rsid w:val="00565959"/>
    <w:rsid w:val="005659BC"/>
    <w:rsid w:val="005662BD"/>
    <w:rsid w:val="0056685F"/>
    <w:rsid w:val="00566ACA"/>
    <w:rsid w:val="005672FB"/>
    <w:rsid w:val="00571A33"/>
    <w:rsid w:val="00571AD4"/>
    <w:rsid w:val="0057208A"/>
    <w:rsid w:val="00573549"/>
    <w:rsid w:val="00573E10"/>
    <w:rsid w:val="005740A9"/>
    <w:rsid w:val="00575149"/>
    <w:rsid w:val="00576301"/>
    <w:rsid w:val="0057686D"/>
    <w:rsid w:val="00580A27"/>
    <w:rsid w:val="005816A7"/>
    <w:rsid w:val="00581946"/>
    <w:rsid w:val="00581F6A"/>
    <w:rsid w:val="00582143"/>
    <w:rsid w:val="005824FA"/>
    <w:rsid w:val="0058323C"/>
    <w:rsid w:val="005837E0"/>
    <w:rsid w:val="00583C1E"/>
    <w:rsid w:val="00584294"/>
    <w:rsid w:val="00584806"/>
    <w:rsid w:val="00585080"/>
    <w:rsid w:val="00586629"/>
    <w:rsid w:val="00590A63"/>
    <w:rsid w:val="00591297"/>
    <w:rsid w:val="005933E9"/>
    <w:rsid w:val="00593D1B"/>
    <w:rsid w:val="005941F9"/>
    <w:rsid w:val="00595662"/>
    <w:rsid w:val="00596B19"/>
    <w:rsid w:val="005974C8"/>
    <w:rsid w:val="005A1330"/>
    <w:rsid w:val="005A23C6"/>
    <w:rsid w:val="005A38F1"/>
    <w:rsid w:val="005A439B"/>
    <w:rsid w:val="005A460E"/>
    <w:rsid w:val="005A56E1"/>
    <w:rsid w:val="005A761C"/>
    <w:rsid w:val="005A7834"/>
    <w:rsid w:val="005A7F8F"/>
    <w:rsid w:val="005B2A02"/>
    <w:rsid w:val="005B2A7C"/>
    <w:rsid w:val="005B3298"/>
    <w:rsid w:val="005B6950"/>
    <w:rsid w:val="005C3513"/>
    <w:rsid w:val="005C36C1"/>
    <w:rsid w:val="005C37CA"/>
    <w:rsid w:val="005C402E"/>
    <w:rsid w:val="005C4908"/>
    <w:rsid w:val="005C5363"/>
    <w:rsid w:val="005C5EA6"/>
    <w:rsid w:val="005C68EB"/>
    <w:rsid w:val="005D1765"/>
    <w:rsid w:val="005D2D2D"/>
    <w:rsid w:val="005D2F0F"/>
    <w:rsid w:val="005D30D2"/>
    <w:rsid w:val="005D523B"/>
    <w:rsid w:val="005D6D4E"/>
    <w:rsid w:val="005D7BF1"/>
    <w:rsid w:val="005E019E"/>
    <w:rsid w:val="005E213D"/>
    <w:rsid w:val="005E3126"/>
    <w:rsid w:val="005E42AC"/>
    <w:rsid w:val="005E47C4"/>
    <w:rsid w:val="005E4BED"/>
    <w:rsid w:val="005E56E3"/>
    <w:rsid w:val="005E6B12"/>
    <w:rsid w:val="005E7F15"/>
    <w:rsid w:val="005F1E8C"/>
    <w:rsid w:val="005F2AAB"/>
    <w:rsid w:val="005F2ED0"/>
    <w:rsid w:val="005F4336"/>
    <w:rsid w:val="005F5094"/>
    <w:rsid w:val="005F55A5"/>
    <w:rsid w:val="005F5BB9"/>
    <w:rsid w:val="005F5DDA"/>
    <w:rsid w:val="005F67C9"/>
    <w:rsid w:val="005F732F"/>
    <w:rsid w:val="00601599"/>
    <w:rsid w:val="00601CE7"/>
    <w:rsid w:val="0060567F"/>
    <w:rsid w:val="006058BF"/>
    <w:rsid w:val="00606EBA"/>
    <w:rsid w:val="00607659"/>
    <w:rsid w:val="0061010E"/>
    <w:rsid w:val="006109F0"/>
    <w:rsid w:val="00610CAF"/>
    <w:rsid w:val="00612383"/>
    <w:rsid w:val="006134E8"/>
    <w:rsid w:val="00615D45"/>
    <w:rsid w:val="00617612"/>
    <w:rsid w:val="0062000D"/>
    <w:rsid w:val="006228C4"/>
    <w:rsid w:val="006304A4"/>
    <w:rsid w:val="00630A3E"/>
    <w:rsid w:val="00631A05"/>
    <w:rsid w:val="00631BBC"/>
    <w:rsid w:val="00632F9C"/>
    <w:rsid w:val="0063347A"/>
    <w:rsid w:val="00633735"/>
    <w:rsid w:val="0063547E"/>
    <w:rsid w:val="0063651F"/>
    <w:rsid w:val="00636DBC"/>
    <w:rsid w:val="006376F4"/>
    <w:rsid w:val="00637AF4"/>
    <w:rsid w:val="00637D02"/>
    <w:rsid w:val="006409A7"/>
    <w:rsid w:val="00640F3C"/>
    <w:rsid w:val="00641097"/>
    <w:rsid w:val="00642FF1"/>
    <w:rsid w:val="00643507"/>
    <w:rsid w:val="006436C5"/>
    <w:rsid w:val="0064391B"/>
    <w:rsid w:val="0064398C"/>
    <w:rsid w:val="00644B6B"/>
    <w:rsid w:val="00645744"/>
    <w:rsid w:val="006458AD"/>
    <w:rsid w:val="00647B95"/>
    <w:rsid w:val="0065057E"/>
    <w:rsid w:val="0065076A"/>
    <w:rsid w:val="006518BA"/>
    <w:rsid w:val="00652B0E"/>
    <w:rsid w:val="00652F50"/>
    <w:rsid w:val="006532B3"/>
    <w:rsid w:val="006537EB"/>
    <w:rsid w:val="006558FA"/>
    <w:rsid w:val="006563BE"/>
    <w:rsid w:val="006566BE"/>
    <w:rsid w:val="00657DFE"/>
    <w:rsid w:val="0066046C"/>
    <w:rsid w:val="006613E2"/>
    <w:rsid w:val="006628DA"/>
    <w:rsid w:val="00664DF2"/>
    <w:rsid w:val="0067045F"/>
    <w:rsid w:val="00671425"/>
    <w:rsid w:val="00671AC7"/>
    <w:rsid w:val="006721D8"/>
    <w:rsid w:val="00674F9B"/>
    <w:rsid w:val="0067581B"/>
    <w:rsid w:val="00676479"/>
    <w:rsid w:val="00677223"/>
    <w:rsid w:val="0067777C"/>
    <w:rsid w:val="006809F7"/>
    <w:rsid w:val="00680B53"/>
    <w:rsid w:val="00681434"/>
    <w:rsid w:val="006864D1"/>
    <w:rsid w:val="00686D9A"/>
    <w:rsid w:val="006879A9"/>
    <w:rsid w:val="00687B3E"/>
    <w:rsid w:val="006917F8"/>
    <w:rsid w:val="00691B4F"/>
    <w:rsid w:val="00692039"/>
    <w:rsid w:val="006929CD"/>
    <w:rsid w:val="006942A8"/>
    <w:rsid w:val="00694ADF"/>
    <w:rsid w:val="00695648"/>
    <w:rsid w:val="00696AB9"/>
    <w:rsid w:val="00697E33"/>
    <w:rsid w:val="00697F58"/>
    <w:rsid w:val="006A214F"/>
    <w:rsid w:val="006A3715"/>
    <w:rsid w:val="006A4D2E"/>
    <w:rsid w:val="006A78DF"/>
    <w:rsid w:val="006A7D44"/>
    <w:rsid w:val="006A7D7E"/>
    <w:rsid w:val="006A7EA4"/>
    <w:rsid w:val="006B12E2"/>
    <w:rsid w:val="006B1F4D"/>
    <w:rsid w:val="006B2C8D"/>
    <w:rsid w:val="006B2D74"/>
    <w:rsid w:val="006B3CE3"/>
    <w:rsid w:val="006B4DBA"/>
    <w:rsid w:val="006B51A2"/>
    <w:rsid w:val="006B71B6"/>
    <w:rsid w:val="006C09BB"/>
    <w:rsid w:val="006C3366"/>
    <w:rsid w:val="006C622A"/>
    <w:rsid w:val="006C74A6"/>
    <w:rsid w:val="006D32C2"/>
    <w:rsid w:val="006D47DE"/>
    <w:rsid w:val="006D50D3"/>
    <w:rsid w:val="006D73C8"/>
    <w:rsid w:val="006E0942"/>
    <w:rsid w:val="006E0A8D"/>
    <w:rsid w:val="006E400D"/>
    <w:rsid w:val="006E7395"/>
    <w:rsid w:val="006F03F3"/>
    <w:rsid w:val="006F27F0"/>
    <w:rsid w:val="006F50C6"/>
    <w:rsid w:val="006F57F7"/>
    <w:rsid w:val="00701DCF"/>
    <w:rsid w:val="007024F5"/>
    <w:rsid w:val="0070276E"/>
    <w:rsid w:val="00703E47"/>
    <w:rsid w:val="00705B07"/>
    <w:rsid w:val="00707A37"/>
    <w:rsid w:val="0071124C"/>
    <w:rsid w:val="007175ED"/>
    <w:rsid w:val="0072390D"/>
    <w:rsid w:val="00725100"/>
    <w:rsid w:val="00726917"/>
    <w:rsid w:val="00730CE0"/>
    <w:rsid w:val="00732E31"/>
    <w:rsid w:val="00734666"/>
    <w:rsid w:val="0073519D"/>
    <w:rsid w:val="00735312"/>
    <w:rsid w:val="00735CBD"/>
    <w:rsid w:val="007364E2"/>
    <w:rsid w:val="00736E3A"/>
    <w:rsid w:val="007370C9"/>
    <w:rsid w:val="0073715E"/>
    <w:rsid w:val="007421A0"/>
    <w:rsid w:val="007421FB"/>
    <w:rsid w:val="00743CDE"/>
    <w:rsid w:val="00744100"/>
    <w:rsid w:val="007451D2"/>
    <w:rsid w:val="00745B2B"/>
    <w:rsid w:val="00746539"/>
    <w:rsid w:val="007522DC"/>
    <w:rsid w:val="007547BF"/>
    <w:rsid w:val="00756656"/>
    <w:rsid w:val="007601E4"/>
    <w:rsid w:val="0076020E"/>
    <w:rsid w:val="00760B6E"/>
    <w:rsid w:val="007610EA"/>
    <w:rsid w:val="00761298"/>
    <w:rsid w:val="00761505"/>
    <w:rsid w:val="00763CD1"/>
    <w:rsid w:val="00763DEA"/>
    <w:rsid w:val="00764860"/>
    <w:rsid w:val="00766D16"/>
    <w:rsid w:val="00767872"/>
    <w:rsid w:val="007701A9"/>
    <w:rsid w:val="00770598"/>
    <w:rsid w:val="00771921"/>
    <w:rsid w:val="00771FE1"/>
    <w:rsid w:val="0077221F"/>
    <w:rsid w:val="00772CDB"/>
    <w:rsid w:val="0077443B"/>
    <w:rsid w:val="007744BF"/>
    <w:rsid w:val="00774562"/>
    <w:rsid w:val="00777C48"/>
    <w:rsid w:val="00781832"/>
    <w:rsid w:val="0078205C"/>
    <w:rsid w:val="0078290F"/>
    <w:rsid w:val="0078302C"/>
    <w:rsid w:val="00783071"/>
    <w:rsid w:val="00784A22"/>
    <w:rsid w:val="00786019"/>
    <w:rsid w:val="00786363"/>
    <w:rsid w:val="007864C8"/>
    <w:rsid w:val="00786779"/>
    <w:rsid w:val="007875A6"/>
    <w:rsid w:val="00787A15"/>
    <w:rsid w:val="0079227C"/>
    <w:rsid w:val="0079289B"/>
    <w:rsid w:val="00792DC1"/>
    <w:rsid w:val="00794592"/>
    <w:rsid w:val="0079613D"/>
    <w:rsid w:val="00797E86"/>
    <w:rsid w:val="007A3029"/>
    <w:rsid w:val="007A3BAC"/>
    <w:rsid w:val="007A47D8"/>
    <w:rsid w:val="007A7162"/>
    <w:rsid w:val="007B04C2"/>
    <w:rsid w:val="007B4187"/>
    <w:rsid w:val="007B54B0"/>
    <w:rsid w:val="007B5BCD"/>
    <w:rsid w:val="007B65E8"/>
    <w:rsid w:val="007B6CFF"/>
    <w:rsid w:val="007B744E"/>
    <w:rsid w:val="007B7458"/>
    <w:rsid w:val="007B796C"/>
    <w:rsid w:val="007C0692"/>
    <w:rsid w:val="007C2077"/>
    <w:rsid w:val="007C3EEE"/>
    <w:rsid w:val="007C4103"/>
    <w:rsid w:val="007C47FE"/>
    <w:rsid w:val="007C4FE0"/>
    <w:rsid w:val="007C55D8"/>
    <w:rsid w:val="007D01D5"/>
    <w:rsid w:val="007D0A29"/>
    <w:rsid w:val="007D5045"/>
    <w:rsid w:val="007D5A95"/>
    <w:rsid w:val="007D6FEA"/>
    <w:rsid w:val="007D77B4"/>
    <w:rsid w:val="007E1B3F"/>
    <w:rsid w:val="007E4344"/>
    <w:rsid w:val="007E58D8"/>
    <w:rsid w:val="007F1650"/>
    <w:rsid w:val="007F2807"/>
    <w:rsid w:val="007F5B15"/>
    <w:rsid w:val="007F6D37"/>
    <w:rsid w:val="008000CF"/>
    <w:rsid w:val="00801C5D"/>
    <w:rsid w:val="00811E0E"/>
    <w:rsid w:val="00812CDD"/>
    <w:rsid w:val="00815240"/>
    <w:rsid w:val="00816737"/>
    <w:rsid w:val="008236C1"/>
    <w:rsid w:val="008275B1"/>
    <w:rsid w:val="00827683"/>
    <w:rsid w:val="0082770B"/>
    <w:rsid w:val="00830546"/>
    <w:rsid w:val="008305C3"/>
    <w:rsid w:val="00830C67"/>
    <w:rsid w:val="00833683"/>
    <w:rsid w:val="00835AE7"/>
    <w:rsid w:val="008370F2"/>
    <w:rsid w:val="00837915"/>
    <w:rsid w:val="008410C6"/>
    <w:rsid w:val="0084125D"/>
    <w:rsid w:val="00841CA8"/>
    <w:rsid w:val="00844A68"/>
    <w:rsid w:val="0084514D"/>
    <w:rsid w:val="00845591"/>
    <w:rsid w:val="008455CA"/>
    <w:rsid w:val="00845B25"/>
    <w:rsid w:val="00845EDD"/>
    <w:rsid w:val="00846F24"/>
    <w:rsid w:val="00847A71"/>
    <w:rsid w:val="00850B2D"/>
    <w:rsid w:val="00851668"/>
    <w:rsid w:val="00851CFA"/>
    <w:rsid w:val="00851FCE"/>
    <w:rsid w:val="00853E1B"/>
    <w:rsid w:val="0085499D"/>
    <w:rsid w:val="00854A88"/>
    <w:rsid w:val="00856754"/>
    <w:rsid w:val="0085688A"/>
    <w:rsid w:val="008608C2"/>
    <w:rsid w:val="0086292D"/>
    <w:rsid w:val="008642C9"/>
    <w:rsid w:val="008649D3"/>
    <w:rsid w:val="00864BDD"/>
    <w:rsid w:val="0086562A"/>
    <w:rsid w:val="00865892"/>
    <w:rsid w:val="00865CA9"/>
    <w:rsid w:val="0086616E"/>
    <w:rsid w:val="00872218"/>
    <w:rsid w:val="00872971"/>
    <w:rsid w:val="00873B50"/>
    <w:rsid w:val="00876A9D"/>
    <w:rsid w:val="00876F48"/>
    <w:rsid w:val="00877402"/>
    <w:rsid w:val="00877CD2"/>
    <w:rsid w:val="008810BD"/>
    <w:rsid w:val="00881E91"/>
    <w:rsid w:val="00882CCA"/>
    <w:rsid w:val="00884D8C"/>
    <w:rsid w:val="0088681D"/>
    <w:rsid w:val="00886B32"/>
    <w:rsid w:val="0088701C"/>
    <w:rsid w:val="00887250"/>
    <w:rsid w:val="00890F82"/>
    <w:rsid w:val="00891079"/>
    <w:rsid w:val="0089185F"/>
    <w:rsid w:val="00892EB8"/>
    <w:rsid w:val="00894B43"/>
    <w:rsid w:val="00894F87"/>
    <w:rsid w:val="008A01E5"/>
    <w:rsid w:val="008A087E"/>
    <w:rsid w:val="008A0EB6"/>
    <w:rsid w:val="008A139D"/>
    <w:rsid w:val="008A2CCA"/>
    <w:rsid w:val="008A31C0"/>
    <w:rsid w:val="008A42F0"/>
    <w:rsid w:val="008A4A3D"/>
    <w:rsid w:val="008A4C37"/>
    <w:rsid w:val="008A4E85"/>
    <w:rsid w:val="008B04C8"/>
    <w:rsid w:val="008B0A61"/>
    <w:rsid w:val="008B1CC4"/>
    <w:rsid w:val="008B411F"/>
    <w:rsid w:val="008B4FC6"/>
    <w:rsid w:val="008B5C95"/>
    <w:rsid w:val="008B72E1"/>
    <w:rsid w:val="008B781A"/>
    <w:rsid w:val="008C0367"/>
    <w:rsid w:val="008C050A"/>
    <w:rsid w:val="008C187C"/>
    <w:rsid w:val="008C1B26"/>
    <w:rsid w:val="008C7C69"/>
    <w:rsid w:val="008D0341"/>
    <w:rsid w:val="008D219B"/>
    <w:rsid w:val="008D3174"/>
    <w:rsid w:val="008D3C86"/>
    <w:rsid w:val="008D3FB9"/>
    <w:rsid w:val="008D45D7"/>
    <w:rsid w:val="008D63DB"/>
    <w:rsid w:val="008D7339"/>
    <w:rsid w:val="008E04A5"/>
    <w:rsid w:val="008E1A50"/>
    <w:rsid w:val="008E1CB9"/>
    <w:rsid w:val="008E2BD7"/>
    <w:rsid w:val="008E57EF"/>
    <w:rsid w:val="008E593B"/>
    <w:rsid w:val="008E6540"/>
    <w:rsid w:val="008E72E5"/>
    <w:rsid w:val="008F0269"/>
    <w:rsid w:val="008F0626"/>
    <w:rsid w:val="008F2B3F"/>
    <w:rsid w:val="008F30B6"/>
    <w:rsid w:val="008F3E5E"/>
    <w:rsid w:val="008F4618"/>
    <w:rsid w:val="008F5070"/>
    <w:rsid w:val="008F5270"/>
    <w:rsid w:val="008F5FB9"/>
    <w:rsid w:val="0090039B"/>
    <w:rsid w:val="00900971"/>
    <w:rsid w:val="00901161"/>
    <w:rsid w:val="00901593"/>
    <w:rsid w:val="00901A54"/>
    <w:rsid w:val="0090320E"/>
    <w:rsid w:val="00904395"/>
    <w:rsid w:val="00904E41"/>
    <w:rsid w:val="00904E45"/>
    <w:rsid w:val="009056AE"/>
    <w:rsid w:val="009063E9"/>
    <w:rsid w:val="00906E50"/>
    <w:rsid w:val="009102B5"/>
    <w:rsid w:val="00910525"/>
    <w:rsid w:val="009121C2"/>
    <w:rsid w:val="00913A0A"/>
    <w:rsid w:val="00913E44"/>
    <w:rsid w:val="0091412B"/>
    <w:rsid w:val="00914FCE"/>
    <w:rsid w:val="00917FE8"/>
    <w:rsid w:val="00920B20"/>
    <w:rsid w:val="00921010"/>
    <w:rsid w:val="009210AE"/>
    <w:rsid w:val="0092194D"/>
    <w:rsid w:val="009252B9"/>
    <w:rsid w:val="00925B43"/>
    <w:rsid w:val="0092768E"/>
    <w:rsid w:val="00930CCE"/>
    <w:rsid w:val="00931E6C"/>
    <w:rsid w:val="00932F18"/>
    <w:rsid w:val="00932FB5"/>
    <w:rsid w:val="00933480"/>
    <w:rsid w:val="0093465B"/>
    <w:rsid w:val="00935281"/>
    <w:rsid w:val="00935719"/>
    <w:rsid w:val="00936B47"/>
    <w:rsid w:val="00942BC9"/>
    <w:rsid w:val="00943830"/>
    <w:rsid w:val="00944035"/>
    <w:rsid w:val="00951258"/>
    <w:rsid w:val="0095125D"/>
    <w:rsid w:val="009512C1"/>
    <w:rsid w:val="00952A6C"/>
    <w:rsid w:val="00953F86"/>
    <w:rsid w:val="009541AE"/>
    <w:rsid w:val="0095420E"/>
    <w:rsid w:val="009542DD"/>
    <w:rsid w:val="00954801"/>
    <w:rsid w:val="00955662"/>
    <w:rsid w:val="00955DDF"/>
    <w:rsid w:val="00956D25"/>
    <w:rsid w:val="0096133A"/>
    <w:rsid w:val="00962081"/>
    <w:rsid w:val="00963325"/>
    <w:rsid w:val="009638D8"/>
    <w:rsid w:val="00963F67"/>
    <w:rsid w:val="00965EBF"/>
    <w:rsid w:val="00967A74"/>
    <w:rsid w:val="00970032"/>
    <w:rsid w:val="009730BE"/>
    <w:rsid w:val="009749D4"/>
    <w:rsid w:val="0097503C"/>
    <w:rsid w:val="00976A4A"/>
    <w:rsid w:val="00976C36"/>
    <w:rsid w:val="00977AA3"/>
    <w:rsid w:val="00977C7C"/>
    <w:rsid w:val="00977CA4"/>
    <w:rsid w:val="00980AE7"/>
    <w:rsid w:val="00980FEF"/>
    <w:rsid w:val="00982059"/>
    <w:rsid w:val="009821DF"/>
    <w:rsid w:val="00982CCC"/>
    <w:rsid w:val="00983577"/>
    <w:rsid w:val="0098479C"/>
    <w:rsid w:val="00984C64"/>
    <w:rsid w:val="00985019"/>
    <w:rsid w:val="0098547F"/>
    <w:rsid w:val="00986355"/>
    <w:rsid w:val="00986E61"/>
    <w:rsid w:val="00987065"/>
    <w:rsid w:val="00987D51"/>
    <w:rsid w:val="00987F51"/>
    <w:rsid w:val="00990653"/>
    <w:rsid w:val="00990D7A"/>
    <w:rsid w:val="00991912"/>
    <w:rsid w:val="00991FF2"/>
    <w:rsid w:val="00992348"/>
    <w:rsid w:val="009939B5"/>
    <w:rsid w:val="00994315"/>
    <w:rsid w:val="00994EA7"/>
    <w:rsid w:val="0099577C"/>
    <w:rsid w:val="00995B6B"/>
    <w:rsid w:val="00995FE3"/>
    <w:rsid w:val="009961AC"/>
    <w:rsid w:val="00996D62"/>
    <w:rsid w:val="009A17E0"/>
    <w:rsid w:val="009A1FB3"/>
    <w:rsid w:val="009A27E4"/>
    <w:rsid w:val="009A2FB5"/>
    <w:rsid w:val="009A3E36"/>
    <w:rsid w:val="009A7041"/>
    <w:rsid w:val="009A77AB"/>
    <w:rsid w:val="009B421B"/>
    <w:rsid w:val="009B4760"/>
    <w:rsid w:val="009B5A93"/>
    <w:rsid w:val="009B5DC4"/>
    <w:rsid w:val="009B76D5"/>
    <w:rsid w:val="009B7DB0"/>
    <w:rsid w:val="009C047F"/>
    <w:rsid w:val="009C0673"/>
    <w:rsid w:val="009C2618"/>
    <w:rsid w:val="009C3073"/>
    <w:rsid w:val="009C32D2"/>
    <w:rsid w:val="009C353D"/>
    <w:rsid w:val="009C3DCB"/>
    <w:rsid w:val="009C435A"/>
    <w:rsid w:val="009C4A34"/>
    <w:rsid w:val="009C534C"/>
    <w:rsid w:val="009C6D83"/>
    <w:rsid w:val="009C705E"/>
    <w:rsid w:val="009C7F22"/>
    <w:rsid w:val="009D225F"/>
    <w:rsid w:val="009D5746"/>
    <w:rsid w:val="009D6206"/>
    <w:rsid w:val="009D66DD"/>
    <w:rsid w:val="009D7DA6"/>
    <w:rsid w:val="009D7FDA"/>
    <w:rsid w:val="009E0624"/>
    <w:rsid w:val="009E13D8"/>
    <w:rsid w:val="009E3132"/>
    <w:rsid w:val="009E384D"/>
    <w:rsid w:val="009E5A24"/>
    <w:rsid w:val="009E715C"/>
    <w:rsid w:val="009E74C2"/>
    <w:rsid w:val="009E75CB"/>
    <w:rsid w:val="009E79A6"/>
    <w:rsid w:val="009F0AAD"/>
    <w:rsid w:val="009F0FE2"/>
    <w:rsid w:val="009F1745"/>
    <w:rsid w:val="009F364E"/>
    <w:rsid w:val="009F7316"/>
    <w:rsid w:val="00A0065F"/>
    <w:rsid w:val="00A018A3"/>
    <w:rsid w:val="00A02094"/>
    <w:rsid w:val="00A02E40"/>
    <w:rsid w:val="00A052DD"/>
    <w:rsid w:val="00A05C94"/>
    <w:rsid w:val="00A10500"/>
    <w:rsid w:val="00A113F8"/>
    <w:rsid w:val="00A11E78"/>
    <w:rsid w:val="00A15758"/>
    <w:rsid w:val="00A163CD"/>
    <w:rsid w:val="00A16E9F"/>
    <w:rsid w:val="00A17B2F"/>
    <w:rsid w:val="00A17DD4"/>
    <w:rsid w:val="00A20765"/>
    <w:rsid w:val="00A21EC8"/>
    <w:rsid w:val="00A25EC4"/>
    <w:rsid w:val="00A31136"/>
    <w:rsid w:val="00A31253"/>
    <w:rsid w:val="00A31D2E"/>
    <w:rsid w:val="00A32CE9"/>
    <w:rsid w:val="00A42442"/>
    <w:rsid w:val="00A426C4"/>
    <w:rsid w:val="00A44BA1"/>
    <w:rsid w:val="00A4650E"/>
    <w:rsid w:val="00A4674E"/>
    <w:rsid w:val="00A4781D"/>
    <w:rsid w:val="00A50655"/>
    <w:rsid w:val="00A50887"/>
    <w:rsid w:val="00A51C66"/>
    <w:rsid w:val="00A52935"/>
    <w:rsid w:val="00A529F0"/>
    <w:rsid w:val="00A537A5"/>
    <w:rsid w:val="00A53C12"/>
    <w:rsid w:val="00A53F8E"/>
    <w:rsid w:val="00A5530D"/>
    <w:rsid w:val="00A56EDD"/>
    <w:rsid w:val="00A574C4"/>
    <w:rsid w:val="00A57D87"/>
    <w:rsid w:val="00A60C12"/>
    <w:rsid w:val="00A62540"/>
    <w:rsid w:val="00A62861"/>
    <w:rsid w:val="00A64AC4"/>
    <w:rsid w:val="00A650C0"/>
    <w:rsid w:val="00A66DC9"/>
    <w:rsid w:val="00A670F5"/>
    <w:rsid w:val="00A67DF1"/>
    <w:rsid w:val="00A70030"/>
    <w:rsid w:val="00A70EFC"/>
    <w:rsid w:val="00A7174B"/>
    <w:rsid w:val="00A723D9"/>
    <w:rsid w:val="00A77FA1"/>
    <w:rsid w:val="00A801B1"/>
    <w:rsid w:val="00A81FE8"/>
    <w:rsid w:val="00A825BE"/>
    <w:rsid w:val="00A82C0D"/>
    <w:rsid w:val="00A83094"/>
    <w:rsid w:val="00A85252"/>
    <w:rsid w:val="00A8652A"/>
    <w:rsid w:val="00A9053A"/>
    <w:rsid w:val="00A90803"/>
    <w:rsid w:val="00A90B40"/>
    <w:rsid w:val="00A91F2F"/>
    <w:rsid w:val="00A945C4"/>
    <w:rsid w:val="00A94909"/>
    <w:rsid w:val="00A958CE"/>
    <w:rsid w:val="00AA050C"/>
    <w:rsid w:val="00AA20AD"/>
    <w:rsid w:val="00AA248A"/>
    <w:rsid w:val="00AA67AC"/>
    <w:rsid w:val="00AA72E3"/>
    <w:rsid w:val="00AB0283"/>
    <w:rsid w:val="00AB1AF9"/>
    <w:rsid w:val="00AB2332"/>
    <w:rsid w:val="00AB2424"/>
    <w:rsid w:val="00AB30BE"/>
    <w:rsid w:val="00AB3298"/>
    <w:rsid w:val="00AB3C23"/>
    <w:rsid w:val="00AB5503"/>
    <w:rsid w:val="00AB7452"/>
    <w:rsid w:val="00AC02FA"/>
    <w:rsid w:val="00AC0321"/>
    <w:rsid w:val="00AC0FFA"/>
    <w:rsid w:val="00AC1561"/>
    <w:rsid w:val="00AC2B65"/>
    <w:rsid w:val="00AC37C7"/>
    <w:rsid w:val="00AC3BDB"/>
    <w:rsid w:val="00AC40FC"/>
    <w:rsid w:val="00AC5FF5"/>
    <w:rsid w:val="00AC7D37"/>
    <w:rsid w:val="00AD2223"/>
    <w:rsid w:val="00AD3529"/>
    <w:rsid w:val="00AD3A32"/>
    <w:rsid w:val="00AE1E3F"/>
    <w:rsid w:val="00AE1ED0"/>
    <w:rsid w:val="00AE2FD7"/>
    <w:rsid w:val="00AE4364"/>
    <w:rsid w:val="00AE4DE0"/>
    <w:rsid w:val="00AE554B"/>
    <w:rsid w:val="00AE5A38"/>
    <w:rsid w:val="00AE616E"/>
    <w:rsid w:val="00AF03A7"/>
    <w:rsid w:val="00AF0F0D"/>
    <w:rsid w:val="00AF1D62"/>
    <w:rsid w:val="00AF4F5A"/>
    <w:rsid w:val="00AF643B"/>
    <w:rsid w:val="00AF72AD"/>
    <w:rsid w:val="00B0162A"/>
    <w:rsid w:val="00B019A6"/>
    <w:rsid w:val="00B03C2D"/>
    <w:rsid w:val="00B03D9B"/>
    <w:rsid w:val="00B042FC"/>
    <w:rsid w:val="00B072B1"/>
    <w:rsid w:val="00B11D56"/>
    <w:rsid w:val="00B1256E"/>
    <w:rsid w:val="00B131F4"/>
    <w:rsid w:val="00B14FFF"/>
    <w:rsid w:val="00B1536F"/>
    <w:rsid w:val="00B1770C"/>
    <w:rsid w:val="00B179D0"/>
    <w:rsid w:val="00B208FF"/>
    <w:rsid w:val="00B20FE4"/>
    <w:rsid w:val="00B2245E"/>
    <w:rsid w:val="00B2530D"/>
    <w:rsid w:val="00B25372"/>
    <w:rsid w:val="00B26110"/>
    <w:rsid w:val="00B306CB"/>
    <w:rsid w:val="00B31EDA"/>
    <w:rsid w:val="00B32328"/>
    <w:rsid w:val="00B32E69"/>
    <w:rsid w:val="00B3309A"/>
    <w:rsid w:val="00B3476F"/>
    <w:rsid w:val="00B35A94"/>
    <w:rsid w:val="00B36ED0"/>
    <w:rsid w:val="00B40A2A"/>
    <w:rsid w:val="00B411B3"/>
    <w:rsid w:val="00B414C8"/>
    <w:rsid w:val="00B422DA"/>
    <w:rsid w:val="00B42AEA"/>
    <w:rsid w:val="00B43BFB"/>
    <w:rsid w:val="00B44AB5"/>
    <w:rsid w:val="00B452C9"/>
    <w:rsid w:val="00B463D1"/>
    <w:rsid w:val="00B47C78"/>
    <w:rsid w:val="00B5148C"/>
    <w:rsid w:val="00B51947"/>
    <w:rsid w:val="00B52102"/>
    <w:rsid w:val="00B523CF"/>
    <w:rsid w:val="00B54375"/>
    <w:rsid w:val="00B5576D"/>
    <w:rsid w:val="00B559BB"/>
    <w:rsid w:val="00B563A9"/>
    <w:rsid w:val="00B6717D"/>
    <w:rsid w:val="00B67A82"/>
    <w:rsid w:val="00B70299"/>
    <w:rsid w:val="00B705D7"/>
    <w:rsid w:val="00B71B8B"/>
    <w:rsid w:val="00B7299E"/>
    <w:rsid w:val="00B7486F"/>
    <w:rsid w:val="00B74B10"/>
    <w:rsid w:val="00B75E36"/>
    <w:rsid w:val="00B7613F"/>
    <w:rsid w:val="00B76BA6"/>
    <w:rsid w:val="00B7713A"/>
    <w:rsid w:val="00B805F5"/>
    <w:rsid w:val="00B80801"/>
    <w:rsid w:val="00B81475"/>
    <w:rsid w:val="00B82281"/>
    <w:rsid w:val="00B8367C"/>
    <w:rsid w:val="00B83CCC"/>
    <w:rsid w:val="00B84010"/>
    <w:rsid w:val="00B86FA4"/>
    <w:rsid w:val="00B877AD"/>
    <w:rsid w:val="00B87D02"/>
    <w:rsid w:val="00B87E67"/>
    <w:rsid w:val="00B904D2"/>
    <w:rsid w:val="00B91D36"/>
    <w:rsid w:val="00B93227"/>
    <w:rsid w:val="00B95C27"/>
    <w:rsid w:val="00B9624F"/>
    <w:rsid w:val="00B97744"/>
    <w:rsid w:val="00BA001C"/>
    <w:rsid w:val="00BA1C87"/>
    <w:rsid w:val="00BA2FEE"/>
    <w:rsid w:val="00BA4324"/>
    <w:rsid w:val="00BA5614"/>
    <w:rsid w:val="00BA614C"/>
    <w:rsid w:val="00BA644D"/>
    <w:rsid w:val="00BA6F2E"/>
    <w:rsid w:val="00BA6FDE"/>
    <w:rsid w:val="00BA701A"/>
    <w:rsid w:val="00BA71F0"/>
    <w:rsid w:val="00BB04C5"/>
    <w:rsid w:val="00BB0C47"/>
    <w:rsid w:val="00BB2E4B"/>
    <w:rsid w:val="00BB352D"/>
    <w:rsid w:val="00BB665B"/>
    <w:rsid w:val="00BB70B7"/>
    <w:rsid w:val="00BB7765"/>
    <w:rsid w:val="00BC02B1"/>
    <w:rsid w:val="00BC2112"/>
    <w:rsid w:val="00BC2FE5"/>
    <w:rsid w:val="00BC39A5"/>
    <w:rsid w:val="00BC46CC"/>
    <w:rsid w:val="00BC4A07"/>
    <w:rsid w:val="00BC4DA9"/>
    <w:rsid w:val="00BC4EF1"/>
    <w:rsid w:val="00BC52B7"/>
    <w:rsid w:val="00BC54DE"/>
    <w:rsid w:val="00BC56DD"/>
    <w:rsid w:val="00BC5B6D"/>
    <w:rsid w:val="00BC6642"/>
    <w:rsid w:val="00BD0271"/>
    <w:rsid w:val="00BD154F"/>
    <w:rsid w:val="00BD174A"/>
    <w:rsid w:val="00BD1B1F"/>
    <w:rsid w:val="00BD3287"/>
    <w:rsid w:val="00BD33BF"/>
    <w:rsid w:val="00BD3ED3"/>
    <w:rsid w:val="00BD6153"/>
    <w:rsid w:val="00BD6C48"/>
    <w:rsid w:val="00BD7507"/>
    <w:rsid w:val="00BD79B0"/>
    <w:rsid w:val="00BE02D5"/>
    <w:rsid w:val="00BE1CC2"/>
    <w:rsid w:val="00BE2BC1"/>
    <w:rsid w:val="00BE2ED3"/>
    <w:rsid w:val="00BE4E19"/>
    <w:rsid w:val="00BE735E"/>
    <w:rsid w:val="00BE7434"/>
    <w:rsid w:val="00BE767E"/>
    <w:rsid w:val="00BF0196"/>
    <w:rsid w:val="00BF38CC"/>
    <w:rsid w:val="00BF3C55"/>
    <w:rsid w:val="00BF590E"/>
    <w:rsid w:val="00BF638E"/>
    <w:rsid w:val="00BF63E2"/>
    <w:rsid w:val="00BF78CE"/>
    <w:rsid w:val="00BF7D0F"/>
    <w:rsid w:val="00C01E66"/>
    <w:rsid w:val="00C023CE"/>
    <w:rsid w:val="00C02982"/>
    <w:rsid w:val="00C0371D"/>
    <w:rsid w:val="00C03B02"/>
    <w:rsid w:val="00C03F04"/>
    <w:rsid w:val="00C0746F"/>
    <w:rsid w:val="00C10005"/>
    <w:rsid w:val="00C11F4E"/>
    <w:rsid w:val="00C12B5E"/>
    <w:rsid w:val="00C12CD7"/>
    <w:rsid w:val="00C153CD"/>
    <w:rsid w:val="00C157CD"/>
    <w:rsid w:val="00C15A55"/>
    <w:rsid w:val="00C17E0E"/>
    <w:rsid w:val="00C20AB1"/>
    <w:rsid w:val="00C20CEA"/>
    <w:rsid w:val="00C21CBD"/>
    <w:rsid w:val="00C227DC"/>
    <w:rsid w:val="00C23953"/>
    <w:rsid w:val="00C2598F"/>
    <w:rsid w:val="00C27FF9"/>
    <w:rsid w:val="00C301B4"/>
    <w:rsid w:val="00C313F1"/>
    <w:rsid w:val="00C32674"/>
    <w:rsid w:val="00C3276A"/>
    <w:rsid w:val="00C34091"/>
    <w:rsid w:val="00C352EF"/>
    <w:rsid w:val="00C35647"/>
    <w:rsid w:val="00C373BB"/>
    <w:rsid w:val="00C37874"/>
    <w:rsid w:val="00C41901"/>
    <w:rsid w:val="00C423C0"/>
    <w:rsid w:val="00C424F8"/>
    <w:rsid w:val="00C42645"/>
    <w:rsid w:val="00C448D2"/>
    <w:rsid w:val="00C459A1"/>
    <w:rsid w:val="00C46C4B"/>
    <w:rsid w:val="00C5038D"/>
    <w:rsid w:val="00C51D01"/>
    <w:rsid w:val="00C5237F"/>
    <w:rsid w:val="00C524D3"/>
    <w:rsid w:val="00C52B3F"/>
    <w:rsid w:val="00C53B30"/>
    <w:rsid w:val="00C55347"/>
    <w:rsid w:val="00C5576D"/>
    <w:rsid w:val="00C561F0"/>
    <w:rsid w:val="00C56646"/>
    <w:rsid w:val="00C56E69"/>
    <w:rsid w:val="00C57ABE"/>
    <w:rsid w:val="00C615F8"/>
    <w:rsid w:val="00C62567"/>
    <w:rsid w:val="00C62B14"/>
    <w:rsid w:val="00C62D39"/>
    <w:rsid w:val="00C630BF"/>
    <w:rsid w:val="00C630FB"/>
    <w:rsid w:val="00C63F4F"/>
    <w:rsid w:val="00C64FA2"/>
    <w:rsid w:val="00C65C28"/>
    <w:rsid w:val="00C67763"/>
    <w:rsid w:val="00C70017"/>
    <w:rsid w:val="00C701A2"/>
    <w:rsid w:val="00C70560"/>
    <w:rsid w:val="00C73126"/>
    <w:rsid w:val="00C73199"/>
    <w:rsid w:val="00C74474"/>
    <w:rsid w:val="00C7472A"/>
    <w:rsid w:val="00C74858"/>
    <w:rsid w:val="00C74B70"/>
    <w:rsid w:val="00C7614C"/>
    <w:rsid w:val="00C81EC7"/>
    <w:rsid w:val="00C82004"/>
    <w:rsid w:val="00C83052"/>
    <w:rsid w:val="00C83BDC"/>
    <w:rsid w:val="00C83C19"/>
    <w:rsid w:val="00C84C25"/>
    <w:rsid w:val="00C85269"/>
    <w:rsid w:val="00C85946"/>
    <w:rsid w:val="00C85CB5"/>
    <w:rsid w:val="00C86C86"/>
    <w:rsid w:val="00C90481"/>
    <w:rsid w:val="00C90CF7"/>
    <w:rsid w:val="00C912C9"/>
    <w:rsid w:val="00C919A6"/>
    <w:rsid w:val="00C929CE"/>
    <w:rsid w:val="00C9314F"/>
    <w:rsid w:val="00C944B8"/>
    <w:rsid w:val="00C94951"/>
    <w:rsid w:val="00C952F6"/>
    <w:rsid w:val="00CA136A"/>
    <w:rsid w:val="00CA2747"/>
    <w:rsid w:val="00CA308E"/>
    <w:rsid w:val="00CA3BDB"/>
    <w:rsid w:val="00CA57E8"/>
    <w:rsid w:val="00CA5DD3"/>
    <w:rsid w:val="00CA6B4D"/>
    <w:rsid w:val="00CA7244"/>
    <w:rsid w:val="00CB0D2A"/>
    <w:rsid w:val="00CB2B2A"/>
    <w:rsid w:val="00CB42B2"/>
    <w:rsid w:val="00CB666B"/>
    <w:rsid w:val="00CB79FB"/>
    <w:rsid w:val="00CC07D6"/>
    <w:rsid w:val="00CC1B9B"/>
    <w:rsid w:val="00CC2437"/>
    <w:rsid w:val="00CC25AC"/>
    <w:rsid w:val="00CC2690"/>
    <w:rsid w:val="00CC3FB0"/>
    <w:rsid w:val="00CC4366"/>
    <w:rsid w:val="00CC4B32"/>
    <w:rsid w:val="00CC4FC5"/>
    <w:rsid w:val="00CC5859"/>
    <w:rsid w:val="00CC5A42"/>
    <w:rsid w:val="00CC794E"/>
    <w:rsid w:val="00CD13C1"/>
    <w:rsid w:val="00CD1DAA"/>
    <w:rsid w:val="00CD1DE8"/>
    <w:rsid w:val="00CD350B"/>
    <w:rsid w:val="00CD5956"/>
    <w:rsid w:val="00CD69A2"/>
    <w:rsid w:val="00CD69AC"/>
    <w:rsid w:val="00CD69C9"/>
    <w:rsid w:val="00CD76B5"/>
    <w:rsid w:val="00CD7F7C"/>
    <w:rsid w:val="00CE0385"/>
    <w:rsid w:val="00CE16CA"/>
    <w:rsid w:val="00CE1D3E"/>
    <w:rsid w:val="00CE284E"/>
    <w:rsid w:val="00CE38BA"/>
    <w:rsid w:val="00CE53FB"/>
    <w:rsid w:val="00CE54F3"/>
    <w:rsid w:val="00CE5A5D"/>
    <w:rsid w:val="00CF0C98"/>
    <w:rsid w:val="00CF101E"/>
    <w:rsid w:val="00CF103A"/>
    <w:rsid w:val="00CF1890"/>
    <w:rsid w:val="00CF21A4"/>
    <w:rsid w:val="00CF3FCE"/>
    <w:rsid w:val="00CF419C"/>
    <w:rsid w:val="00CF4615"/>
    <w:rsid w:val="00CF4AE6"/>
    <w:rsid w:val="00CF53F4"/>
    <w:rsid w:val="00CF67D7"/>
    <w:rsid w:val="00CF6950"/>
    <w:rsid w:val="00CF7706"/>
    <w:rsid w:val="00D00406"/>
    <w:rsid w:val="00D03D6E"/>
    <w:rsid w:val="00D05DA6"/>
    <w:rsid w:val="00D06D3D"/>
    <w:rsid w:val="00D07309"/>
    <w:rsid w:val="00D07588"/>
    <w:rsid w:val="00D10053"/>
    <w:rsid w:val="00D10652"/>
    <w:rsid w:val="00D10F3F"/>
    <w:rsid w:val="00D110E4"/>
    <w:rsid w:val="00D11A37"/>
    <w:rsid w:val="00D1230F"/>
    <w:rsid w:val="00D1332C"/>
    <w:rsid w:val="00D151EA"/>
    <w:rsid w:val="00D15E9A"/>
    <w:rsid w:val="00D1695B"/>
    <w:rsid w:val="00D17972"/>
    <w:rsid w:val="00D2035E"/>
    <w:rsid w:val="00D214E6"/>
    <w:rsid w:val="00D2267E"/>
    <w:rsid w:val="00D22F43"/>
    <w:rsid w:val="00D23D66"/>
    <w:rsid w:val="00D2439F"/>
    <w:rsid w:val="00D25D2C"/>
    <w:rsid w:val="00D26502"/>
    <w:rsid w:val="00D26BC0"/>
    <w:rsid w:val="00D26CA1"/>
    <w:rsid w:val="00D31B93"/>
    <w:rsid w:val="00D3216F"/>
    <w:rsid w:val="00D33CE9"/>
    <w:rsid w:val="00D3403A"/>
    <w:rsid w:val="00D34C7B"/>
    <w:rsid w:val="00D35882"/>
    <w:rsid w:val="00D35FB8"/>
    <w:rsid w:val="00D3601D"/>
    <w:rsid w:val="00D360FF"/>
    <w:rsid w:val="00D36A35"/>
    <w:rsid w:val="00D41AD0"/>
    <w:rsid w:val="00D42475"/>
    <w:rsid w:val="00D42929"/>
    <w:rsid w:val="00D42E1C"/>
    <w:rsid w:val="00D42E4E"/>
    <w:rsid w:val="00D44863"/>
    <w:rsid w:val="00D44A39"/>
    <w:rsid w:val="00D44CAA"/>
    <w:rsid w:val="00D45505"/>
    <w:rsid w:val="00D45F06"/>
    <w:rsid w:val="00D46D8B"/>
    <w:rsid w:val="00D46F81"/>
    <w:rsid w:val="00D50A69"/>
    <w:rsid w:val="00D50EC3"/>
    <w:rsid w:val="00D51002"/>
    <w:rsid w:val="00D52091"/>
    <w:rsid w:val="00D52196"/>
    <w:rsid w:val="00D5268A"/>
    <w:rsid w:val="00D529E6"/>
    <w:rsid w:val="00D540A4"/>
    <w:rsid w:val="00D5412E"/>
    <w:rsid w:val="00D54A72"/>
    <w:rsid w:val="00D56CDC"/>
    <w:rsid w:val="00D57C3B"/>
    <w:rsid w:val="00D605C1"/>
    <w:rsid w:val="00D6083E"/>
    <w:rsid w:val="00D60E6D"/>
    <w:rsid w:val="00D61A4F"/>
    <w:rsid w:val="00D62FF7"/>
    <w:rsid w:val="00D63B2E"/>
    <w:rsid w:val="00D663F9"/>
    <w:rsid w:val="00D67C0F"/>
    <w:rsid w:val="00D67C17"/>
    <w:rsid w:val="00D735A4"/>
    <w:rsid w:val="00D73F07"/>
    <w:rsid w:val="00D75ADF"/>
    <w:rsid w:val="00D75AFA"/>
    <w:rsid w:val="00D75CF6"/>
    <w:rsid w:val="00D77389"/>
    <w:rsid w:val="00D801C7"/>
    <w:rsid w:val="00D81268"/>
    <w:rsid w:val="00D818AD"/>
    <w:rsid w:val="00D822B6"/>
    <w:rsid w:val="00D837E6"/>
    <w:rsid w:val="00D84DBA"/>
    <w:rsid w:val="00D856BA"/>
    <w:rsid w:val="00D859FC"/>
    <w:rsid w:val="00D8791E"/>
    <w:rsid w:val="00D87976"/>
    <w:rsid w:val="00D904A6"/>
    <w:rsid w:val="00D918CE"/>
    <w:rsid w:val="00D928AA"/>
    <w:rsid w:val="00D93950"/>
    <w:rsid w:val="00D94F0B"/>
    <w:rsid w:val="00D969AE"/>
    <w:rsid w:val="00DA03C6"/>
    <w:rsid w:val="00DA0E9D"/>
    <w:rsid w:val="00DA1CE8"/>
    <w:rsid w:val="00DA57A3"/>
    <w:rsid w:val="00DA587D"/>
    <w:rsid w:val="00DA5FCE"/>
    <w:rsid w:val="00DA61EC"/>
    <w:rsid w:val="00DA7A54"/>
    <w:rsid w:val="00DA7D21"/>
    <w:rsid w:val="00DA7D6D"/>
    <w:rsid w:val="00DB0C70"/>
    <w:rsid w:val="00DB0F22"/>
    <w:rsid w:val="00DB1214"/>
    <w:rsid w:val="00DB160A"/>
    <w:rsid w:val="00DB3577"/>
    <w:rsid w:val="00DB58E4"/>
    <w:rsid w:val="00DB59D3"/>
    <w:rsid w:val="00DB5EBE"/>
    <w:rsid w:val="00DB7CBC"/>
    <w:rsid w:val="00DB7CE1"/>
    <w:rsid w:val="00DC051F"/>
    <w:rsid w:val="00DC1D2D"/>
    <w:rsid w:val="00DC4E04"/>
    <w:rsid w:val="00DC5794"/>
    <w:rsid w:val="00DC61D3"/>
    <w:rsid w:val="00DC68AC"/>
    <w:rsid w:val="00DD01BC"/>
    <w:rsid w:val="00DD14A2"/>
    <w:rsid w:val="00DD1FA2"/>
    <w:rsid w:val="00DD2818"/>
    <w:rsid w:val="00DD2E14"/>
    <w:rsid w:val="00DD378E"/>
    <w:rsid w:val="00DD3C5D"/>
    <w:rsid w:val="00DD41E4"/>
    <w:rsid w:val="00DD5811"/>
    <w:rsid w:val="00DD5F84"/>
    <w:rsid w:val="00DD6AF7"/>
    <w:rsid w:val="00DD775D"/>
    <w:rsid w:val="00DE1999"/>
    <w:rsid w:val="00DE4F16"/>
    <w:rsid w:val="00DE58BA"/>
    <w:rsid w:val="00DF00F8"/>
    <w:rsid w:val="00DF36E7"/>
    <w:rsid w:val="00DF443C"/>
    <w:rsid w:val="00DF448E"/>
    <w:rsid w:val="00E0191C"/>
    <w:rsid w:val="00E019D3"/>
    <w:rsid w:val="00E01A5A"/>
    <w:rsid w:val="00E022BA"/>
    <w:rsid w:val="00E03314"/>
    <w:rsid w:val="00E0402C"/>
    <w:rsid w:val="00E06BDC"/>
    <w:rsid w:val="00E1045D"/>
    <w:rsid w:val="00E10C08"/>
    <w:rsid w:val="00E11F21"/>
    <w:rsid w:val="00E124D7"/>
    <w:rsid w:val="00E129C3"/>
    <w:rsid w:val="00E142EC"/>
    <w:rsid w:val="00E15AB5"/>
    <w:rsid w:val="00E15C71"/>
    <w:rsid w:val="00E165D9"/>
    <w:rsid w:val="00E17F9C"/>
    <w:rsid w:val="00E21118"/>
    <w:rsid w:val="00E2192E"/>
    <w:rsid w:val="00E21F0C"/>
    <w:rsid w:val="00E22CD1"/>
    <w:rsid w:val="00E24286"/>
    <w:rsid w:val="00E260E5"/>
    <w:rsid w:val="00E272F5"/>
    <w:rsid w:val="00E27BD6"/>
    <w:rsid w:val="00E319FB"/>
    <w:rsid w:val="00E33A05"/>
    <w:rsid w:val="00E36969"/>
    <w:rsid w:val="00E409CC"/>
    <w:rsid w:val="00E40BBB"/>
    <w:rsid w:val="00E40DF6"/>
    <w:rsid w:val="00E4123B"/>
    <w:rsid w:val="00E412AB"/>
    <w:rsid w:val="00E41F64"/>
    <w:rsid w:val="00E44962"/>
    <w:rsid w:val="00E44CC0"/>
    <w:rsid w:val="00E45535"/>
    <w:rsid w:val="00E47A2F"/>
    <w:rsid w:val="00E47B23"/>
    <w:rsid w:val="00E5067A"/>
    <w:rsid w:val="00E51B08"/>
    <w:rsid w:val="00E51FF4"/>
    <w:rsid w:val="00E522B4"/>
    <w:rsid w:val="00E52CD3"/>
    <w:rsid w:val="00E551B0"/>
    <w:rsid w:val="00E55765"/>
    <w:rsid w:val="00E55BAC"/>
    <w:rsid w:val="00E572E7"/>
    <w:rsid w:val="00E6069E"/>
    <w:rsid w:val="00E6558C"/>
    <w:rsid w:val="00E65DC3"/>
    <w:rsid w:val="00E67370"/>
    <w:rsid w:val="00E675CA"/>
    <w:rsid w:val="00E71F3F"/>
    <w:rsid w:val="00E72449"/>
    <w:rsid w:val="00E74F3A"/>
    <w:rsid w:val="00E76409"/>
    <w:rsid w:val="00E77F8E"/>
    <w:rsid w:val="00E80CB5"/>
    <w:rsid w:val="00E812CF"/>
    <w:rsid w:val="00E815E9"/>
    <w:rsid w:val="00E82B53"/>
    <w:rsid w:val="00E86B97"/>
    <w:rsid w:val="00E87191"/>
    <w:rsid w:val="00E903E2"/>
    <w:rsid w:val="00E919CB"/>
    <w:rsid w:val="00E91F2A"/>
    <w:rsid w:val="00E9263E"/>
    <w:rsid w:val="00E96030"/>
    <w:rsid w:val="00E96D0E"/>
    <w:rsid w:val="00E97643"/>
    <w:rsid w:val="00EA0AD2"/>
    <w:rsid w:val="00EA103B"/>
    <w:rsid w:val="00EA22EA"/>
    <w:rsid w:val="00EA2921"/>
    <w:rsid w:val="00EA2937"/>
    <w:rsid w:val="00EA3124"/>
    <w:rsid w:val="00EA43D3"/>
    <w:rsid w:val="00EA5742"/>
    <w:rsid w:val="00EA6B38"/>
    <w:rsid w:val="00EB0706"/>
    <w:rsid w:val="00EB08C6"/>
    <w:rsid w:val="00EB1D19"/>
    <w:rsid w:val="00EB3151"/>
    <w:rsid w:val="00EB3207"/>
    <w:rsid w:val="00EB3FA5"/>
    <w:rsid w:val="00EB6006"/>
    <w:rsid w:val="00EB6264"/>
    <w:rsid w:val="00EB6770"/>
    <w:rsid w:val="00EB6BC8"/>
    <w:rsid w:val="00EB71F2"/>
    <w:rsid w:val="00EC053E"/>
    <w:rsid w:val="00EC20DC"/>
    <w:rsid w:val="00EC2736"/>
    <w:rsid w:val="00EC2994"/>
    <w:rsid w:val="00EC4D70"/>
    <w:rsid w:val="00EC52A1"/>
    <w:rsid w:val="00EC6328"/>
    <w:rsid w:val="00EC699E"/>
    <w:rsid w:val="00EC6BD1"/>
    <w:rsid w:val="00ED1984"/>
    <w:rsid w:val="00ED1B7E"/>
    <w:rsid w:val="00ED42A9"/>
    <w:rsid w:val="00ED69FB"/>
    <w:rsid w:val="00ED6C86"/>
    <w:rsid w:val="00ED6D61"/>
    <w:rsid w:val="00EE25E5"/>
    <w:rsid w:val="00EE458D"/>
    <w:rsid w:val="00EE4CE3"/>
    <w:rsid w:val="00EE6F11"/>
    <w:rsid w:val="00EE7D5A"/>
    <w:rsid w:val="00EF0BFA"/>
    <w:rsid w:val="00EF0D30"/>
    <w:rsid w:val="00EF183C"/>
    <w:rsid w:val="00EF2CE2"/>
    <w:rsid w:val="00EF3BDF"/>
    <w:rsid w:val="00EF4B86"/>
    <w:rsid w:val="00EF6212"/>
    <w:rsid w:val="00EF662B"/>
    <w:rsid w:val="00EF6680"/>
    <w:rsid w:val="00EF6CB2"/>
    <w:rsid w:val="00F0088E"/>
    <w:rsid w:val="00F0091A"/>
    <w:rsid w:val="00F0169E"/>
    <w:rsid w:val="00F024C6"/>
    <w:rsid w:val="00F02A41"/>
    <w:rsid w:val="00F02F85"/>
    <w:rsid w:val="00F03CD4"/>
    <w:rsid w:val="00F0422A"/>
    <w:rsid w:val="00F07C3C"/>
    <w:rsid w:val="00F1163B"/>
    <w:rsid w:val="00F1219C"/>
    <w:rsid w:val="00F12852"/>
    <w:rsid w:val="00F13287"/>
    <w:rsid w:val="00F1589B"/>
    <w:rsid w:val="00F15D03"/>
    <w:rsid w:val="00F1672B"/>
    <w:rsid w:val="00F20284"/>
    <w:rsid w:val="00F20F25"/>
    <w:rsid w:val="00F21F04"/>
    <w:rsid w:val="00F23255"/>
    <w:rsid w:val="00F23E86"/>
    <w:rsid w:val="00F256AE"/>
    <w:rsid w:val="00F27665"/>
    <w:rsid w:val="00F3046B"/>
    <w:rsid w:val="00F3143C"/>
    <w:rsid w:val="00F31D07"/>
    <w:rsid w:val="00F3214B"/>
    <w:rsid w:val="00F33335"/>
    <w:rsid w:val="00F33A0C"/>
    <w:rsid w:val="00F379A7"/>
    <w:rsid w:val="00F402C1"/>
    <w:rsid w:val="00F40809"/>
    <w:rsid w:val="00F408A8"/>
    <w:rsid w:val="00F410D1"/>
    <w:rsid w:val="00F437A1"/>
    <w:rsid w:val="00F440DB"/>
    <w:rsid w:val="00F4632E"/>
    <w:rsid w:val="00F46929"/>
    <w:rsid w:val="00F47A32"/>
    <w:rsid w:val="00F50292"/>
    <w:rsid w:val="00F50712"/>
    <w:rsid w:val="00F50D5A"/>
    <w:rsid w:val="00F5107D"/>
    <w:rsid w:val="00F53F44"/>
    <w:rsid w:val="00F54963"/>
    <w:rsid w:val="00F55AA6"/>
    <w:rsid w:val="00F56837"/>
    <w:rsid w:val="00F56A7D"/>
    <w:rsid w:val="00F56FC3"/>
    <w:rsid w:val="00F57DA6"/>
    <w:rsid w:val="00F60C79"/>
    <w:rsid w:val="00F60DFB"/>
    <w:rsid w:val="00F610D6"/>
    <w:rsid w:val="00F6184B"/>
    <w:rsid w:val="00F62267"/>
    <w:rsid w:val="00F630B8"/>
    <w:rsid w:val="00F636EE"/>
    <w:rsid w:val="00F63D9E"/>
    <w:rsid w:val="00F649AD"/>
    <w:rsid w:val="00F66DD5"/>
    <w:rsid w:val="00F673D8"/>
    <w:rsid w:val="00F674B5"/>
    <w:rsid w:val="00F7014F"/>
    <w:rsid w:val="00F7046C"/>
    <w:rsid w:val="00F71146"/>
    <w:rsid w:val="00F72345"/>
    <w:rsid w:val="00F73D9A"/>
    <w:rsid w:val="00F76050"/>
    <w:rsid w:val="00F763E9"/>
    <w:rsid w:val="00F769DA"/>
    <w:rsid w:val="00F77E36"/>
    <w:rsid w:val="00F77FEC"/>
    <w:rsid w:val="00F816A4"/>
    <w:rsid w:val="00F81BE3"/>
    <w:rsid w:val="00F82A9A"/>
    <w:rsid w:val="00F83312"/>
    <w:rsid w:val="00F844BB"/>
    <w:rsid w:val="00F87546"/>
    <w:rsid w:val="00F8783F"/>
    <w:rsid w:val="00F901F0"/>
    <w:rsid w:val="00F90ED4"/>
    <w:rsid w:val="00F90EF9"/>
    <w:rsid w:val="00F91070"/>
    <w:rsid w:val="00F91439"/>
    <w:rsid w:val="00F9329B"/>
    <w:rsid w:val="00F94DB8"/>
    <w:rsid w:val="00F95563"/>
    <w:rsid w:val="00F95AD3"/>
    <w:rsid w:val="00F962D8"/>
    <w:rsid w:val="00F96688"/>
    <w:rsid w:val="00F968EC"/>
    <w:rsid w:val="00F97D25"/>
    <w:rsid w:val="00FA26E3"/>
    <w:rsid w:val="00FA2E23"/>
    <w:rsid w:val="00FA30B2"/>
    <w:rsid w:val="00FA3210"/>
    <w:rsid w:val="00FA45D5"/>
    <w:rsid w:val="00FA6B47"/>
    <w:rsid w:val="00FA6D8B"/>
    <w:rsid w:val="00FA75A6"/>
    <w:rsid w:val="00FA76D1"/>
    <w:rsid w:val="00FB1089"/>
    <w:rsid w:val="00FB2238"/>
    <w:rsid w:val="00FB4000"/>
    <w:rsid w:val="00FB41F5"/>
    <w:rsid w:val="00FB46BF"/>
    <w:rsid w:val="00FB7FEF"/>
    <w:rsid w:val="00FC0334"/>
    <w:rsid w:val="00FC20FB"/>
    <w:rsid w:val="00FC3317"/>
    <w:rsid w:val="00FC3F2B"/>
    <w:rsid w:val="00FC4FDD"/>
    <w:rsid w:val="00FC73D2"/>
    <w:rsid w:val="00FD13ED"/>
    <w:rsid w:val="00FD14CF"/>
    <w:rsid w:val="00FD1FCD"/>
    <w:rsid w:val="00FD4791"/>
    <w:rsid w:val="00FD5611"/>
    <w:rsid w:val="00FD5BA7"/>
    <w:rsid w:val="00FE1A2A"/>
    <w:rsid w:val="00FE2118"/>
    <w:rsid w:val="00FE2BF9"/>
    <w:rsid w:val="00FE40D9"/>
    <w:rsid w:val="00FE63F3"/>
    <w:rsid w:val="00FE7DC4"/>
    <w:rsid w:val="00FF01BB"/>
    <w:rsid w:val="00FF0A04"/>
    <w:rsid w:val="00FF128F"/>
    <w:rsid w:val="00FF1DA4"/>
    <w:rsid w:val="00FF2C54"/>
    <w:rsid w:val="00FF5D90"/>
    <w:rsid w:val="00FF6367"/>
    <w:rsid w:val="00FF64A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1" w:qFormat="1"/>
    <w:lsdException w:name="heading 4" w:uiPriority="9"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5281"/>
    <w:pPr>
      <w:spacing w:after="120"/>
      <w:jc w:val="both"/>
    </w:pPr>
    <w:rPr>
      <w:rFonts w:ascii="Arial" w:hAnsi="Arial"/>
      <w:sz w:val="24"/>
      <w:szCs w:val="22"/>
    </w:rPr>
  </w:style>
  <w:style w:type="paragraph" w:styleId="Heading1">
    <w:name w:val="heading 1"/>
    <w:basedOn w:val="Heading10"/>
    <w:next w:val="Normal"/>
    <w:link w:val="Heading1Char"/>
    <w:uiPriority w:val="1"/>
    <w:qFormat/>
    <w:rsid w:val="00571AD4"/>
    <w:pPr>
      <w:numPr>
        <w:numId w:val="92"/>
      </w:numPr>
      <w:outlineLvl w:val="0"/>
    </w:pPr>
  </w:style>
  <w:style w:type="paragraph" w:styleId="Heading20">
    <w:name w:val="heading 2"/>
    <w:basedOn w:val="Normal"/>
    <w:next w:val="Normal"/>
    <w:link w:val="Heading2Char"/>
    <w:uiPriority w:val="9"/>
    <w:qFormat/>
    <w:rsid w:val="009B4760"/>
    <w:pPr>
      <w:numPr>
        <w:ilvl w:val="1"/>
        <w:numId w:val="7"/>
      </w:numPr>
      <w:tabs>
        <w:tab w:val="left" w:pos="720"/>
      </w:tabs>
      <w:spacing w:after="0"/>
      <w:outlineLvl w:val="1"/>
    </w:pPr>
    <w:rPr>
      <w:b/>
      <w:smallCaps/>
      <w:szCs w:val="20"/>
    </w:rPr>
  </w:style>
  <w:style w:type="paragraph" w:styleId="Heading3">
    <w:name w:val="heading 3"/>
    <w:basedOn w:val="Normal"/>
    <w:next w:val="Normal"/>
    <w:link w:val="Heading3Char"/>
    <w:uiPriority w:val="1"/>
    <w:qFormat/>
    <w:rsid w:val="009B4760"/>
    <w:pPr>
      <w:numPr>
        <w:ilvl w:val="2"/>
        <w:numId w:val="7"/>
      </w:numPr>
      <w:tabs>
        <w:tab w:val="left" w:pos="720"/>
      </w:tabs>
      <w:spacing w:after="0"/>
      <w:outlineLvl w:val="2"/>
    </w:pPr>
    <w:rPr>
      <w:b/>
      <w:szCs w:val="20"/>
    </w:rPr>
  </w:style>
  <w:style w:type="paragraph" w:styleId="Heading4">
    <w:name w:val="heading 4"/>
    <w:basedOn w:val="Normal"/>
    <w:next w:val="Normal"/>
    <w:link w:val="Heading4Char"/>
    <w:uiPriority w:val="9"/>
    <w:qFormat/>
    <w:rsid w:val="009B4760"/>
    <w:pPr>
      <w:numPr>
        <w:ilvl w:val="3"/>
        <w:numId w:val="7"/>
      </w:numPr>
      <w:tabs>
        <w:tab w:val="left" w:pos="720"/>
      </w:tabs>
      <w:spacing w:after="0"/>
      <w:outlineLvl w:val="3"/>
    </w:pPr>
    <w:rPr>
      <w:b/>
      <w:szCs w:val="20"/>
    </w:rPr>
  </w:style>
  <w:style w:type="paragraph" w:styleId="Heading5">
    <w:name w:val="heading 5"/>
    <w:basedOn w:val="Normal"/>
    <w:next w:val="Normal"/>
    <w:link w:val="Heading5Char"/>
    <w:uiPriority w:val="9"/>
    <w:qFormat/>
    <w:rsid w:val="009B4760"/>
    <w:pPr>
      <w:numPr>
        <w:ilvl w:val="4"/>
        <w:numId w:val="7"/>
      </w:numPr>
      <w:tabs>
        <w:tab w:val="left" w:pos="720"/>
      </w:tabs>
      <w:spacing w:after="0"/>
      <w:ind w:left="2160"/>
      <w:outlineLvl w:val="4"/>
    </w:pPr>
    <w:rPr>
      <w:b/>
      <w:szCs w:val="20"/>
    </w:rPr>
  </w:style>
  <w:style w:type="paragraph" w:styleId="Heading6">
    <w:name w:val="heading 6"/>
    <w:basedOn w:val="Normal"/>
    <w:next w:val="Normal"/>
    <w:link w:val="Heading6Char"/>
    <w:uiPriority w:val="9"/>
    <w:unhideWhenUsed/>
    <w:rsid w:val="0095125D"/>
    <w:pPr>
      <w:keepNext/>
      <w:keepLines/>
      <w:numPr>
        <w:numId w:val="116"/>
      </w:numPr>
      <w:spacing w:before="180" w:after="60"/>
      <w:ind w:left="360"/>
      <w:jc w:val="center"/>
      <w:outlineLvl w:val="5"/>
    </w:pPr>
    <w:rPr>
      <w:rFonts w:ascii="Arial Bold" w:eastAsiaTheme="majorEastAsia" w:hAnsi="Arial Bold" w:cstheme="majorBidi"/>
      <w:b/>
      <w:caps/>
      <w:sz w:val="28"/>
    </w:rPr>
  </w:style>
  <w:style w:type="paragraph" w:styleId="Heading7">
    <w:name w:val="heading 7"/>
    <w:basedOn w:val="Heading10"/>
    <w:next w:val="Normal"/>
    <w:link w:val="Heading7Char"/>
    <w:uiPriority w:val="9"/>
    <w:unhideWhenUsed/>
    <w:qFormat/>
    <w:rsid w:val="000E2E67"/>
    <w:pPr>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63E9"/>
    <w:pPr>
      <w:ind w:left="720"/>
      <w:contextualSpacing/>
    </w:pPr>
  </w:style>
  <w:style w:type="table" w:styleId="TableGrid">
    <w:name w:val="Table Grid"/>
    <w:basedOn w:val="TableNormal"/>
    <w:uiPriority w:val="59"/>
    <w:rsid w:val="00B840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Title page,h,Header 1,Section Header,hd"/>
    <w:basedOn w:val="Normal"/>
    <w:link w:val="HeaderChar"/>
    <w:uiPriority w:val="99"/>
    <w:unhideWhenUsed/>
    <w:rsid w:val="00B84010"/>
    <w:pPr>
      <w:tabs>
        <w:tab w:val="center" w:pos="4680"/>
        <w:tab w:val="right" w:pos="9360"/>
      </w:tabs>
      <w:spacing w:after="0"/>
    </w:pPr>
    <w:rPr>
      <w:szCs w:val="20"/>
    </w:rPr>
  </w:style>
  <w:style w:type="character" w:customStyle="1" w:styleId="HeaderChar">
    <w:name w:val="Header Char"/>
    <w:aliases w:val="Title page Char,h Char,Header 1 Char,Section Header Char,hd Char"/>
    <w:link w:val="Header"/>
    <w:uiPriority w:val="99"/>
    <w:locked/>
    <w:rsid w:val="00B84010"/>
    <w:rPr>
      <w:rFonts w:ascii="Arial" w:hAnsi="Arial"/>
      <w:sz w:val="24"/>
    </w:rPr>
  </w:style>
  <w:style w:type="paragraph" w:styleId="Footer">
    <w:name w:val="footer"/>
    <w:basedOn w:val="Normal"/>
    <w:link w:val="FooterChar"/>
    <w:uiPriority w:val="99"/>
    <w:unhideWhenUsed/>
    <w:rsid w:val="00B84010"/>
    <w:pPr>
      <w:tabs>
        <w:tab w:val="center" w:pos="4680"/>
        <w:tab w:val="right" w:pos="9360"/>
      </w:tabs>
      <w:spacing w:after="0"/>
    </w:pPr>
    <w:rPr>
      <w:szCs w:val="20"/>
    </w:rPr>
  </w:style>
  <w:style w:type="character" w:customStyle="1" w:styleId="FooterChar">
    <w:name w:val="Footer Char"/>
    <w:link w:val="Footer"/>
    <w:uiPriority w:val="99"/>
    <w:locked/>
    <w:rsid w:val="00B84010"/>
    <w:rPr>
      <w:rFonts w:ascii="Arial" w:hAnsi="Arial"/>
      <w:sz w:val="24"/>
    </w:rPr>
  </w:style>
  <w:style w:type="paragraph" w:styleId="BalloonText">
    <w:name w:val="Balloon Text"/>
    <w:basedOn w:val="Normal"/>
    <w:link w:val="BalloonTextChar"/>
    <w:uiPriority w:val="99"/>
    <w:semiHidden/>
    <w:unhideWhenUsed/>
    <w:rsid w:val="00B84010"/>
    <w:pPr>
      <w:spacing w:after="0"/>
    </w:pPr>
    <w:rPr>
      <w:rFonts w:ascii="Tahoma" w:hAnsi="Tahoma"/>
      <w:sz w:val="16"/>
      <w:szCs w:val="20"/>
    </w:rPr>
  </w:style>
  <w:style w:type="character" w:customStyle="1" w:styleId="BalloonTextChar">
    <w:name w:val="Balloon Text Char"/>
    <w:link w:val="BalloonText"/>
    <w:uiPriority w:val="99"/>
    <w:semiHidden/>
    <w:locked/>
    <w:rsid w:val="00B84010"/>
    <w:rPr>
      <w:rFonts w:ascii="Tahoma" w:hAnsi="Tahoma"/>
      <w:sz w:val="16"/>
    </w:rPr>
  </w:style>
  <w:style w:type="character" w:styleId="CommentReference">
    <w:name w:val="annotation reference"/>
    <w:uiPriority w:val="99"/>
    <w:semiHidden/>
    <w:unhideWhenUsed/>
    <w:rsid w:val="00EA2937"/>
    <w:rPr>
      <w:sz w:val="16"/>
      <w:szCs w:val="16"/>
    </w:rPr>
  </w:style>
  <w:style w:type="paragraph" w:styleId="CommentText">
    <w:name w:val="annotation text"/>
    <w:basedOn w:val="Normal"/>
    <w:link w:val="CommentTextChar"/>
    <w:uiPriority w:val="99"/>
    <w:unhideWhenUsed/>
    <w:rsid w:val="00EA2937"/>
    <w:rPr>
      <w:sz w:val="20"/>
      <w:szCs w:val="20"/>
    </w:rPr>
  </w:style>
  <w:style w:type="character" w:customStyle="1" w:styleId="CommentTextChar">
    <w:name w:val="Comment Text Char"/>
    <w:link w:val="CommentText"/>
    <w:uiPriority w:val="99"/>
    <w:rsid w:val="00EA2937"/>
    <w:rPr>
      <w:rFonts w:ascii="Arial" w:hAnsi="Arial"/>
    </w:rPr>
  </w:style>
  <w:style w:type="paragraph" w:styleId="CommentSubject">
    <w:name w:val="annotation subject"/>
    <w:basedOn w:val="CommentText"/>
    <w:next w:val="CommentText"/>
    <w:link w:val="CommentSubjectChar"/>
    <w:uiPriority w:val="99"/>
    <w:semiHidden/>
    <w:unhideWhenUsed/>
    <w:rsid w:val="00EA2937"/>
    <w:rPr>
      <w:b/>
      <w:bCs/>
    </w:rPr>
  </w:style>
  <w:style w:type="character" w:customStyle="1" w:styleId="CommentSubjectChar">
    <w:name w:val="Comment Subject Char"/>
    <w:link w:val="CommentSubject"/>
    <w:uiPriority w:val="99"/>
    <w:semiHidden/>
    <w:rsid w:val="00EA2937"/>
    <w:rPr>
      <w:rFonts w:ascii="Arial" w:hAnsi="Arial"/>
      <w:b/>
      <w:bCs/>
    </w:rPr>
  </w:style>
  <w:style w:type="paragraph" w:customStyle="1" w:styleId="Heading30">
    <w:name w:val="Heading3"/>
    <w:aliases w:val="Sage Major Side"/>
    <w:basedOn w:val="Normal"/>
    <w:qFormat/>
    <w:rsid w:val="00365E9F"/>
    <w:pPr>
      <w:keepNext/>
      <w:spacing w:before="180" w:after="60"/>
      <w:jc w:val="left"/>
    </w:pPr>
    <w:rPr>
      <w:rFonts w:ascii="Arial Bold" w:hAnsi="Arial Bold"/>
      <w:b/>
      <w:caps/>
    </w:rPr>
  </w:style>
  <w:style w:type="paragraph" w:customStyle="1" w:styleId="Heading2">
    <w:name w:val="Heading2"/>
    <w:aliases w:val="Sage Section Head"/>
    <w:basedOn w:val="ListParagraph"/>
    <w:qFormat/>
    <w:rsid w:val="00925B43"/>
    <w:pPr>
      <w:keepNext/>
      <w:numPr>
        <w:numId w:val="4"/>
      </w:numPr>
      <w:spacing w:before="180" w:after="60"/>
      <w:contextualSpacing w:val="0"/>
      <w:jc w:val="center"/>
    </w:pPr>
    <w:rPr>
      <w:rFonts w:ascii="Arial Bold" w:hAnsi="Arial Bold"/>
      <w:b/>
      <w:caps/>
      <w:sz w:val="28"/>
      <w:szCs w:val="28"/>
    </w:rPr>
  </w:style>
  <w:style w:type="paragraph" w:customStyle="1" w:styleId="Heading10">
    <w:name w:val="Heading1"/>
    <w:aliases w:val="Sage Chapter Title"/>
    <w:basedOn w:val="ListParagraph"/>
    <w:qFormat/>
    <w:rsid w:val="008305C3"/>
    <w:pPr>
      <w:pageBreakBefore/>
      <w:pBdr>
        <w:bottom w:val="single" w:sz="24" w:space="2" w:color="A5CD7E"/>
      </w:pBdr>
      <w:ind w:left="0"/>
      <w:contextualSpacing w:val="0"/>
      <w:jc w:val="center"/>
    </w:pPr>
    <w:rPr>
      <w:rFonts w:ascii="Arial Bold" w:hAnsi="Arial Bold"/>
      <w:b/>
      <w:caps/>
      <w:sz w:val="32"/>
      <w:szCs w:val="32"/>
    </w:rPr>
  </w:style>
  <w:style w:type="paragraph" w:customStyle="1" w:styleId="Heading40">
    <w:name w:val="Heading4"/>
    <w:aliases w:val="Sage Minor Side"/>
    <w:basedOn w:val="Normal"/>
    <w:qFormat/>
    <w:rsid w:val="005740A9"/>
    <w:pPr>
      <w:keepNext/>
      <w:spacing w:before="180" w:after="60"/>
      <w:jc w:val="left"/>
    </w:pPr>
    <w:rPr>
      <w:b/>
    </w:rPr>
  </w:style>
  <w:style w:type="paragraph" w:customStyle="1" w:styleId="Quotation-Sage">
    <w:name w:val="Quotation-Sage"/>
    <w:basedOn w:val="Normal"/>
    <w:qFormat/>
    <w:rsid w:val="00845591"/>
    <w:pPr>
      <w:ind w:left="720"/>
    </w:pPr>
    <w:rPr>
      <w:i/>
    </w:rPr>
  </w:style>
  <w:style w:type="paragraph" w:customStyle="1" w:styleId="Bullet">
    <w:name w:val="Bullet"/>
    <w:basedOn w:val="ListParagraph"/>
    <w:qFormat/>
    <w:rsid w:val="00845591"/>
    <w:pPr>
      <w:numPr>
        <w:numId w:val="1"/>
      </w:numPr>
      <w:spacing w:after="60"/>
      <w:contextualSpacing w:val="0"/>
    </w:pPr>
  </w:style>
  <w:style w:type="paragraph" w:customStyle="1" w:styleId="Bullet-indent1">
    <w:name w:val="Bullet-indent1"/>
    <w:basedOn w:val="ListParagraph"/>
    <w:qFormat/>
    <w:rsid w:val="00845591"/>
    <w:pPr>
      <w:numPr>
        <w:numId w:val="2"/>
      </w:numPr>
      <w:spacing w:after="60"/>
      <w:contextualSpacing w:val="0"/>
    </w:pPr>
  </w:style>
  <w:style w:type="paragraph" w:styleId="Title">
    <w:name w:val="Title"/>
    <w:aliases w:val="exhibit-SAGE"/>
    <w:basedOn w:val="Normal"/>
    <w:next w:val="Normal"/>
    <w:link w:val="TitleChar"/>
    <w:uiPriority w:val="10"/>
    <w:qFormat/>
    <w:rsid w:val="00F77E36"/>
    <w:pPr>
      <w:keepNext/>
      <w:jc w:val="center"/>
    </w:pPr>
    <w:rPr>
      <w:b/>
    </w:rPr>
  </w:style>
  <w:style w:type="character" w:customStyle="1" w:styleId="TitleChar">
    <w:name w:val="Title Char"/>
    <w:aliases w:val="exhibit-SAGE Char"/>
    <w:link w:val="Title"/>
    <w:uiPriority w:val="10"/>
    <w:rsid w:val="00F77E36"/>
    <w:rPr>
      <w:rFonts w:ascii="Arial" w:hAnsi="Arial"/>
      <w:b/>
      <w:sz w:val="24"/>
      <w:szCs w:val="22"/>
    </w:rPr>
  </w:style>
  <w:style w:type="paragraph" w:customStyle="1" w:styleId="Findings">
    <w:name w:val="Findings"/>
    <w:basedOn w:val="ListParagraph"/>
    <w:qFormat/>
    <w:rsid w:val="0049591B"/>
    <w:pPr>
      <w:numPr>
        <w:numId w:val="60"/>
      </w:numPr>
      <w:contextualSpacing w:val="0"/>
    </w:pPr>
    <w:rPr>
      <w:b/>
    </w:rPr>
  </w:style>
  <w:style w:type="paragraph" w:customStyle="1" w:styleId="Bullet-indent2">
    <w:name w:val="Bullet-indent2"/>
    <w:basedOn w:val="ListParagraph"/>
    <w:qFormat/>
    <w:rsid w:val="005C5EA6"/>
    <w:pPr>
      <w:numPr>
        <w:numId w:val="3"/>
      </w:numPr>
      <w:spacing w:after="60"/>
      <w:contextualSpacing w:val="0"/>
    </w:pPr>
  </w:style>
  <w:style w:type="paragraph" w:customStyle="1" w:styleId="Normal-aftertable">
    <w:name w:val="Normal-after table"/>
    <w:basedOn w:val="Normal"/>
    <w:qFormat/>
    <w:rsid w:val="00652B0E"/>
    <w:pPr>
      <w:spacing w:before="120"/>
    </w:pPr>
  </w:style>
  <w:style w:type="paragraph" w:styleId="FootnoteText">
    <w:name w:val="footnote text"/>
    <w:aliases w:val="(NECG) Footnote Text,ALTS FOOTNOTE,AR Footnote Text,fn,FOOTNOTE,Footnote Text Char2,Footnote Text Char Char,Footnote Text Char1 Char Char,Footnote Text Char Char Char Char,Footnote Text Char1 Char Char Char Char,ft Ch"/>
    <w:basedOn w:val="Normal"/>
    <w:link w:val="FootnoteTextChar"/>
    <w:uiPriority w:val="99"/>
    <w:unhideWhenUsed/>
    <w:rsid w:val="00F50292"/>
    <w:pPr>
      <w:spacing w:after="60"/>
    </w:pPr>
    <w:rPr>
      <w:sz w:val="20"/>
      <w:szCs w:val="20"/>
    </w:rPr>
  </w:style>
  <w:style w:type="character" w:customStyle="1" w:styleId="FootnoteTextChar">
    <w:name w:val="Footnote Text Char"/>
    <w:aliases w:val="(NECG) Footnote Text Char,ALTS FOOTNOTE Char,AR Footnote Text Char,fn Char,FOOTNOTE Char,Footnote Text Char2 Char,Footnote Text Char Char Char,Footnote Text Char1 Char Char Char,Footnote Text Char Char Char Char Char,ft Ch Char"/>
    <w:link w:val="FootnoteText"/>
    <w:uiPriority w:val="99"/>
    <w:rsid w:val="00F50292"/>
    <w:rPr>
      <w:rFonts w:ascii="Arial" w:hAnsi="Arial"/>
    </w:rPr>
  </w:style>
  <w:style w:type="character" w:styleId="FootnoteReference">
    <w:name w:val="footnote reference"/>
    <w:aliases w:val="(NECG) Footnote Reference,o,Style 17,fr,Style 13,Style 12,Style 15,Style 9,o1,fr1,o2,fr2,o3,fr3,Style 18,Style 20,Style 7,Style 8,Style 19,Style 32,o + Times New Roman,Style 16"/>
    <w:uiPriority w:val="99"/>
    <w:unhideWhenUsed/>
    <w:rsid w:val="00C84C25"/>
    <w:rPr>
      <w:vertAlign w:val="superscript"/>
    </w:rPr>
  </w:style>
  <w:style w:type="paragraph" w:customStyle="1" w:styleId="Numbering">
    <w:name w:val="Numbering"/>
    <w:basedOn w:val="Bullet"/>
    <w:qFormat/>
    <w:rsid w:val="006058BF"/>
    <w:pPr>
      <w:numPr>
        <w:numId w:val="6"/>
      </w:numPr>
    </w:pPr>
  </w:style>
  <w:style w:type="paragraph" w:styleId="BodyText">
    <w:name w:val="Body Text"/>
    <w:basedOn w:val="Normal"/>
    <w:link w:val="BodyTextChar"/>
    <w:uiPriority w:val="1"/>
    <w:unhideWhenUsed/>
    <w:qFormat/>
    <w:rsid w:val="007B796C"/>
    <w:rPr>
      <w:rFonts w:eastAsia="Calibri"/>
    </w:rPr>
  </w:style>
  <w:style w:type="character" w:customStyle="1" w:styleId="BodyTextChar">
    <w:name w:val="Body Text Char"/>
    <w:link w:val="BodyText"/>
    <w:uiPriority w:val="1"/>
    <w:rsid w:val="007B796C"/>
    <w:rPr>
      <w:rFonts w:ascii="Arial" w:eastAsia="Calibri" w:hAnsi="Arial"/>
      <w:sz w:val="24"/>
      <w:szCs w:val="22"/>
    </w:rPr>
  </w:style>
  <w:style w:type="paragraph" w:customStyle="1" w:styleId="Default">
    <w:name w:val="Default"/>
    <w:rsid w:val="00F40809"/>
    <w:pPr>
      <w:autoSpaceDE w:val="0"/>
      <w:autoSpaceDN w:val="0"/>
      <w:adjustRightInd w:val="0"/>
    </w:pPr>
    <w:rPr>
      <w:rFonts w:ascii="Arial" w:hAnsi="Arial" w:cs="Arial"/>
      <w:color w:val="000000"/>
      <w:sz w:val="24"/>
      <w:szCs w:val="24"/>
    </w:rPr>
  </w:style>
  <w:style w:type="character" w:customStyle="1" w:styleId="Heading1Char">
    <w:name w:val="Heading 1 Char"/>
    <w:link w:val="Heading1"/>
    <w:uiPriority w:val="1"/>
    <w:rsid w:val="00571AD4"/>
    <w:rPr>
      <w:rFonts w:ascii="Arial Bold" w:hAnsi="Arial Bold"/>
      <w:b/>
      <w:caps/>
      <w:sz w:val="32"/>
      <w:szCs w:val="32"/>
    </w:rPr>
  </w:style>
  <w:style w:type="character" w:customStyle="1" w:styleId="Heading2Char">
    <w:name w:val="Heading 2 Char"/>
    <w:link w:val="Heading20"/>
    <w:uiPriority w:val="9"/>
    <w:rsid w:val="009B4760"/>
    <w:rPr>
      <w:rFonts w:ascii="Arial" w:hAnsi="Arial"/>
      <w:b/>
      <w:smallCaps/>
      <w:sz w:val="24"/>
    </w:rPr>
  </w:style>
  <w:style w:type="character" w:customStyle="1" w:styleId="Heading3Char">
    <w:name w:val="Heading 3 Char"/>
    <w:link w:val="Heading3"/>
    <w:uiPriority w:val="1"/>
    <w:rsid w:val="009B4760"/>
    <w:rPr>
      <w:rFonts w:ascii="Arial" w:hAnsi="Arial"/>
      <w:b/>
      <w:sz w:val="24"/>
    </w:rPr>
  </w:style>
  <w:style w:type="character" w:customStyle="1" w:styleId="Heading4Char">
    <w:name w:val="Heading 4 Char"/>
    <w:link w:val="Heading4"/>
    <w:uiPriority w:val="9"/>
    <w:rsid w:val="009B4760"/>
    <w:rPr>
      <w:rFonts w:ascii="Arial" w:hAnsi="Arial"/>
      <w:b/>
      <w:sz w:val="24"/>
    </w:rPr>
  </w:style>
  <w:style w:type="character" w:customStyle="1" w:styleId="Heading5Char">
    <w:name w:val="Heading 5 Char"/>
    <w:link w:val="Heading5"/>
    <w:uiPriority w:val="9"/>
    <w:rsid w:val="009B4760"/>
    <w:rPr>
      <w:rFonts w:ascii="Arial" w:hAnsi="Arial"/>
      <w:b/>
      <w:sz w:val="24"/>
    </w:rPr>
  </w:style>
  <w:style w:type="numbering" w:customStyle="1" w:styleId="Decision">
    <w:name w:val="Decision"/>
    <w:rsid w:val="009B4760"/>
    <w:pPr>
      <w:numPr>
        <w:numId w:val="7"/>
      </w:numPr>
    </w:pPr>
  </w:style>
  <w:style w:type="paragraph" w:styleId="EndnoteText">
    <w:name w:val="endnote text"/>
    <w:basedOn w:val="Normal"/>
    <w:link w:val="EndnoteTextChar"/>
    <w:uiPriority w:val="99"/>
    <w:semiHidden/>
    <w:unhideWhenUsed/>
    <w:rsid w:val="00DD6AF7"/>
    <w:rPr>
      <w:sz w:val="20"/>
      <w:szCs w:val="20"/>
    </w:rPr>
  </w:style>
  <w:style w:type="character" w:customStyle="1" w:styleId="EndnoteTextChar">
    <w:name w:val="Endnote Text Char"/>
    <w:link w:val="EndnoteText"/>
    <w:uiPriority w:val="99"/>
    <w:semiHidden/>
    <w:rsid w:val="00DD6AF7"/>
    <w:rPr>
      <w:rFonts w:ascii="Arial" w:hAnsi="Arial"/>
    </w:rPr>
  </w:style>
  <w:style w:type="character" w:styleId="EndnoteReference">
    <w:name w:val="endnote reference"/>
    <w:uiPriority w:val="99"/>
    <w:semiHidden/>
    <w:unhideWhenUsed/>
    <w:rsid w:val="00DD6AF7"/>
    <w:rPr>
      <w:vertAlign w:val="superscript"/>
    </w:rPr>
  </w:style>
  <w:style w:type="paragraph" w:styleId="NormalWeb">
    <w:name w:val="Normal (Web)"/>
    <w:basedOn w:val="Normal"/>
    <w:uiPriority w:val="99"/>
    <w:unhideWhenUsed/>
    <w:rsid w:val="0057208A"/>
    <w:pPr>
      <w:spacing w:before="100" w:beforeAutospacing="1" w:after="100" w:afterAutospacing="1"/>
      <w:jc w:val="left"/>
    </w:pPr>
    <w:rPr>
      <w:rFonts w:ascii="Times New Roman" w:hAnsi="Times New Roman"/>
      <w:szCs w:val="24"/>
    </w:rPr>
  </w:style>
  <w:style w:type="character" w:customStyle="1" w:styleId="apple-converted-space">
    <w:name w:val="apple-converted-space"/>
    <w:rsid w:val="0057208A"/>
  </w:style>
  <w:style w:type="character" w:styleId="Hyperlink">
    <w:name w:val="Hyperlink"/>
    <w:uiPriority w:val="99"/>
    <w:unhideWhenUsed/>
    <w:rsid w:val="0057208A"/>
    <w:rPr>
      <w:color w:val="0000FF"/>
      <w:u w:val="single"/>
    </w:rPr>
  </w:style>
  <w:style w:type="paragraph" w:customStyle="1" w:styleId="Bullet6ptafter">
    <w:name w:val="Bullet + 6pt after"/>
    <w:basedOn w:val="Bullet"/>
    <w:qFormat/>
    <w:rsid w:val="005C5363"/>
    <w:pPr>
      <w:spacing w:after="120"/>
    </w:pPr>
  </w:style>
  <w:style w:type="character" w:styleId="Strong">
    <w:name w:val="Strong"/>
    <w:basedOn w:val="DefaultParagraphFont"/>
    <w:uiPriority w:val="22"/>
    <w:qFormat/>
    <w:rsid w:val="00B452C9"/>
    <w:rPr>
      <w:b/>
      <w:bCs/>
    </w:rPr>
  </w:style>
  <w:style w:type="paragraph" w:styleId="Quote">
    <w:name w:val="Quote"/>
    <w:basedOn w:val="Normal"/>
    <w:next w:val="Normal"/>
    <w:link w:val="QuoteChar"/>
    <w:uiPriority w:val="29"/>
    <w:qFormat/>
    <w:rsid w:val="009B5DC4"/>
    <w:rPr>
      <w:i/>
      <w:iCs/>
      <w:color w:val="000000" w:themeColor="text1"/>
    </w:rPr>
  </w:style>
  <w:style w:type="character" w:customStyle="1" w:styleId="QuoteChar">
    <w:name w:val="Quote Char"/>
    <w:basedOn w:val="DefaultParagraphFont"/>
    <w:link w:val="Quote"/>
    <w:uiPriority w:val="29"/>
    <w:rsid w:val="009B5DC4"/>
    <w:rPr>
      <w:rFonts w:ascii="Arial" w:hAnsi="Arial"/>
      <w:i/>
      <w:iCs/>
      <w:color w:val="000000" w:themeColor="text1"/>
      <w:sz w:val="24"/>
      <w:szCs w:val="22"/>
    </w:rPr>
  </w:style>
  <w:style w:type="paragraph" w:customStyle="1" w:styleId="Tableheading">
    <w:name w:val="Table heading"/>
    <w:basedOn w:val="Normal"/>
    <w:qFormat/>
    <w:rsid w:val="0098547F"/>
    <w:pPr>
      <w:tabs>
        <w:tab w:val="left" w:pos="360"/>
      </w:tabs>
      <w:spacing w:after="0"/>
      <w:jc w:val="center"/>
    </w:pPr>
    <w:rPr>
      <w:b/>
      <w:color w:val="000000"/>
      <w:szCs w:val="24"/>
    </w:rPr>
  </w:style>
  <w:style w:type="paragraph" w:customStyle="1" w:styleId="Tabletext">
    <w:name w:val="Table text"/>
    <w:basedOn w:val="Normal"/>
    <w:qFormat/>
    <w:rsid w:val="0098547F"/>
    <w:pPr>
      <w:tabs>
        <w:tab w:val="left" w:pos="360"/>
      </w:tabs>
      <w:spacing w:after="0"/>
      <w:jc w:val="center"/>
    </w:pPr>
    <w:rPr>
      <w:color w:val="000000"/>
      <w:szCs w:val="24"/>
    </w:rPr>
  </w:style>
  <w:style w:type="paragraph" w:customStyle="1" w:styleId="Normalindent">
    <w:name w:val="Normal+indent"/>
    <w:basedOn w:val="Bullet"/>
    <w:qFormat/>
    <w:rsid w:val="00212877"/>
    <w:pPr>
      <w:numPr>
        <w:numId w:val="0"/>
      </w:numPr>
      <w:spacing w:after="120"/>
      <w:ind w:left="360"/>
    </w:pPr>
  </w:style>
  <w:style w:type="character" w:customStyle="1" w:styleId="A3">
    <w:name w:val="A3"/>
    <w:uiPriority w:val="99"/>
    <w:rsid w:val="008305C3"/>
    <w:rPr>
      <w:rFonts w:cs="YSFTE Z+ Delicious"/>
      <w:color w:val="211D1E"/>
      <w:sz w:val="20"/>
      <w:szCs w:val="20"/>
    </w:rPr>
  </w:style>
  <w:style w:type="character" w:styleId="FollowedHyperlink">
    <w:name w:val="FollowedHyperlink"/>
    <w:basedOn w:val="DefaultParagraphFont"/>
    <w:uiPriority w:val="99"/>
    <w:semiHidden/>
    <w:unhideWhenUsed/>
    <w:rsid w:val="008305C3"/>
    <w:rPr>
      <w:color w:val="800080" w:themeColor="followedHyperlink"/>
      <w:u w:val="single"/>
    </w:rPr>
  </w:style>
  <w:style w:type="paragraph" w:styleId="PlainText">
    <w:name w:val="Plain Text"/>
    <w:basedOn w:val="Normal"/>
    <w:link w:val="PlainTextChar"/>
    <w:uiPriority w:val="99"/>
    <w:unhideWhenUsed/>
    <w:rsid w:val="008305C3"/>
    <w:pPr>
      <w:spacing w:after="0"/>
    </w:pPr>
    <w:rPr>
      <w:rFonts w:ascii="Consolas" w:hAnsi="Consolas" w:cs="Consolas"/>
      <w:sz w:val="21"/>
      <w:szCs w:val="21"/>
    </w:rPr>
  </w:style>
  <w:style w:type="character" w:customStyle="1" w:styleId="PlainTextChar">
    <w:name w:val="Plain Text Char"/>
    <w:basedOn w:val="DefaultParagraphFont"/>
    <w:link w:val="PlainText"/>
    <w:uiPriority w:val="99"/>
    <w:rsid w:val="008305C3"/>
    <w:rPr>
      <w:rFonts w:ascii="Consolas" w:hAnsi="Consolas" w:cs="Consolas"/>
      <w:sz w:val="21"/>
      <w:szCs w:val="21"/>
    </w:rPr>
  </w:style>
  <w:style w:type="paragraph" w:styleId="Revision">
    <w:name w:val="Revision"/>
    <w:hidden/>
    <w:uiPriority w:val="99"/>
    <w:semiHidden/>
    <w:rsid w:val="008305C3"/>
    <w:rPr>
      <w:rFonts w:ascii="Arial" w:hAnsi="Arial"/>
      <w:sz w:val="24"/>
      <w:szCs w:val="22"/>
    </w:rPr>
  </w:style>
  <w:style w:type="paragraph" w:styleId="BodyTextIndent">
    <w:name w:val="Body Text Indent"/>
    <w:basedOn w:val="Normal"/>
    <w:link w:val="BodyTextIndentChar"/>
    <w:uiPriority w:val="99"/>
    <w:rsid w:val="00A426C4"/>
    <w:pPr>
      <w:spacing w:after="0"/>
      <w:ind w:left="720" w:hanging="720"/>
      <w:jc w:val="left"/>
    </w:pPr>
    <w:rPr>
      <w:szCs w:val="20"/>
    </w:rPr>
  </w:style>
  <w:style w:type="character" w:customStyle="1" w:styleId="BodyTextIndentChar">
    <w:name w:val="Body Text Indent Char"/>
    <w:basedOn w:val="DefaultParagraphFont"/>
    <w:link w:val="BodyTextIndent"/>
    <w:uiPriority w:val="99"/>
    <w:rsid w:val="00A426C4"/>
    <w:rPr>
      <w:rFonts w:ascii="Arial" w:hAnsi="Arial"/>
      <w:sz w:val="24"/>
    </w:rPr>
  </w:style>
  <w:style w:type="paragraph" w:customStyle="1" w:styleId="Bullets">
    <w:name w:val="Bullets"/>
    <w:basedOn w:val="ListParagraph"/>
    <w:qFormat/>
    <w:rsid w:val="00A426C4"/>
    <w:pPr>
      <w:numPr>
        <w:numId w:val="10"/>
      </w:numPr>
      <w:spacing w:after="60"/>
      <w:ind w:left="1080" w:hanging="720"/>
      <w:jc w:val="left"/>
    </w:pPr>
    <w:rPr>
      <w:rFonts w:eastAsia="Calibri" w:cs="Arial"/>
      <w:szCs w:val="24"/>
    </w:rPr>
  </w:style>
  <w:style w:type="paragraph" w:customStyle="1" w:styleId="last-child">
    <w:name w:val="last-child"/>
    <w:basedOn w:val="Normal"/>
    <w:rsid w:val="00A426C4"/>
    <w:pPr>
      <w:spacing w:before="100" w:beforeAutospacing="1" w:after="100" w:afterAutospacing="1"/>
      <w:jc w:val="left"/>
    </w:pPr>
    <w:rPr>
      <w:rFonts w:ascii="Times New Roman" w:hAnsi="Times New Roman"/>
      <w:szCs w:val="24"/>
    </w:rPr>
  </w:style>
  <w:style w:type="character" w:customStyle="1" w:styleId="contents">
    <w:name w:val="contents"/>
    <w:rsid w:val="00A426C4"/>
  </w:style>
  <w:style w:type="character" w:customStyle="1" w:styleId="sectno">
    <w:name w:val="sectno"/>
    <w:rsid w:val="00A426C4"/>
  </w:style>
  <w:style w:type="character" w:customStyle="1" w:styleId="subject">
    <w:name w:val="subject"/>
    <w:rsid w:val="00A426C4"/>
  </w:style>
  <w:style w:type="character" w:customStyle="1" w:styleId="enumxml">
    <w:name w:val="enumxml"/>
    <w:rsid w:val="00A426C4"/>
  </w:style>
  <w:style w:type="character" w:customStyle="1" w:styleId="ptext-1">
    <w:name w:val="ptext-1"/>
    <w:rsid w:val="00A426C4"/>
  </w:style>
  <w:style w:type="character" w:styleId="Emphasis">
    <w:name w:val="Emphasis"/>
    <w:uiPriority w:val="20"/>
    <w:qFormat/>
    <w:rsid w:val="00A426C4"/>
    <w:rPr>
      <w:i/>
      <w:iCs/>
    </w:rPr>
  </w:style>
  <w:style w:type="character" w:customStyle="1" w:styleId="aref-unknown">
    <w:name w:val="aref-unknown"/>
    <w:rsid w:val="00A426C4"/>
  </w:style>
  <w:style w:type="character" w:customStyle="1" w:styleId="ptext-2">
    <w:name w:val="ptext-2"/>
    <w:rsid w:val="00A426C4"/>
  </w:style>
  <w:style w:type="paragraph" w:styleId="HTMLPreformatted">
    <w:name w:val="HTML Preformatted"/>
    <w:basedOn w:val="Normal"/>
    <w:link w:val="HTMLPreformattedChar"/>
    <w:uiPriority w:val="99"/>
    <w:semiHidden/>
    <w:unhideWhenUsed/>
    <w:rsid w:val="00A426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sz w:val="20"/>
      <w:szCs w:val="20"/>
    </w:rPr>
  </w:style>
  <w:style w:type="character" w:customStyle="1" w:styleId="HTMLPreformattedChar">
    <w:name w:val="HTML Preformatted Char"/>
    <w:basedOn w:val="DefaultParagraphFont"/>
    <w:link w:val="HTMLPreformatted"/>
    <w:uiPriority w:val="99"/>
    <w:semiHidden/>
    <w:rsid w:val="00A426C4"/>
    <w:rPr>
      <w:rFonts w:ascii="Courier New" w:hAnsi="Courier New"/>
    </w:rPr>
  </w:style>
  <w:style w:type="paragraph" w:customStyle="1" w:styleId="NumberList">
    <w:name w:val="Number List"/>
    <w:basedOn w:val="Normal"/>
    <w:next w:val="Normal"/>
    <w:rsid w:val="00A426C4"/>
    <w:pPr>
      <w:numPr>
        <w:numId w:val="12"/>
      </w:numPr>
      <w:tabs>
        <w:tab w:val="clear" w:pos="1080"/>
      </w:tabs>
      <w:ind w:left="720" w:hanging="720"/>
    </w:pPr>
    <w:rPr>
      <w:rFonts w:ascii="Times New Roman" w:hAnsi="Times New Roman"/>
      <w:b/>
      <w:szCs w:val="24"/>
    </w:rPr>
  </w:style>
  <w:style w:type="paragraph" w:styleId="NoSpacing">
    <w:name w:val="No Spacing"/>
    <w:link w:val="NoSpacingChar"/>
    <w:uiPriority w:val="1"/>
    <w:qFormat/>
    <w:rsid w:val="00A426C4"/>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A426C4"/>
    <w:rPr>
      <w:rFonts w:asciiTheme="minorHAnsi" w:eastAsiaTheme="minorEastAsia" w:hAnsiTheme="minorHAnsi" w:cstheme="minorBidi"/>
      <w:sz w:val="22"/>
      <w:szCs w:val="22"/>
      <w:lang w:eastAsia="ja-JP"/>
    </w:rPr>
  </w:style>
  <w:style w:type="paragraph" w:customStyle="1" w:styleId="FooterLeft">
    <w:name w:val="Footer Left"/>
    <w:basedOn w:val="Footer"/>
    <w:uiPriority w:val="35"/>
    <w:qFormat/>
    <w:rsid w:val="00A426C4"/>
    <w:pPr>
      <w:pBdr>
        <w:top w:val="dashed" w:sz="4" w:space="18" w:color="7F7F7F" w:themeColor="text1" w:themeTint="80"/>
      </w:pBdr>
      <w:tabs>
        <w:tab w:val="clear" w:pos="4680"/>
        <w:tab w:val="clear" w:pos="9360"/>
        <w:tab w:val="center" w:pos="4320"/>
        <w:tab w:val="right" w:pos="8640"/>
      </w:tabs>
      <w:spacing w:after="200"/>
      <w:contextualSpacing/>
      <w:jc w:val="left"/>
    </w:pPr>
    <w:rPr>
      <w:rFonts w:asciiTheme="minorHAnsi" w:eastAsiaTheme="minorHAnsi" w:hAnsiTheme="minorHAnsi"/>
      <w:color w:val="7F7F7F" w:themeColor="text1" w:themeTint="80"/>
      <w:sz w:val="20"/>
      <w:szCs w:val="18"/>
      <w:lang w:eastAsia="ja-JP"/>
    </w:rPr>
  </w:style>
  <w:style w:type="paragraph" w:styleId="NormalIndent0">
    <w:name w:val="Normal Indent"/>
    <w:basedOn w:val="Normal"/>
    <w:uiPriority w:val="99"/>
    <w:unhideWhenUsed/>
    <w:rsid w:val="00F91070"/>
    <w:pPr>
      <w:ind w:left="720"/>
    </w:pPr>
  </w:style>
  <w:style w:type="paragraph" w:customStyle="1" w:styleId="numbered">
    <w:name w:val="numbered"/>
    <w:basedOn w:val="Normal"/>
    <w:rsid w:val="00AE554B"/>
    <w:pPr>
      <w:tabs>
        <w:tab w:val="left" w:pos="1260"/>
      </w:tabs>
      <w:suppressAutoHyphens/>
      <w:spacing w:after="0"/>
      <w:ind w:left="2160" w:hanging="720"/>
      <w:jc w:val="left"/>
    </w:pPr>
    <w:rPr>
      <w:rFonts w:eastAsia="Calibri"/>
      <w:sz w:val="22"/>
      <w:szCs w:val="20"/>
    </w:rPr>
  </w:style>
  <w:style w:type="paragraph" w:styleId="TOC1">
    <w:name w:val="toc 1"/>
    <w:basedOn w:val="Normal"/>
    <w:next w:val="Normal"/>
    <w:autoRedefine/>
    <w:uiPriority w:val="39"/>
    <w:unhideWhenUsed/>
    <w:rsid w:val="00FA30B2"/>
    <w:pPr>
      <w:keepNext/>
      <w:tabs>
        <w:tab w:val="left" w:pos="450"/>
        <w:tab w:val="right" w:leader="dot" w:pos="9350"/>
      </w:tabs>
      <w:spacing w:after="60"/>
      <w:jc w:val="left"/>
    </w:pPr>
    <w:rPr>
      <w:rFonts w:ascii="Arial Bold" w:hAnsi="Arial Bold"/>
      <w:b/>
      <w:caps/>
    </w:rPr>
  </w:style>
  <w:style w:type="paragraph" w:styleId="TOC2">
    <w:name w:val="toc 2"/>
    <w:basedOn w:val="Normal"/>
    <w:next w:val="Normal"/>
    <w:autoRedefine/>
    <w:uiPriority w:val="39"/>
    <w:unhideWhenUsed/>
    <w:rsid w:val="00B131F4"/>
    <w:pPr>
      <w:keepNext/>
      <w:tabs>
        <w:tab w:val="left" w:pos="720"/>
        <w:tab w:val="left" w:pos="2421"/>
        <w:tab w:val="right" w:leader="dot" w:pos="9350"/>
      </w:tabs>
      <w:spacing w:after="60"/>
      <w:ind w:left="2189" w:hanging="1728"/>
    </w:pPr>
    <w:rPr>
      <w:caps/>
    </w:rPr>
  </w:style>
  <w:style w:type="paragraph" w:styleId="TOC3">
    <w:name w:val="toc 3"/>
    <w:basedOn w:val="Normal"/>
    <w:next w:val="Normal"/>
    <w:autoRedefine/>
    <w:uiPriority w:val="39"/>
    <w:unhideWhenUsed/>
    <w:rsid w:val="00D969AE"/>
    <w:pPr>
      <w:spacing w:after="60"/>
      <w:ind w:left="720"/>
    </w:pPr>
    <w:rPr>
      <w:smallCaps/>
    </w:rPr>
  </w:style>
  <w:style w:type="character" w:customStyle="1" w:styleId="st">
    <w:name w:val="st"/>
    <w:rsid w:val="00AE554B"/>
  </w:style>
  <w:style w:type="character" w:customStyle="1" w:styleId="object">
    <w:name w:val="object"/>
    <w:rsid w:val="00AE554B"/>
  </w:style>
  <w:style w:type="table" w:styleId="TableProfessional">
    <w:name w:val="Table Professional"/>
    <w:aliases w:val="Table-SAGE"/>
    <w:basedOn w:val="TableNormal"/>
    <w:uiPriority w:val="99"/>
    <w:rsid w:val="001528AA"/>
    <w:pPr>
      <w:widowControl w:val="0"/>
    </w:pPr>
    <w:rPr>
      <w:rFonts w:ascii="Arial" w:hAnsi="Arial"/>
      <w:sz w:val="24"/>
    </w:rPr>
    <w:tblPr>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29" w:type="dxa"/>
        <w:left w:w="115" w:type="dxa"/>
        <w:bottom w:w="29" w:type="dxa"/>
        <w:right w:w="115" w:type="dxa"/>
      </w:tblCellMar>
    </w:tblPr>
    <w:trPr>
      <w:jc w:val="center"/>
    </w:trPr>
    <w:tcPr>
      <w:shd w:val="clear" w:color="auto" w:fill="auto"/>
      <w:vAlign w:val="center"/>
    </w:tcPr>
    <w:tblStylePr w:type="firstRow">
      <w:pPr>
        <w:jc w:val="center"/>
      </w:pPr>
      <w:rPr>
        <w:b/>
        <w:bCs/>
        <w:color w:val="auto"/>
      </w:rPr>
      <w:tblPr/>
      <w:tcPr>
        <w:shd w:val="clear" w:color="auto" w:fill="A5CD7E"/>
      </w:tcPr>
    </w:tblStylePr>
  </w:style>
  <w:style w:type="paragraph" w:customStyle="1" w:styleId="Normalindent1">
    <w:name w:val="Normal + indent"/>
    <w:basedOn w:val="ListParagraph"/>
    <w:qFormat/>
    <w:rsid w:val="001528AA"/>
    <w:pPr>
      <w:ind w:left="360"/>
      <w:contextualSpacing w:val="0"/>
    </w:pPr>
  </w:style>
  <w:style w:type="paragraph" w:customStyle="1" w:styleId="Numbering6ptafter">
    <w:name w:val="Numbering + 6pt after"/>
    <w:basedOn w:val="Numbering"/>
    <w:qFormat/>
    <w:rsid w:val="001528AA"/>
    <w:pPr>
      <w:numPr>
        <w:numId w:val="44"/>
      </w:numPr>
      <w:spacing w:after="120"/>
    </w:pPr>
  </w:style>
  <w:style w:type="paragraph" w:customStyle="1" w:styleId="sub-task">
    <w:name w:val="sub-task"/>
    <w:basedOn w:val="Normal"/>
    <w:rsid w:val="00701DCF"/>
    <w:pPr>
      <w:ind w:left="720" w:hanging="432"/>
    </w:pPr>
    <w:rPr>
      <w:szCs w:val="24"/>
    </w:rPr>
  </w:style>
  <w:style w:type="character" w:styleId="PageNumber">
    <w:name w:val="page number"/>
    <w:basedOn w:val="DefaultParagraphFont"/>
    <w:uiPriority w:val="99"/>
    <w:semiHidden/>
    <w:unhideWhenUsed/>
    <w:rsid w:val="00701DCF"/>
  </w:style>
  <w:style w:type="paragraph" w:customStyle="1" w:styleId="ColorfulList-Accent11">
    <w:name w:val="Colorful List - Accent 11"/>
    <w:basedOn w:val="Normal"/>
    <w:uiPriority w:val="34"/>
    <w:qFormat/>
    <w:rsid w:val="00786363"/>
    <w:pPr>
      <w:ind w:left="720"/>
      <w:contextualSpacing/>
    </w:pPr>
  </w:style>
  <w:style w:type="table" w:customStyle="1" w:styleId="MediumShading1-Accent11">
    <w:name w:val="Medium Shading 1 - Accent 11"/>
    <w:basedOn w:val="TableNormal"/>
    <w:uiPriority w:val="63"/>
    <w:rsid w:val="00680B53"/>
    <w:rPr>
      <w:rFonts w:asciiTheme="minorHAnsi" w:eastAsiaTheme="minorHAnsi" w:hAnsiTheme="minorHAnsi" w:cstheme="minorBidi"/>
      <w:sz w:val="22"/>
      <w:szCs w:val="22"/>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aption">
    <w:name w:val="caption"/>
    <w:basedOn w:val="Normal"/>
    <w:next w:val="Normal"/>
    <w:uiPriority w:val="35"/>
    <w:unhideWhenUsed/>
    <w:qFormat/>
    <w:rsid w:val="00356110"/>
    <w:pPr>
      <w:keepNext/>
      <w:jc w:val="center"/>
    </w:pPr>
    <w:rPr>
      <w:b/>
      <w:bCs/>
      <w:szCs w:val="18"/>
    </w:rPr>
  </w:style>
  <w:style w:type="paragraph" w:styleId="TableofFigures">
    <w:name w:val="table of figures"/>
    <w:basedOn w:val="Normal"/>
    <w:next w:val="Normal"/>
    <w:uiPriority w:val="99"/>
    <w:unhideWhenUsed/>
    <w:rsid w:val="00133BC1"/>
    <w:pPr>
      <w:spacing w:after="60"/>
      <w:jc w:val="left"/>
    </w:pPr>
  </w:style>
  <w:style w:type="numbering" w:customStyle="1" w:styleId="NoList1">
    <w:name w:val="No List1"/>
    <w:next w:val="NoList"/>
    <w:uiPriority w:val="99"/>
    <w:semiHidden/>
    <w:unhideWhenUsed/>
    <w:rsid w:val="004E114A"/>
  </w:style>
  <w:style w:type="table" w:customStyle="1" w:styleId="TableGrid1">
    <w:name w:val="Table Grid1"/>
    <w:basedOn w:val="TableNormal"/>
    <w:next w:val="TableGrid"/>
    <w:uiPriority w:val="59"/>
    <w:rsid w:val="004E114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0">
    <w:name w:val="Table Heading"/>
    <w:basedOn w:val="Normal"/>
    <w:qFormat/>
    <w:rsid w:val="004E114A"/>
    <w:pPr>
      <w:spacing w:after="0"/>
      <w:jc w:val="center"/>
    </w:pPr>
    <w:rPr>
      <w:b/>
      <w:szCs w:val="20"/>
    </w:rPr>
  </w:style>
  <w:style w:type="paragraph" w:customStyle="1" w:styleId="TableText0">
    <w:name w:val="Table Text"/>
    <w:basedOn w:val="Normal"/>
    <w:qFormat/>
    <w:rsid w:val="00581946"/>
    <w:pPr>
      <w:spacing w:after="0"/>
      <w:jc w:val="center"/>
    </w:pPr>
  </w:style>
  <w:style w:type="character" w:customStyle="1" w:styleId="tgc">
    <w:name w:val="_tgc"/>
    <w:basedOn w:val="DefaultParagraphFont"/>
    <w:rsid w:val="00581946"/>
  </w:style>
  <w:style w:type="paragraph" w:customStyle="1" w:styleId="FRTableNumbering">
    <w:name w:val="F&amp;R Table Numbering"/>
    <w:basedOn w:val="Normal-aftertable"/>
    <w:qFormat/>
    <w:rsid w:val="00EB08C6"/>
    <w:pPr>
      <w:keepLines/>
      <w:spacing w:before="0" w:after="0"/>
      <w:ind w:left="360" w:hanging="360"/>
      <w:jc w:val="left"/>
    </w:pPr>
    <w:rPr>
      <w:szCs w:val="24"/>
    </w:rPr>
  </w:style>
  <w:style w:type="paragraph" w:styleId="TOC4">
    <w:name w:val="toc 4"/>
    <w:basedOn w:val="Normal"/>
    <w:next w:val="Normal"/>
    <w:autoRedefine/>
    <w:uiPriority w:val="39"/>
    <w:unhideWhenUsed/>
    <w:rsid w:val="008236C1"/>
    <w:pPr>
      <w:spacing w:after="100" w:line="259" w:lineRule="auto"/>
      <w:ind w:left="660"/>
      <w:jc w:val="left"/>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8236C1"/>
    <w:pPr>
      <w:spacing w:after="100" w:line="259" w:lineRule="auto"/>
      <w:ind w:left="88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8236C1"/>
    <w:pPr>
      <w:spacing w:after="100" w:line="259" w:lineRule="auto"/>
      <w:ind w:left="110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8236C1"/>
    <w:pPr>
      <w:spacing w:after="100" w:line="259" w:lineRule="auto"/>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8236C1"/>
    <w:pPr>
      <w:spacing w:after="100" w:line="259" w:lineRule="auto"/>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8236C1"/>
    <w:pPr>
      <w:spacing w:after="100" w:line="259" w:lineRule="auto"/>
      <w:ind w:left="1760"/>
      <w:jc w:val="left"/>
    </w:pPr>
    <w:rPr>
      <w:rFonts w:asciiTheme="minorHAnsi" w:eastAsiaTheme="minorEastAsia" w:hAnsiTheme="minorHAnsi" w:cstheme="minorBidi"/>
      <w:sz w:val="22"/>
    </w:rPr>
  </w:style>
  <w:style w:type="paragraph" w:customStyle="1" w:styleId="TableParagraph">
    <w:name w:val="Table Paragraph"/>
    <w:basedOn w:val="Normal"/>
    <w:uiPriority w:val="1"/>
    <w:qFormat/>
    <w:rsid w:val="00A51C66"/>
    <w:pPr>
      <w:widowControl w:val="0"/>
      <w:spacing w:after="0" w:line="220" w:lineRule="exact"/>
      <w:ind w:right="26"/>
      <w:jc w:val="right"/>
    </w:pPr>
    <w:rPr>
      <w:rFonts w:eastAsia="Arial" w:cs="Arial"/>
      <w:sz w:val="22"/>
    </w:rPr>
  </w:style>
  <w:style w:type="character" w:customStyle="1" w:styleId="Heading6Char">
    <w:name w:val="Heading 6 Char"/>
    <w:basedOn w:val="DefaultParagraphFont"/>
    <w:link w:val="Heading6"/>
    <w:uiPriority w:val="9"/>
    <w:rsid w:val="0095125D"/>
    <w:rPr>
      <w:rFonts w:ascii="Arial Bold" w:eastAsiaTheme="majorEastAsia" w:hAnsi="Arial Bold" w:cstheme="majorBidi"/>
      <w:b/>
      <w:caps/>
      <w:sz w:val="28"/>
      <w:szCs w:val="22"/>
    </w:rPr>
  </w:style>
  <w:style w:type="character" w:customStyle="1" w:styleId="Heading7Char">
    <w:name w:val="Heading 7 Char"/>
    <w:basedOn w:val="DefaultParagraphFont"/>
    <w:link w:val="Heading7"/>
    <w:uiPriority w:val="9"/>
    <w:rsid w:val="000E2E67"/>
    <w:rPr>
      <w:rFonts w:ascii="Arial Bold" w:hAnsi="Arial Bold"/>
      <w:b/>
      <w:caps/>
      <w:sz w:val="32"/>
      <w:szCs w:val="32"/>
    </w:rPr>
  </w:style>
  <w:style w:type="paragraph" w:customStyle="1" w:styleId="Heading-PUC">
    <w:name w:val="Heading-PUC"/>
    <w:basedOn w:val="Heading30"/>
    <w:qFormat/>
    <w:rsid w:val="005B2A02"/>
  </w:style>
  <w:style w:type="paragraph" w:customStyle="1" w:styleId="Heading-forToC">
    <w:name w:val="Heading-forToC"/>
    <w:basedOn w:val="Heading30"/>
    <w:qFormat/>
    <w:rsid w:val="00AC40FC"/>
  </w:style>
</w:styles>
</file>

<file path=word/webSettings.xml><?xml version="1.0" encoding="utf-8"?>
<w:webSettings xmlns:r="http://schemas.openxmlformats.org/officeDocument/2006/relationships" xmlns:w="http://schemas.openxmlformats.org/wordprocessingml/2006/main">
  <w:divs>
    <w:div w:id="375551276">
      <w:bodyDiv w:val="1"/>
      <w:marLeft w:val="0"/>
      <w:marRight w:val="0"/>
      <w:marTop w:val="0"/>
      <w:marBottom w:val="0"/>
      <w:divBdr>
        <w:top w:val="none" w:sz="0" w:space="0" w:color="auto"/>
        <w:left w:val="none" w:sz="0" w:space="0" w:color="auto"/>
        <w:bottom w:val="none" w:sz="0" w:space="0" w:color="auto"/>
        <w:right w:val="none" w:sz="0" w:space="0" w:color="auto"/>
      </w:divBdr>
    </w:div>
    <w:div w:id="388304331">
      <w:bodyDiv w:val="1"/>
      <w:marLeft w:val="0"/>
      <w:marRight w:val="0"/>
      <w:marTop w:val="0"/>
      <w:marBottom w:val="0"/>
      <w:divBdr>
        <w:top w:val="none" w:sz="0" w:space="0" w:color="auto"/>
        <w:left w:val="none" w:sz="0" w:space="0" w:color="auto"/>
        <w:bottom w:val="none" w:sz="0" w:space="0" w:color="auto"/>
        <w:right w:val="none" w:sz="0" w:space="0" w:color="auto"/>
      </w:divBdr>
    </w:div>
    <w:div w:id="390424199">
      <w:bodyDiv w:val="1"/>
      <w:marLeft w:val="0"/>
      <w:marRight w:val="0"/>
      <w:marTop w:val="0"/>
      <w:marBottom w:val="0"/>
      <w:divBdr>
        <w:top w:val="none" w:sz="0" w:space="0" w:color="auto"/>
        <w:left w:val="none" w:sz="0" w:space="0" w:color="auto"/>
        <w:bottom w:val="none" w:sz="0" w:space="0" w:color="auto"/>
        <w:right w:val="none" w:sz="0" w:space="0" w:color="auto"/>
      </w:divBdr>
    </w:div>
    <w:div w:id="527915353">
      <w:bodyDiv w:val="1"/>
      <w:marLeft w:val="0"/>
      <w:marRight w:val="0"/>
      <w:marTop w:val="0"/>
      <w:marBottom w:val="0"/>
      <w:divBdr>
        <w:top w:val="none" w:sz="0" w:space="0" w:color="auto"/>
        <w:left w:val="none" w:sz="0" w:space="0" w:color="auto"/>
        <w:bottom w:val="none" w:sz="0" w:space="0" w:color="auto"/>
        <w:right w:val="none" w:sz="0" w:space="0" w:color="auto"/>
      </w:divBdr>
    </w:div>
    <w:div w:id="636375763">
      <w:bodyDiv w:val="1"/>
      <w:marLeft w:val="0"/>
      <w:marRight w:val="0"/>
      <w:marTop w:val="0"/>
      <w:marBottom w:val="0"/>
      <w:divBdr>
        <w:top w:val="none" w:sz="0" w:space="0" w:color="auto"/>
        <w:left w:val="none" w:sz="0" w:space="0" w:color="auto"/>
        <w:bottom w:val="none" w:sz="0" w:space="0" w:color="auto"/>
        <w:right w:val="none" w:sz="0" w:space="0" w:color="auto"/>
      </w:divBdr>
    </w:div>
    <w:div w:id="1615747570">
      <w:bodyDiv w:val="1"/>
      <w:marLeft w:val="0"/>
      <w:marRight w:val="0"/>
      <w:marTop w:val="0"/>
      <w:marBottom w:val="0"/>
      <w:divBdr>
        <w:top w:val="none" w:sz="0" w:space="0" w:color="auto"/>
        <w:left w:val="none" w:sz="0" w:space="0" w:color="auto"/>
        <w:bottom w:val="none" w:sz="0" w:space="0" w:color="auto"/>
        <w:right w:val="none" w:sz="0" w:space="0" w:color="auto"/>
      </w:divBdr>
    </w:div>
    <w:div w:id="1779327364">
      <w:bodyDiv w:val="1"/>
      <w:marLeft w:val="0"/>
      <w:marRight w:val="0"/>
      <w:marTop w:val="0"/>
      <w:marBottom w:val="0"/>
      <w:divBdr>
        <w:top w:val="none" w:sz="0" w:space="0" w:color="auto"/>
        <w:left w:val="none" w:sz="0" w:space="0" w:color="auto"/>
        <w:bottom w:val="none" w:sz="0" w:space="0" w:color="auto"/>
        <w:right w:val="none" w:sz="0" w:space="0" w:color="auto"/>
      </w:divBdr>
    </w:div>
    <w:div w:id="1785230665">
      <w:bodyDiv w:val="1"/>
      <w:marLeft w:val="0"/>
      <w:marRight w:val="0"/>
      <w:marTop w:val="0"/>
      <w:marBottom w:val="0"/>
      <w:divBdr>
        <w:top w:val="none" w:sz="0" w:space="0" w:color="auto"/>
        <w:left w:val="none" w:sz="0" w:space="0" w:color="auto"/>
        <w:bottom w:val="none" w:sz="0" w:space="0" w:color="auto"/>
        <w:right w:val="none" w:sz="0" w:space="0" w:color="auto"/>
      </w:divBdr>
    </w:div>
    <w:div w:id="1796606035">
      <w:bodyDiv w:val="1"/>
      <w:marLeft w:val="0"/>
      <w:marRight w:val="0"/>
      <w:marTop w:val="0"/>
      <w:marBottom w:val="0"/>
      <w:divBdr>
        <w:top w:val="none" w:sz="0" w:space="0" w:color="auto"/>
        <w:left w:val="none" w:sz="0" w:space="0" w:color="auto"/>
        <w:bottom w:val="none" w:sz="0" w:space="0" w:color="auto"/>
        <w:right w:val="none" w:sz="0" w:space="0" w:color="auto"/>
      </w:divBdr>
    </w:div>
    <w:div w:id="1865242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footer" Target="footer10.xml"/><Relationship Id="rId39" Type="http://schemas.openxmlformats.org/officeDocument/2006/relationships/image" Target="media/image19.jpeg"/><Relationship Id="rId21" Type="http://schemas.openxmlformats.org/officeDocument/2006/relationships/header" Target="header2.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chart" Target="charts/chart3.xml"/><Relationship Id="rId50" Type="http://schemas.openxmlformats.org/officeDocument/2006/relationships/footer" Target="footer14.xml"/><Relationship Id="rId55" Type="http://schemas.openxmlformats.org/officeDocument/2006/relationships/image" Target="media/image2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oter" Target="footer6.xml"/><Relationship Id="rId29" Type="http://schemas.openxmlformats.org/officeDocument/2006/relationships/footer" Target="footer11.xml"/><Relationship Id="rId41" Type="http://schemas.openxmlformats.org/officeDocument/2006/relationships/image" Target="media/image21.jpeg"/><Relationship Id="rId54" Type="http://schemas.openxmlformats.org/officeDocument/2006/relationships/hyperlink" Target="http://www.puc.pa.gov/about_puc/consolidated_case_view.aspx?Docket%20=L-PRMD7509"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chart" Target="charts/chart1.xml"/><Relationship Id="rId53" Type="http://schemas.openxmlformats.org/officeDocument/2006/relationships/hyperlink" Target="http://www.puc.pa.gov/about_puc/consolidated_case_view.aspx?Docket=L-PRMD7509" TargetMode="External"/><Relationship Id="rId58"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footer" Target="footer13.xml"/><Relationship Id="rId57" Type="http://schemas.openxmlformats.org/officeDocument/2006/relationships/image" Target="media/image28.jpeg"/><Relationship Id="rId61" Type="http://schemas.openxmlformats.org/officeDocument/2006/relationships/footer" Target="footer17.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26.jpeg"/><Relationship Id="rId60"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footer" Target="footer7.xml"/><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footer" Target="footer12.xml"/><Relationship Id="rId56" Type="http://schemas.openxmlformats.org/officeDocument/2006/relationships/footer" Target="footer15.xm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footer" Target="footer4.xml"/><Relationship Id="rId25" Type="http://schemas.openxmlformats.org/officeDocument/2006/relationships/footer" Target="footer9.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chart" Target="charts/chart2.xml"/><Relationship Id="rId59" Type="http://schemas.openxmlformats.org/officeDocument/2006/relationships/image" Target="media/image30.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harlie\Documents\Consulting\Jobs\PPL%20Mgmt%20Audit%20-%202015\Draft%20Chapters\PPL%20Reliability%20Charts_jim.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Charlie\Documents\Consulting\Jobs\PPL%20Mgmt%20Audit%20-%202015\Draft%20Chapters\PPL%20Reliability%20Charts_jim.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Charlie\Documents\Consulting\Jobs\PPL%20Mgmt%20Audit%20-%202015\Draft%20Chapters\PPL%20Reliability%20Charts_ji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Sheet1!$F$11</c:f>
              <c:strCache>
                <c:ptCount val="1"/>
                <c:pt idx="0">
                  <c:v>CAIDI</c:v>
                </c:pt>
              </c:strCache>
            </c:strRef>
          </c:tx>
          <c:spPr>
            <a:solidFill>
              <a:srgbClr val="2E6EBC"/>
            </a:solidFill>
          </c:spPr>
          <c:cat>
            <c:numRef>
              <c:f>Sheet1!$E$12:$E$17</c:f>
              <c:numCache>
                <c:formatCode>General</c:formatCode>
                <c:ptCount val="6"/>
                <c:pt idx="0">
                  <c:v>2010</c:v>
                </c:pt>
                <c:pt idx="1">
                  <c:v>2011</c:v>
                </c:pt>
                <c:pt idx="2">
                  <c:v>2012</c:v>
                </c:pt>
                <c:pt idx="3">
                  <c:v>2013</c:v>
                </c:pt>
                <c:pt idx="4">
                  <c:v>2014</c:v>
                </c:pt>
                <c:pt idx="5">
                  <c:v>2015</c:v>
                </c:pt>
              </c:numCache>
            </c:numRef>
          </c:cat>
          <c:val>
            <c:numRef>
              <c:f>Sheet1!$F$12:$F$17</c:f>
              <c:numCache>
                <c:formatCode>General</c:formatCode>
                <c:ptCount val="6"/>
                <c:pt idx="0">
                  <c:v>135</c:v>
                </c:pt>
                <c:pt idx="1">
                  <c:v>151</c:v>
                </c:pt>
                <c:pt idx="2">
                  <c:v>152</c:v>
                </c:pt>
                <c:pt idx="3">
                  <c:v>108</c:v>
                </c:pt>
                <c:pt idx="4">
                  <c:v>180</c:v>
                </c:pt>
                <c:pt idx="5">
                  <c:v>118</c:v>
                </c:pt>
              </c:numCache>
            </c:numRef>
          </c:val>
        </c:ser>
        <c:axId val="82305024"/>
        <c:axId val="82306944"/>
      </c:barChart>
      <c:catAx>
        <c:axId val="82305024"/>
        <c:scaling>
          <c:orientation val="minMax"/>
        </c:scaling>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Year</a:t>
                </a:r>
              </a:p>
            </c:rich>
          </c:tx>
        </c:title>
        <c:numFmt formatCode="General" sourceLinked="1"/>
        <c:majorTickMark val="none"/>
        <c:tickLblPos val="nextTo"/>
        <c:txPr>
          <a:bodyPr/>
          <a:lstStyle/>
          <a:p>
            <a:pPr>
              <a:defRPr>
                <a:latin typeface="Arial" panose="020B0604020202020204" pitchFamily="34" charset="0"/>
                <a:cs typeface="Arial" panose="020B0604020202020204" pitchFamily="34" charset="0"/>
              </a:defRPr>
            </a:pPr>
            <a:endParaRPr lang="en-US"/>
          </a:p>
        </c:txPr>
        <c:crossAx val="82306944"/>
        <c:crosses val="autoZero"/>
        <c:auto val="1"/>
        <c:lblAlgn val="ctr"/>
        <c:lblOffset val="100"/>
      </c:catAx>
      <c:valAx>
        <c:axId val="82306944"/>
        <c:scaling>
          <c:orientation val="minMax"/>
          <c:max val="210"/>
          <c:min val="0"/>
        </c:scaling>
        <c:axPos val="l"/>
        <c:majorGridlines/>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Minutes</a:t>
                </a:r>
              </a:p>
            </c:rich>
          </c:tx>
        </c:title>
        <c:numFmt formatCode="General" sourceLinked="1"/>
        <c:majorTickMark val="none"/>
        <c:tickLblPos val="nextTo"/>
        <c:txPr>
          <a:bodyPr/>
          <a:lstStyle/>
          <a:p>
            <a:pPr>
              <a:defRPr>
                <a:latin typeface="Arial" panose="020B0604020202020204" pitchFamily="34" charset="0"/>
                <a:cs typeface="Arial" panose="020B0604020202020204" pitchFamily="34" charset="0"/>
              </a:defRPr>
            </a:pPr>
            <a:endParaRPr lang="en-US"/>
          </a:p>
        </c:txPr>
        <c:crossAx val="82305024"/>
        <c:crosses val="autoZero"/>
        <c:crossBetween val="between"/>
      </c:valAx>
    </c:plotArea>
    <c:legend>
      <c:legendPos val="r"/>
      <c:txPr>
        <a:bodyPr/>
        <a:lstStyle/>
        <a:p>
          <a:pPr>
            <a:defRPr>
              <a:latin typeface="Arial" panose="020B0604020202020204" pitchFamily="34" charset="0"/>
              <a:cs typeface="Arial" panose="020B0604020202020204" pitchFamily="34" charset="0"/>
            </a:defRPr>
          </a:pPr>
          <a:endParaRPr lang="en-US"/>
        </a:p>
      </c:txPr>
    </c:legend>
    <c:plotVisOnly val="1"/>
    <c:dispBlanksAs val="gap"/>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clustered"/>
        <c:ser>
          <c:idx val="0"/>
          <c:order val="0"/>
          <c:tx>
            <c:strRef>
              <c:f>Sheet1!$F$18</c:f>
              <c:strCache>
                <c:ptCount val="1"/>
                <c:pt idx="0">
                  <c:v>SAIDI</c:v>
                </c:pt>
              </c:strCache>
            </c:strRef>
          </c:tx>
          <c:spPr>
            <a:solidFill>
              <a:srgbClr val="2E6EBC"/>
            </a:solidFill>
          </c:spPr>
          <c:cat>
            <c:numRef>
              <c:f>Sheet1!$E$19:$E$24</c:f>
              <c:numCache>
                <c:formatCode>General</c:formatCode>
                <c:ptCount val="6"/>
                <c:pt idx="0">
                  <c:v>2010</c:v>
                </c:pt>
                <c:pt idx="1">
                  <c:v>2011</c:v>
                </c:pt>
                <c:pt idx="2">
                  <c:v>2012</c:v>
                </c:pt>
                <c:pt idx="3">
                  <c:v>2013</c:v>
                </c:pt>
                <c:pt idx="4">
                  <c:v>2014</c:v>
                </c:pt>
                <c:pt idx="5">
                  <c:v>2015</c:v>
                </c:pt>
              </c:numCache>
            </c:numRef>
          </c:cat>
          <c:val>
            <c:numRef>
              <c:f>Sheet1!$F$19:$F$24</c:f>
              <c:numCache>
                <c:formatCode>General</c:formatCode>
                <c:ptCount val="6"/>
                <c:pt idx="0">
                  <c:v>147</c:v>
                </c:pt>
                <c:pt idx="1">
                  <c:v>162</c:v>
                </c:pt>
                <c:pt idx="2">
                  <c:v>164</c:v>
                </c:pt>
                <c:pt idx="3">
                  <c:v>89</c:v>
                </c:pt>
                <c:pt idx="4">
                  <c:v>165</c:v>
                </c:pt>
                <c:pt idx="5">
                  <c:v>84</c:v>
                </c:pt>
              </c:numCache>
            </c:numRef>
          </c:val>
        </c:ser>
        <c:axId val="82445824"/>
        <c:axId val="82447744"/>
      </c:barChart>
      <c:catAx>
        <c:axId val="82445824"/>
        <c:scaling>
          <c:orientation val="minMax"/>
        </c:scaling>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Year</a:t>
                </a:r>
              </a:p>
            </c:rich>
          </c:tx>
        </c:title>
        <c:numFmt formatCode="General" sourceLinked="1"/>
        <c:tickLblPos val="nextTo"/>
        <c:txPr>
          <a:bodyPr/>
          <a:lstStyle/>
          <a:p>
            <a:pPr>
              <a:defRPr>
                <a:latin typeface="Arial" panose="020B0604020202020204" pitchFamily="34" charset="0"/>
                <a:cs typeface="Arial" panose="020B0604020202020204" pitchFamily="34" charset="0"/>
              </a:defRPr>
            </a:pPr>
            <a:endParaRPr lang="en-US"/>
          </a:p>
        </c:txPr>
        <c:crossAx val="82447744"/>
        <c:crosses val="autoZero"/>
        <c:auto val="1"/>
        <c:lblAlgn val="ctr"/>
        <c:lblOffset val="100"/>
      </c:catAx>
      <c:valAx>
        <c:axId val="82447744"/>
        <c:scaling>
          <c:orientation val="minMax"/>
          <c:max val="210"/>
          <c:min val="0"/>
        </c:scaling>
        <c:axPos val="l"/>
        <c:majorGridlines/>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Minutes</a:t>
                </a:r>
              </a:p>
            </c:rich>
          </c:tx>
        </c:title>
        <c:numFmt formatCode="General" sourceLinked="1"/>
        <c:tickLblPos val="nextTo"/>
        <c:txPr>
          <a:bodyPr/>
          <a:lstStyle/>
          <a:p>
            <a:pPr>
              <a:defRPr>
                <a:latin typeface="Arial" panose="020B0604020202020204" pitchFamily="34" charset="0"/>
                <a:cs typeface="Arial" panose="020B0604020202020204" pitchFamily="34" charset="0"/>
              </a:defRPr>
            </a:pPr>
            <a:endParaRPr lang="en-US"/>
          </a:p>
        </c:txPr>
        <c:crossAx val="82445824"/>
        <c:crosses val="autoZero"/>
        <c:crossBetween val="between"/>
      </c:valAx>
    </c:plotArea>
    <c:legend>
      <c:legendPos val="r"/>
      <c:txPr>
        <a:bodyPr/>
        <a:lstStyle/>
        <a:p>
          <a:pPr>
            <a:defRPr>
              <a:latin typeface="Arial" panose="020B0604020202020204" pitchFamily="34" charset="0"/>
              <a:cs typeface="Arial" panose="020B0604020202020204" pitchFamily="34" charset="0"/>
            </a:defRPr>
          </a:pPr>
          <a:endParaRPr lang="en-US"/>
        </a:p>
      </c:txPr>
    </c:legend>
    <c:plotVisOnly val="1"/>
    <c:dispBlanksAs val="gap"/>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clustered"/>
        <c:ser>
          <c:idx val="0"/>
          <c:order val="0"/>
          <c:tx>
            <c:strRef>
              <c:f>'[PPL Reliability Charts_jim.xlsx]Sheet1'!$F$25</c:f>
              <c:strCache>
                <c:ptCount val="1"/>
                <c:pt idx="0">
                  <c:v>SAIFI</c:v>
                </c:pt>
              </c:strCache>
            </c:strRef>
          </c:tx>
          <c:spPr>
            <a:solidFill>
              <a:srgbClr val="2E6EBC"/>
            </a:solidFill>
          </c:spPr>
          <c:cat>
            <c:numRef>
              <c:f>'[PPL Reliability Charts_jim.xlsx]Sheet1'!$E$26:$E$31</c:f>
              <c:numCache>
                <c:formatCode>General</c:formatCode>
                <c:ptCount val="6"/>
                <c:pt idx="0">
                  <c:v>2010</c:v>
                </c:pt>
                <c:pt idx="1">
                  <c:v>2011</c:v>
                </c:pt>
                <c:pt idx="2">
                  <c:v>2012</c:v>
                </c:pt>
                <c:pt idx="3">
                  <c:v>2013</c:v>
                </c:pt>
                <c:pt idx="4">
                  <c:v>2014</c:v>
                </c:pt>
                <c:pt idx="5">
                  <c:v>2015</c:v>
                </c:pt>
              </c:numCache>
            </c:numRef>
          </c:cat>
          <c:val>
            <c:numRef>
              <c:f>'[PPL Reliability Charts_jim.xlsx]Sheet1'!$F$26:$F$31</c:f>
              <c:numCache>
                <c:formatCode>General</c:formatCode>
                <c:ptCount val="6"/>
                <c:pt idx="0">
                  <c:v>1.0900000000000001</c:v>
                </c:pt>
                <c:pt idx="1">
                  <c:v>1.07</c:v>
                </c:pt>
                <c:pt idx="2">
                  <c:v>1.08</c:v>
                </c:pt>
                <c:pt idx="3">
                  <c:v>0.82000000000000062</c:v>
                </c:pt>
                <c:pt idx="4">
                  <c:v>0.92</c:v>
                </c:pt>
                <c:pt idx="5">
                  <c:v>0.72000000000000064</c:v>
                </c:pt>
              </c:numCache>
            </c:numRef>
          </c:val>
        </c:ser>
        <c:axId val="108928000"/>
        <c:axId val="108967040"/>
      </c:barChart>
      <c:catAx>
        <c:axId val="108928000"/>
        <c:scaling>
          <c:orientation val="minMax"/>
        </c:scaling>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Year</a:t>
                </a:r>
              </a:p>
            </c:rich>
          </c:tx>
        </c:title>
        <c:numFmt formatCode="General" sourceLinked="1"/>
        <c:tickLblPos val="nextTo"/>
        <c:txPr>
          <a:bodyPr/>
          <a:lstStyle/>
          <a:p>
            <a:pPr>
              <a:defRPr>
                <a:latin typeface="Arial" panose="020B0604020202020204" pitchFamily="34" charset="0"/>
                <a:cs typeface="Arial" panose="020B0604020202020204" pitchFamily="34" charset="0"/>
              </a:defRPr>
            </a:pPr>
            <a:endParaRPr lang="en-US"/>
          </a:p>
        </c:txPr>
        <c:crossAx val="108967040"/>
        <c:crosses val="autoZero"/>
        <c:auto val="1"/>
        <c:lblAlgn val="ctr"/>
        <c:lblOffset val="100"/>
      </c:catAx>
      <c:valAx>
        <c:axId val="108967040"/>
        <c:scaling>
          <c:orientation val="minMax"/>
          <c:max val="1.3"/>
          <c:min val="0"/>
        </c:scaling>
        <c:axPos val="l"/>
        <c:majorGridlines/>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Number of Interruptions</a:t>
                </a:r>
              </a:p>
            </c:rich>
          </c:tx>
        </c:title>
        <c:numFmt formatCode="#,##0.0" sourceLinked="0"/>
        <c:tickLblPos val="nextTo"/>
        <c:txPr>
          <a:bodyPr/>
          <a:lstStyle/>
          <a:p>
            <a:pPr>
              <a:defRPr>
                <a:latin typeface="Arial" panose="020B0604020202020204" pitchFamily="34" charset="0"/>
                <a:cs typeface="Arial" panose="020B0604020202020204" pitchFamily="34" charset="0"/>
              </a:defRPr>
            </a:pPr>
            <a:endParaRPr lang="en-US"/>
          </a:p>
        </c:txPr>
        <c:crossAx val="108928000"/>
        <c:crosses val="autoZero"/>
        <c:crossBetween val="between"/>
      </c:valAx>
    </c:plotArea>
    <c:legend>
      <c:legendPos val="r"/>
      <c:txPr>
        <a:bodyPr/>
        <a:lstStyle/>
        <a:p>
          <a:pPr>
            <a:defRPr>
              <a:latin typeface="Arial" panose="020B0604020202020204" pitchFamily="34" charset="0"/>
              <a:cs typeface="Arial" panose="020B0604020202020204" pitchFamily="34" charset="0"/>
            </a:defRPr>
          </a:pPr>
          <a:endParaRPr lang="en-US"/>
        </a:p>
      </c:txPr>
    </c:legend>
    <c:plotVisOnly val="1"/>
    <c:dispBlanksAs val="gap"/>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0.14832</cdr:x>
      <cdr:y>0.168</cdr:y>
    </cdr:from>
    <cdr:to>
      <cdr:x>0.83319</cdr:x>
      <cdr:y>0.168</cdr:y>
    </cdr:to>
    <cdr:cxnSp macro="">
      <cdr:nvCxnSpPr>
        <cdr:cNvPr id="3" name="Straight Connector 2"/>
        <cdr:cNvCxnSpPr/>
      </cdr:nvCxnSpPr>
      <cdr:spPr>
        <a:xfrm xmlns:a="http://schemas.openxmlformats.org/drawingml/2006/main">
          <a:off x="672465" y="480060"/>
          <a:ext cx="3105150" cy="0"/>
        </a:xfrm>
        <a:prstGeom xmlns:a="http://schemas.openxmlformats.org/drawingml/2006/main" prst="line">
          <a:avLst/>
        </a:prstGeom>
        <a:ln xmlns:a="http://schemas.openxmlformats.org/drawingml/2006/main" w="2222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0.14832</cdr:x>
      <cdr:y>0.28467</cdr:y>
    </cdr:from>
    <cdr:to>
      <cdr:x>0.83319</cdr:x>
      <cdr:y>0.28467</cdr:y>
    </cdr:to>
    <cdr:cxnSp macro="">
      <cdr:nvCxnSpPr>
        <cdr:cNvPr id="6" name="Straight Connector 5"/>
        <cdr:cNvCxnSpPr/>
      </cdr:nvCxnSpPr>
      <cdr:spPr>
        <a:xfrm xmlns:a="http://schemas.openxmlformats.org/drawingml/2006/main">
          <a:off x="672465" y="813435"/>
          <a:ext cx="3105150" cy="0"/>
        </a:xfrm>
        <a:prstGeom xmlns:a="http://schemas.openxmlformats.org/drawingml/2006/main" prst="line">
          <a:avLst/>
        </a:prstGeom>
        <a:ln xmlns:a="http://schemas.openxmlformats.org/drawingml/2006/main" w="22225">
          <a:solidFill>
            <a:srgbClr val="00B05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0.84806</cdr:x>
      <cdr:y>0.24085</cdr:y>
    </cdr:from>
    <cdr:to>
      <cdr:x>0.98396</cdr:x>
      <cdr:y>0.32174</cdr:y>
    </cdr:to>
    <cdr:sp macro="" textlink="">
      <cdr:nvSpPr>
        <cdr:cNvPr id="8" name="TextBox 1"/>
        <cdr:cNvSpPr txBox="1"/>
      </cdr:nvSpPr>
      <cdr:spPr>
        <a:xfrm xmlns:a="http://schemas.openxmlformats.org/drawingml/2006/main">
          <a:off x="3838819" y="688242"/>
          <a:ext cx="615169" cy="231141"/>
        </a:xfrm>
        <a:prstGeom xmlns:a="http://schemas.openxmlformats.org/drawingml/2006/main" prst="rect">
          <a:avLst/>
        </a:prstGeom>
      </cdr:spPr>
      <cdr:txBody>
        <a:bodyPr xmlns:a="http://schemas.openxmlformats.org/drawingml/2006/main" wrap="square" lIns="0" tIns="4572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00B050"/>
              </a:solidFill>
            </a:rPr>
            <a:t>Benchmark</a:t>
          </a:r>
        </a:p>
      </cdr:txBody>
    </cdr:sp>
  </cdr:relSizeAnchor>
  <cdr:relSizeAnchor xmlns:cdr="http://schemas.openxmlformats.org/drawingml/2006/chartDrawing">
    <cdr:from>
      <cdr:x>0.84644</cdr:x>
      <cdr:y>0.13573</cdr:y>
    </cdr:from>
    <cdr:to>
      <cdr:x>0.96969</cdr:x>
      <cdr:y>0.20239</cdr:y>
    </cdr:to>
    <cdr:sp macro="" textlink="">
      <cdr:nvSpPr>
        <cdr:cNvPr id="9" name="TextBox 1"/>
        <cdr:cNvSpPr txBox="1"/>
      </cdr:nvSpPr>
      <cdr:spPr>
        <a:xfrm xmlns:a="http://schemas.openxmlformats.org/drawingml/2006/main">
          <a:off x="3831492" y="387838"/>
          <a:ext cx="557858" cy="190500"/>
        </a:xfrm>
        <a:prstGeom xmlns:a="http://schemas.openxmlformats.org/drawingml/2006/main" prst="rect">
          <a:avLst/>
        </a:prstGeom>
      </cdr:spPr>
      <cdr:txBody>
        <a:bodyPr xmlns:a="http://schemas.openxmlformats.org/drawingml/2006/main" wrap="square" lIns="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FF0000"/>
              </a:solidFill>
            </a:rPr>
            <a:t>Standard</a:t>
          </a:r>
        </a:p>
      </cdr:txBody>
    </cdr:sp>
  </cdr:relSizeAnchor>
  <cdr:relSizeAnchor xmlns:cdr="http://schemas.openxmlformats.org/drawingml/2006/chartDrawing">
    <cdr:from>
      <cdr:x>0.1051</cdr:x>
      <cdr:y>0.14598</cdr:y>
    </cdr:from>
    <cdr:to>
      <cdr:x>0.15196</cdr:x>
      <cdr:y>0.18697</cdr:y>
    </cdr:to>
    <cdr:sp macro="" textlink="">
      <cdr:nvSpPr>
        <cdr:cNvPr id="10" name="TextBox 1"/>
        <cdr:cNvSpPr txBox="1"/>
      </cdr:nvSpPr>
      <cdr:spPr>
        <a:xfrm xmlns:a="http://schemas.openxmlformats.org/drawingml/2006/main">
          <a:off x="475762" y="417146"/>
          <a:ext cx="212089"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FF0000"/>
              </a:solidFill>
            </a:rPr>
            <a:t>174</a:t>
          </a:r>
        </a:p>
      </cdr:txBody>
    </cdr:sp>
  </cdr:relSizeAnchor>
  <cdr:relSizeAnchor xmlns:cdr="http://schemas.openxmlformats.org/drawingml/2006/chartDrawing">
    <cdr:from>
      <cdr:x>0.10834</cdr:x>
      <cdr:y>0.27419</cdr:y>
    </cdr:from>
    <cdr:to>
      <cdr:x>0.1552</cdr:x>
      <cdr:y>0.31518</cdr:y>
    </cdr:to>
    <cdr:sp macro="" textlink="">
      <cdr:nvSpPr>
        <cdr:cNvPr id="11" name="TextBox 1"/>
        <cdr:cNvSpPr txBox="1"/>
      </cdr:nvSpPr>
      <cdr:spPr>
        <a:xfrm xmlns:a="http://schemas.openxmlformats.org/drawingml/2006/main">
          <a:off x="490416" y="783492"/>
          <a:ext cx="212089"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00B050"/>
              </a:solidFill>
            </a:rPr>
            <a:t>145</a:t>
          </a:r>
        </a:p>
      </cdr:txBody>
    </cdr:sp>
  </cdr:relSizeAnchor>
</c:userShapes>
</file>

<file path=word/drawings/drawing2.xml><?xml version="1.0" encoding="utf-8"?>
<c:userShapes xmlns:c="http://schemas.openxmlformats.org/drawingml/2006/chart">
  <cdr:relSizeAnchor xmlns:cdr="http://schemas.openxmlformats.org/drawingml/2006/chartDrawing">
    <cdr:from>
      <cdr:x>0.15307</cdr:x>
      <cdr:y>0.0627</cdr:y>
    </cdr:from>
    <cdr:to>
      <cdr:x>0.83794</cdr:x>
      <cdr:y>0.0627</cdr:y>
    </cdr:to>
    <cdr:cxnSp macro="">
      <cdr:nvCxnSpPr>
        <cdr:cNvPr id="2" name="Straight Connector 1"/>
        <cdr:cNvCxnSpPr/>
      </cdr:nvCxnSpPr>
      <cdr:spPr>
        <a:xfrm xmlns:a="http://schemas.openxmlformats.org/drawingml/2006/main">
          <a:off x="692870" y="179168"/>
          <a:ext cx="3100132" cy="0"/>
        </a:xfrm>
        <a:prstGeom xmlns:a="http://schemas.openxmlformats.org/drawingml/2006/main" prst="line">
          <a:avLst/>
        </a:prstGeom>
        <a:ln xmlns:a="http://schemas.openxmlformats.org/drawingml/2006/main" w="2222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0.85115</cdr:x>
      <cdr:y>0.02944</cdr:y>
    </cdr:from>
    <cdr:to>
      <cdr:x>0.97439</cdr:x>
      <cdr:y>0.0961</cdr:y>
    </cdr:to>
    <cdr:sp macro="" textlink="">
      <cdr:nvSpPr>
        <cdr:cNvPr id="3" name="TextBox 1"/>
        <cdr:cNvSpPr txBox="1"/>
      </cdr:nvSpPr>
      <cdr:spPr>
        <a:xfrm xmlns:a="http://schemas.openxmlformats.org/drawingml/2006/main">
          <a:off x="3852788" y="84113"/>
          <a:ext cx="557858" cy="190500"/>
        </a:xfrm>
        <a:prstGeom xmlns:a="http://schemas.openxmlformats.org/drawingml/2006/main" prst="rect">
          <a:avLst/>
        </a:prstGeom>
      </cdr:spPr>
      <cdr:txBody>
        <a:bodyPr xmlns:a="http://schemas.openxmlformats.org/drawingml/2006/main" wrap="square" lIns="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FF0000"/>
              </a:solidFill>
            </a:rPr>
            <a:t>Standard</a:t>
          </a:r>
        </a:p>
      </cdr:txBody>
    </cdr:sp>
  </cdr:relSizeAnchor>
  <cdr:relSizeAnchor xmlns:cdr="http://schemas.openxmlformats.org/drawingml/2006/chartDrawing">
    <cdr:from>
      <cdr:x>0.15145</cdr:x>
      <cdr:y>0.29475</cdr:y>
    </cdr:from>
    <cdr:to>
      <cdr:x>0.83632</cdr:x>
      <cdr:y>0.29475</cdr:y>
    </cdr:to>
    <cdr:cxnSp macro="">
      <cdr:nvCxnSpPr>
        <cdr:cNvPr id="4" name="Straight Connector 3"/>
        <cdr:cNvCxnSpPr/>
      </cdr:nvCxnSpPr>
      <cdr:spPr>
        <a:xfrm xmlns:a="http://schemas.openxmlformats.org/drawingml/2006/main">
          <a:off x="685544" y="842254"/>
          <a:ext cx="3100132" cy="0"/>
        </a:xfrm>
        <a:prstGeom xmlns:a="http://schemas.openxmlformats.org/drawingml/2006/main" prst="line">
          <a:avLst/>
        </a:prstGeom>
        <a:ln xmlns:a="http://schemas.openxmlformats.org/drawingml/2006/main" w="22225">
          <a:solidFill>
            <a:srgbClr val="00B05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0.84791</cdr:x>
      <cdr:y>0.24855</cdr:y>
    </cdr:from>
    <cdr:to>
      <cdr:x>0.98381</cdr:x>
      <cdr:y>0.32944</cdr:y>
    </cdr:to>
    <cdr:sp macro="" textlink="">
      <cdr:nvSpPr>
        <cdr:cNvPr id="5" name="TextBox 1"/>
        <cdr:cNvSpPr txBox="1"/>
      </cdr:nvSpPr>
      <cdr:spPr>
        <a:xfrm xmlns:a="http://schemas.openxmlformats.org/drawingml/2006/main">
          <a:off x="3838135" y="710222"/>
          <a:ext cx="615169" cy="231141"/>
        </a:xfrm>
        <a:prstGeom xmlns:a="http://schemas.openxmlformats.org/drawingml/2006/main" prst="rect">
          <a:avLst/>
        </a:prstGeom>
      </cdr:spPr>
      <cdr:txBody>
        <a:bodyPr xmlns:a="http://schemas.openxmlformats.org/drawingml/2006/main" wrap="square" lIns="0" tIns="4572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00B050"/>
              </a:solidFill>
            </a:rPr>
            <a:t>Benchmark</a:t>
          </a:r>
        </a:p>
      </cdr:txBody>
    </cdr:sp>
  </cdr:relSizeAnchor>
  <cdr:relSizeAnchor xmlns:cdr="http://schemas.openxmlformats.org/drawingml/2006/chartDrawing">
    <cdr:from>
      <cdr:x>0.1132</cdr:x>
      <cdr:y>0.02983</cdr:y>
    </cdr:from>
    <cdr:to>
      <cdr:x>0.16005</cdr:x>
      <cdr:y>0.07082</cdr:y>
    </cdr:to>
    <cdr:sp macro="" textlink="">
      <cdr:nvSpPr>
        <cdr:cNvPr id="6" name="TextBox 1"/>
        <cdr:cNvSpPr txBox="1"/>
      </cdr:nvSpPr>
      <cdr:spPr>
        <a:xfrm xmlns:a="http://schemas.openxmlformats.org/drawingml/2006/main">
          <a:off x="513225" y="85237"/>
          <a:ext cx="212433"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FF0000"/>
              </a:solidFill>
            </a:rPr>
            <a:t>205</a:t>
          </a:r>
        </a:p>
      </cdr:txBody>
    </cdr:sp>
  </cdr:relSizeAnchor>
  <cdr:relSizeAnchor xmlns:cdr="http://schemas.openxmlformats.org/drawingml/2006/chartDrawing">
    <cdr:from>
      <cdr:x>0.11158</cdr:x>
      <cdr:y>0.27419</cdr:y>
    </cdr:from>
    <cdr:to>
      <cdr:x>0.15843</cdr:x>
      <cdr:y>0.31518</cdr:y>
    </cdr:to>
    <cdr:sp macro="" textlink="">
      <cdr:nvSpPr>
        <cdr:cNvPr id="7" name="TextBox 1"/>
        <cdr:cNvSpPr txBox="1"/>
      </cdr:nvSpPr>
      <cdr:spPr>
        <a:xfrm xmlns:a="http://schemas.openxmlformats.org/drawingml/2006/main">
          <a:off x="505070" y="783492"/>
          <a:ext cx="212089"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00B050"/>
              </a:solidFill>
            </a:rPr>
            <a:t>142</a:t>
          </a:r>
        </a:p>
      </cdr:txBody>
    </cdr:sp>
  </cdr:relSizeAnchor>
</c:userShapes>
</file>

<file path=word/drawings/drawing3.xml><?xml version="1.0" encoding="utf-8"?>
<c:userShapes xmlns:c="http://schemas.openxmlformats.org/drawingml/2006/chart">
  <cdr:relSizeAnchor xmlns:cdr="http://schemas.openxmlformats.org/drawingml/2006/chartDrawing">
    <cdr:from>
      <cdr:x>0.14336</cdr:x>
      <cdr:y>0.12509</cdr:y>
    </cdr:from>
    <cdr:to>
      <cdr:x>0.82823</cdr:x>
      <cdr:y>0.12509</cdr:y>
    </cdr:to>
    <cdr:cxnSp macro="">
      <cdr:nvCxnSpPr>
        <cdr:cNvPr id="2" name="Straight Connector 1"/>
        <cdr:cNvCxnSpPr/>
      </cdr:nvCxnSpPr>
      <cdr:spPr>
        <a:xfrm xmlns:a="http://schemas.openxmlformats.org/drawingml/2006/main">
          <a:off x="648908" y="376995"/>
          <a:ext cx="3100132" cy="0"/>
        </a:xfrm>
        <a:prstGeom xmlns:a="http://schemas.openxmlformats.org/drawingml/2006/main" prst="line">
          <a:avLst/>
        </a:prstGeom>
        <a:ln xmlns:a="http://schemas.openxmlformats.org/drawingml/2006/main" w="2222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0.84483</cdr:x>
      <cdr:y>0.09222</cdr:y>
    </cdr:from>
    <cdr:to>
      <cdr:x>0.96807</cdr:x>
      <cdr:y>0.15543</cdr:y>
    </cdr:to>
    <cdr:sp macro="" textlink="">
      <cdr:nvSpPr>
        <cdr:cNvPr id="3" name="TextBox 1"/>
        <cdr:cNvSpPr txBox="1"/>
      </cdr:nvSpPr>
      <cdr:spPr>
        <a:xfrm xmlns:a="http://schemas.openxmlformats.org/drawingml/2006/main">
          <a:off x="3824165" y="277935"/>
          <a:ext cx="557858" cy="190500"/>
        </a:xfrm>
        <a:prstGeom xmlns:a="http://schemas.openxmlformats.org/drawingml/2006/main" prst="rect">
          <a:avLst/>
        </a:prstGeom>
      </cdr:spPr>
      <cdr:txBody>
        <a:bodyPr xmlns:a="http://schemas.openxmlformats.org/drawingml/2006/main" wrap="square" lIns="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FF0000"/>
              </a:solidFill>
            </a:rPr>
            <a:t>Standard</a:t>
          </a:r>
        </a:p>
      </cdr:txBody>
    </cdr:sp>
  </cdr:relSizeAnchor>
  <cdr:relSizeAnchor xmlns:cdr="http://schemas.openxmlformats.org/drawingml/2006/chartDrawing">
    <cdr:from>
      <cdr:x>0.14325</cdr:x>
      <cdr:y>0.23312</cdr:y>
    </cdr:from>
    <cdr:to>
      <cdr:x>0.82812</cdr:x>
      <cdr:y>0.23312</cdr:y>
    </cdr:to>
    <cdr:cxnSp macro="">
      <cdr:nvCxnSpPr>
        <cdr:cNvPr id="4" name="Straight Connector 3"/>
        <cdr:cNvCxnSpPr/>
      </cdr:nvCxnSpPr>
      <cdr:spPr>
        <a:xfrm xmlns:a="http://schemas.openxmlformats.org/drawingml/2006/main">
          <a:off x="648421" y="702554"/>
          <a:ext cx="3100132" cy="0"/>
        </a:xfrm>
        <a:prstGeom xmlns:a="http://schemas.openxmlformats.org/drawingml/2006/main" prst="line">
          <a:avLst/>
        </a:prstGeom>
        <a:ln xmlns:a="http://schemas.openxmlformats.org/drawingml/2006/main" w="22225">
          <a:solidFill>
            <a:srgbClr val="00B05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0.84644</cdr:x>
      <cdr:y>0.1919</cdr:y>
    </cdr:from>
    <cdr:to>
      <cdr:x>0.98235</cdr:x>
      <cdr:y>0.2686</cdr:y>
    </cdr:to>
    <cdr:sp macro="" textlink="">
      <cdr:nvSpPr>
        <cdr:cNvPr id="5" name="TextBox 1"/>
        <cdr:cNvSpPr txBox="1"/>
      </cdr:nvSpPr>
      <cdr:spPr>
        <a:xfrm xmlns:a="http://schemas.openxmlformats.org/drawingml/2006/main">
          <a:off x="3831493" y="578338"/>
          <a:ext cx="615169" cy="231141"/>
        </a:xfrm>
        <a:prstGeom xmlns:a="http://schemas.openxmlformats.org/drawingml/2006/main" prst="rect">
          <a:avLst/>
        </a:prstGeom>
      </cdr:spPr>
      <cdr:txBody>
        <a:bodyPr xmlns:a="http://schemas.openxmlformats.org/drawingml/2006/main" wrap="square" lIns="0" tIns="45720" r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solidFill>
                <a:srgbClr val="00B050"/>
              </a:solidFill>
            </a:rPr>
            <a:t>Benchmark</a:t>
          </a:r>
        </a:p>
      </cdr:txBody>
    </cdr:sp>
  </cdr:relSizeAnchor>
  <cdr:relSizeAnchor xmlns:cdr="http://schemas.openxmlformats.org/drawingml/2006/chartDrawing">
    <cdr:from>
      <cdr:x>0.10025</cdr:x>
      <cdr:y>0.2308</cdr:y>
    </cdr:from>
    <cdr:to>
      <cdr:x>0.1471</cdr:x>
      <cdr:y>0.26967</cdr:y>
    </cdr:to>
    <cdr:sp macro="" textlink="">
      <cdr:nvSpPr>
        <cdr:cNvPr id="6" name="TextBox 1"/>
        <cdr:cNvSpPr txBox="1"/>
      </cdr:nvSpPr>
      <cdr:spPr>
        <a:xfrm xmlns:a="http://schemas.openxmlformats.org/drawingml/2006/main">
          <a:off x="453782" y="695571"/>
          <a:ext cx="212089"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00B050"/>
              </a:solidFill>
            </a:rPr>
            <a:t>0.98</a:t>
          </a:r>
        </a:p>
      </cdr:txBody>
    </cdr:sp>
  </cdr:relSizeAnchor>
  <cdr:relSizeAnchor xmlns:cdr="http://schemas.openxmlformats.org/drawingml/2006/chartDrawing">
    <cdr:from>
      <cdr:x>0.10025</cdr:x>
      <cdr:y>0.1141</cdr:y>
    </cdr:from>
    <cdr:to>
      <cdr:x>0.1471</cdr:x>
      <cdr:y>0.15297</cdr:y>
    </cdr:to>
    <cdr:sp macro="" textlink="">
      <cdr:nvSpPr>
        <cdr:cNvPr id="7" name="TextBox 1"/>
        <cdr:cNvSpPr txBox="1"/>
      </cdr:nvSpPr>
      <cdr:spPr>
        <a:xfrm xmlns:a="http://schemas.openxmlformats.org/drawingml/2006/main">
          <a:off x="453781" y="343877"/>
          <a:ext cx="212089" cy="117132"/>
        </a:xfrm>
        <a:prstGeom xmlns:a="http://schemas.openxmlformats.org/drawingml/2006/main" prst="rect">
          <a:avLst/>
        </a:prstGeom>
      </cdr:spPr>
      <cdr:txBody>
        <a:bodyPr xmlns:a="http://schemas.openxmlformats.org/drawingml/2006/main" wrap="square" lIns="0" tIns="0" rIns="0" bIns="0"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solidFill>
                <a:srgbClr val="FF0000"/>
              </a:solidFill>
            </a:rPr>
            <a:t>1.18</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075D90-FBD8-436A-9258-AB2BCCA65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323</Pages>
  <Words>114951</Words>
  <Characters>655225</Characters>
  <Application>Microsoft Office Word</Application>
  <DocSecurity>0</DocSecurity>
  <Lines>5460</Lines>
  <Paragraphs>1537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768639</CharactersWithSpaces>
  <SharedDoc>false</SharedDoc>
  <HLinks>
    <vt:vector size="6" baseType="variant">
      <vt:variant>
        <vt:i4>2490477</vt:i4>
      </vt:variant>
      <vt:variant>
        <vt:i4>0</vt:i4>
      </vt:variant>
      <vt:variant>
        <vt:i4>0</vt:i4>
      </vt:variant>
      <vt:variant>
        <vt:i4>5</vt:i4>
      </vt:variant>
      <vt:variant>
        <vt:lpwstr>http://legal-dictionary.thefreedictionary.com/Massachusetts+business+trust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Collins</dc:creator>
  <cp:lastModifiedBy>DWhitman</cp:lastModifiedBy>
  <cp:revision>2</cp:revision>
  <cp:lastPrinted>2016-09-21T16:30:00Z</cp:lastPrinted>
  <dcterms:created xsi:type="dcterms:W3CDTF">2016-10-25T15:05:00Z</dcterms:created>
  <dcterms:modified xsi:type="dcterms:W3CDTF">2016-10-25T15:05:00Z</dcterms:modified>
</cp:coreProperties>
</file>